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ПРОЄКТ</w:t>
        <w:tab/>
      </w:r>
      <w:r>
        <w:rPr>
          <w:rFonts w:ascii="Times New Roman" w:hAnsi="Times New Roman"/>
          <w:sz w:val="28"/>
          <w:szCs w:val="28"/>
        </w:rPr>
        <w:t xml:space="preserve">№ </w:t>
      </w:r>
      <w:r>
        <w:rPr>
          <w:rFonts w:ascii="Times New Roman" w:hAnsi="Times New Roman"/>
          <w:sz w:val="28"/>
          <w:szCs w:val="28"/>
        </w:rPr>
        <w:t>ПВ-579</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rPr>
          <w:rFonts w:ascii="Times New Roman" w:hAnsi="Times New Roman"/>
          <w:sz w:val="28"/>
          <w:szCs w:val="28"/>
        </w:rPr>
      </w:pPr>
      <w:permStart w:id="0" w:edGrp="everyone"/>
      <w:r>
        <w:rPr>
          <w:rFonts w:ascii="Times New Roman" w:hAnsi="Times New Roman"/>
          <w:sz w:val="28"/>
          <w:szCs w:val="28"/>
        </w:rPr>
        <w:t xml:space="preserve">Додаток </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mallCaps w:val="0"/>
          <w:snapToGrid/>
          <w:spacing w:val="0"/>
          <w:w w:val="100"/>
          <w:position w:val="0"/>
          <w:sz w:val="28"/>
          <w:szCs w:val="22"/>
          <w:cs w:val="0"/>
        </w:rPr>
        <w:t>СХВАЛЕНО</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 xml:space="preserve">Київської області </w:t>
      </w: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jc w:val="both"/>
        <w:rPr>
          <w:rFonts w:ascii="Times New Roman" w:hAnsi="Times New Roman"/>
          <w:sz w:val="28"/>
          <w:szCs w:val="28"/>
          <w:lang w:val="uk-UA"/>
        </w:rPr>
      </w:pPr>
    </w:p>
    <w:p>
      <w:pPr>
        <w:pStyle w:val="Heading1"/>
        <w:spacing w:before="0" w:beforeAutospacing="0" w:afterAutospacing="0"/>
        <w:jc w:val="center"/>
        <w:rPr>
          <w:rFonts w:ascii="Times New Roman" w:hAnsi="Times New Roman"/>
          <w:color w:val="auto"/>
          <w:lang w:val="uk-UA"/>
        </w:rPr>
      </w:pPr>
      <w:r>
        <w:rPr>
          <w:rFonts w:ascii="Times New Roman" w:hAnsi="Times New Roman"/>
          <w:color w:val="auto"/>
          <w:lang w:val="uk-UA"/>
        </w:rPr>
        <w:t>ПРОГРАМА</w:t>
      </w:r>
    </w:p>
    <w:p>
      <w:pPr>
        <w:pStyle w:val="Heading1"/>
        <w:spacing w:before="0" w:beforeAutospacing="0" w:afterAutospacing="0"/>
        <w:jc w:val="center"/>
        <w:rPr>
          <w:rFonts w:ascii="Times New Roman" w:hAnsi="Times New Roman"/>
          <w:b w:val="0"/>
          <w:bCs w:val="0"/>
          <w:color w:val="auto"/>
          <w:lang w:val="uk-UA"/>
        </w:rPr>
      </w:pPr>
      <w:r>
        <w:rPr>
          <w:rFonts w:ascii="Times New Roman" w:hAnsi="Times New Roman"/>
          <w:color w:val="auto"/>
          <w:lang w:val="uk-UA"/>
        </w:rPr>
        <w:t xml:space="preserve"> фінансової  підтримки </w:t>
      </w:r>
      <w:r>
        <w:rPr>
          <w:rFonts w:ascii="Times New Roman" w:hAnsi="Times New Roman"/>
          <w:color w:val="auto"/>
          <w:lang w:val="uk-UA"/>
        </w:rPr>
        <w:t>К</w:t>
      </w:r>
      <w:r>
        <w:rPr>
          <w:rFonts w:ascii="Times New Roman" w:hAnsi="Times New Roman"/>
          <w:color w:val="auto"/>
          <w:lang w:val="uk-UA"/>
        </w:rPr>
        <w:t>омунального  некомерційного товариства  Броварської міської ради Броварського району Київської області</w:t>
      </w:r>
      <w:r>
        <w:rPr>
          <w:rFonts w:ascii="Times New Roman" w:hAnsi="Times New Roman"/>
          <w:lang w:val="uk-UA"/>
        </w:rPr>
        <w:t xml:space="preserve"> </w:t>
      </w:r>
    </w:p>
    <w:p>
      <w:pPr>
        <w:pStyle w:val="Heading1"/>
        <w:spacing w:before="0" w:beforeAutospacing="0" w:afterAutospacing="0"/>
        <w:jc w:val="center"/>
        <w:rPr>
          <w:rFonts w:ascii="Times New Roman" w:hAnsi="Times New Roman"/>
          <w:b w:val="0"/>
          <w:bCs w:val="0"/>
          <w:color w:val="auto"/>
          <w:lang w:val="uk-UA"/>
        </w:rPr>
      </w:pPr>
      <w:r>
        <w:rPr>
          <w:rFonts w:ascii="Times New Roman" w:hAnsi="Times New Roman"/>
          <w:color w:val="auto"/>
          <w:lang w:val="uk-UA"/>
        </w:rPr>
        <w:t>«Центр фізичного здоров’я» на 2026-2030 роки</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ind w:left="4962"/>
        <w:jc w:val="both"/>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rPr>
          <w:rFonts w:ascii="Times New Roman" w:hAnsi="Times New Roman"/>
          <w:sz w:val="28"/>
          <w:szCs w:val="28"/>
          <w:lang w:val="uk-UA"/>
        </w:rPr>
      </w:pPr>
    </w:p>
    <w:p>
      <w:pPr>
        <w:pStyle w:val="NoSpacing"/>
        <w:spacing w:beforeAutospacing="0" w:afterAutospacing="0" w:line="276" w:lineRule="auto"/>
        <w:jc w:val="center"/>
        <w:rPr>
          <w:rFonts w:ascii="Times New Roman" w:hAnsi="Times New Roman"/>
          <w:sz w:val="28"/>
          <w:szCs w:val="28"/>
          <w:lang w:val="uk-UA"/>
        </w:rPr>
      </w:pPr>
    </w:p>
    <w:p>
      <w:pPr>
        <w:pStyle w:val="NoSpacing"/>
        <w:spacing w:beforeAutospacing="0" w:afterAutospacing="0" w:line="276" w:lineRule="auto"/>
        <w:jc w:val="center"/>
        <w:rPr>
          <w:rFonts w:ascii="Times New Roman" w:hAnsi="Times New Roman"/>
          <w:sz w:val="28"/>
          <w:szCs w:val="28"/>
          <w:lang w:val="uk-UA"/>
        </w:rPr>
      </w:pPr>
      <w:r>
        <w:rPr>
          <w:rFonts w:ascii="Times New Roman" w:hAnsi="Times New Roman"/>
          <w:sz w:val="28"/>
          <w:szCs w:val="28"/>
          <w:lang w:val="uk-UA"/>
        </w:rPr>
        <w:t>м. Бровари</w:t>
      </w:r>
    </w:p>
    <w:p>
      <w:pPr>
        <w:pStyle w:val="NoSpacing"/>
        <w:spacing w:beforeAutospacing="0" w:afterAutospacing="0" w:line="276" w:lineRule="auto"/>
        <w:jc w:val="center"/>
        <w:rPr>
          <w:rFonts w:ascii="Times New Roman" w:hAnsi="Times New Roman"/>
          <w:sz w:val="28"/>
          <w:szCs w:val="28"/>
          <w:lang w:val="uk-UA"/>
        </w:rPr>
      </w:pPr>
      <w:r>
        <w:rPr>
          <w:rFonts w:ascii="Times New Roman" w:hAnsi="Times New Roman"/>
          <w:sz w:val="28"/>
          <w:szCs w:val="28"/>
          <w:lang w:val="uk-UA"/>
        </w:rPr>
        <w:t>2026 рік</w:t>
      </w:r>
    </w:p>
    <w:p>
      <w:pPr>
        <w:pStyle w:val="NoSpacing"/>
        <w:spacing w:beforeAutospacing="0" w:afterAutospacing="0" w:line="276" w:lineRule="auto"/>
        <w:jc w:val="center"/>
        <w:rPr>
          <w:rFonts w:ascii="Times New Roman" w:hAnsi="Times New Roman"/>
          <w:sz w:val="28"/>
          <w:szCs w:val="28"/>
          <w:lang w:val="uk-UA"/>
        </w:rPr>
      </w:pP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ПАСПОРТ</w:t>
      </w:r>
    </w:p>
    <w:p>
      <w:pPr>
        <w:pStyle w:val="Heading1"/>
        <w:spacing w:before="0" w:beforeAutospacing="0" w:afterAutospacing="0"/>
        <w:jc w:val="center"/>
        <w:rPr>
          <w:rFonts w:ascii="Times New Roman" w:hAnsi="Times New Roman"/>
          <w:color w:val="auto"/>
          <w:lang w:val="uk-UA"/>
        </w:rPr>
      </w:pPr>
      <w:r>
        <w:rPr>
          <w:rFonts w:ascii="Times New Roman" w:hAnsi="Times New Roman"/>
          <w:color w:val="auto"/>
          <w:lang w:val="uk-UA"/>
        </w:rPr>
        <w:t xml:space="preserve">Програми  фінансової  підтримки </w:t>
      </w:r>
    </w:p>
    <w:p>
      <w:pPr>
        <w:pStyle w:val="Heading1"/>
        <w:spacing w:before="0" w:beforeAutospacing="0" w:afterAutospacing="0"/>
        <w:jc w:val="center"/>
        <w:rPr>
          <w:rFonts w:ascii="Times New Roman" w:hAnsi="Times New Roman"/>
          <w:b w:val="0"/>
          <w:bCs w:val="0"/>
          <w:color w:val="auto"/>
          <w:lang w:val="uk-UA"/>
        </w:rPr>
      </w:pPr>
      <w:r>
        <w:rPr>
          <w:rFonts w:ascii="Times New Roman" w:hAnsi="Times New Roman"/>
          <w:color w:val="auto"/>
          <w:lang w:val="uk-UA"/>
        </w:rPr>
        <w:t>К</w:t>
      </w:r>
      <w:r>
        <w:rPr>
          <w:rFonts w:ascii="Times New Roman" w:hAnsi="Times New Roman"/>
          <w:color w:val="auto"/>
          <w:lang w:val="uk-UA"/>
        </w:rPr>
        <w:t>омунального  некомерційного товариства  Броварської міської ради Броварського району Київської області</w:t>
      </w:r>
      <w:r>
        <w:rPr>
          <w:rFonts w:ascii="Times New Roman" w:hAnsi="Times New Roman"/>
          <w:lang w:val="uk-UA"/>
        </w:rPr>
        <w:t xml:space="preserve"> </w:t>
      </w:r>
    </w:p>
    <w:p>
      <w:pPr>
        <w:pStyle w:val="Heading1"/>
        <w:spacing w:before="0" w:beforeAutospacing="0" w:afterAutospacing="0"/>
        <w:jc w:val="center"/>
        <w:rPr>
          <w:rFonts w:ascii="Times New Roman" w:hAnsi="Times New Roman"/>
          <w:b w:val="0"/>
          <w:bCs w:val="0"/>
          <w:color w:val="auto"/>
          <w:lang w:val="uk-UA"/>
        </w:rPr>
      </w:pPr>
      <w:r>
        <w:rPr>
          <w:rFonts w:ascii="Times New Roman" w:hAnsi="Times New Roman"/>
          <w:color w:val="auto"/>
          <w:lang w:val="uk-UA"/>
        </w:rPr>
        <w:t>«ЦЕНТР ФІЗИЧНОГО ЗДОРОВ’Я»  на 2026-2030 роки</w:t>
      </w:r>
    </w:p>
    <w:p>
      <w:pPr>
        <w:pStyle w:val="NoSpacing"/>
        <w:spacing w:beforeAutospacing="0" w:afterAutospacing="0" w:line="276" w:lineRule="auto"/>
        <w:jc w:val="center"/>
        <w:rPr>
          <w:rFonts w:ascii="Times New Roman" w:hAnsi="Times New Roman"/>
          <w:b/>
          <w:sz w:val="28"/>
          <w:szCs w:val="28"/>
          <w:lang w:val="uk-UA"/>
        </w:rPr>
      </w:pPr>
    </w:p>
    <w:tbl>
      <w:tblPr>
        <w:tblStyle w:val="TableGrid"/>
        <w:tblW w:w="0" w:type="auto"/>
        <w:tblLook w:val="04A0"/>
      </w:tblPr>
      <w:tblGrid>
        <w:gridCol w:w="518"/>
        <w:gridCol w:w="3204"/>
        <w:gridCol w:w="3478"/>
      </w:tblGrid>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1</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Ініціатор розроблення Програми</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Броварська  міська рада Броварського району Київської області</w:t>
            </w:r>
          </w:p>
        </w:tc>
      </w:tr>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2</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 xml:space="preserve">Розробник Програми </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«Центр фізичного здоров’я»</w:t>
            </w:r>
          </w:p>
        </w:tc>
      </w:tr>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3</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Відповідальний виконавець Програми</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«Центр фізичного здоров’я»</w:t>
            </w:r>
          </w:p>
        </w:tc>
      </w:tr>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4</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Учасники Програми</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«Центр фізичного здоров’я»</w:t>
            </w:r>
          </w:p>
        </w:tc>
      </w:tr>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5</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Термін реалізації Програми</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 xml:space="preserve"> 2026-2030 роки</w:t>
            </w:r>
          </w:p>
        </w:tc>
      </w:tr>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6</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Перелік бюджетів, які беруть участь у виконанні Програми</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Місцевий бюджет Броварської міської територіальної громади та інші джерела фінансування не заборонені законодавством</w:t>
            </w:r>
          </w:p>
        </w:tc>
      </w:tr>
      <w:tr>
        <w:tblPrEx>
          <w:tblW w:w="0" w:type="auto"/>
          <w:tblLook w:val="04A0"/>
        </w:tblPrEx>
        <w:trPr>
          <w:trHeight w:val="483"/>
        </w:trPr>
        <w:tc>
          <w:tcPr>
            <w:tcW w:w="675"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7</w:t>
            </w:r>
          </w:p>
        </w:tc>
        <w:tc>
          <w:tcPr>
            <w:tcW w:w="4253"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Загальний обсяг фінансових ресурсів, необхідних для реалізації Програми, в тому числі з них коштів: місцевих бюджетів</w:t>
            </w:r>
          </w:p>
        </w:tc>
        <w:tc>
          <w:tcPr>
            <w:tcW w:w="4819" w:type="dxa"/>
          </w:tcPr>
          <w:p>
            <w:pPr>
              <w:pStyle w:val="NoSpacing"/>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В межах коштів передбачених в кошторисах видатків на 2026-2030 роки у сумі 44272,30 тис. грн:</w:t>
            </w:r>
          </w:p>
          <w:p>
            <w:pPr>
              <w:pStyle w:val="NoSpacing"/>
              <w:numPr>
                <w:ilvl w:val="0"/>
                <w:numId w:val="1"/>
              </w:numPr>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2026 рік – 475,00 тис. грн;</w:t>
            </w:r>
          </w:p>
          <w:p>
            <w:pPr>
              <w:pStyle w:val="NoSpacing"/>
              <w:numPr>
                <w:ilvl w:val="0"/>
                <w:numId w:val="1"/>
              </w:numPr>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2027 рік – 10474,6 тис. грн;</w:t>
            </w:r>
          </w:p>
          <w:p>
            <w:pPr>
              <w:pStyle w:val="NoSpacing"/>
              <w:numPr>
                <w:ilvl w:val="0"/>
                <w:numId w:val="1"/>
              </w:numPr>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2028 рік – 10609,6 тис. грн;</w:t>
            </w:r>
          </w:p>
          <w:p>
            <w:pPr>
              <w:pStyle w:val="NoSpacing"/>
              <w:numPr>
                <w:ilvl w:val="0"/>
                <w:numId w:val="1"/>
              </w:numPr>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2029 рік – 11116,7 тис. грн;</w:t>
            </w:r>
          </w:p>
          <w:p>
            <w:pPr>
              <w:pStyle w:val="NoSpacing"/>
              <w:numPr>
                <w:ilvl w:val="0"/>
                <w:numId w:val="1"/>
              </w:numPr>
              <w:spacing w:beforeAutospacing="0" w:afterAutospacing="0" w:line="276" w:lineRule="auto"/>
              <w:jc w:val="both"/>
              <w:rPr>
                <w:rFonts w:ascii="Times New Roman" w:hAnsi="Times New Roman"/>
                <w:sz w:val="28"/>
                <w:szCs w:val="28"/>
                <w:lang w:val="uk-UA"/>
              </w:rPr>
            </w:pPr>
            <w:r>
              <w:rPr>
                <w:rFonts w:ascii="Times New Roman" w:hAnsi="Times New Roman"/>
                <w:sz w:val="28"/>
                <w:szCs w:val="28"/>
                <w:lang w:val="uk-UA"/>
              </w:rPr>
              <w:t>2030 рік – 11596,4 тис. грн</w:t>
            </w:r>
          </w:p>
        </w:tc>
      </w:tr>
    </w:tbl>
    <w:p>
      <w:pPr>
        <w:pStyle w:val="NoSpacing"/>
        <w:spacing w:beforeAutospacing="0" w:afterAutospacing="0" w:line="276" w:lineRule="auto"/>
        <w:jc w:val="both"/>
        <w:rPr>
          <w:rFonts w:ascii="Times New Roman" w:hAnsi="Times New Roman"/>
          <w:b/>
          <w:sz w:val="28"/>
          <w:szCs w:val="28"/>
          <w:lang w:val="uk-UA"/>
        </w:rPr>
      </w:pPr>
    </w:p>
    <w:p>
      <w:pPr>
        <w:pStyle w:val="NoSpacing"/>
        <w:spacing w:beforeAutospacing="0" w:afterAutospacing="0" w:line="276" w:lineRule="auto"/>
        <w:jc w:val="both"/>
        <w:rPr>
          <w:rFonts w:ascii="Times New Roman" w:hAnsi="Times New Roman"/>
          <w:b/>
          <w:sz w:val="28"/>
          <w:szCs w:val="28"/>
          <w:lang w:val="uk-UA"/>
        </w:rPr>
      </w:pPr>
    </w:p>
    <w:p>
      <w:pPr>
        <w:pStyle w:val="NoSpacing"/>
        <w:spacing w:beforeAutospacing="0" w:afterAutospacing="0" w:line="276" w:lineRule="auto"/>
        <w:jc w:val="both"/>
        <w:rPr>
          <w:rFonts w:ascii="Times New Roman" w:hAnsi="Times New Roman"/>
          <w:b/>
          <w:sz w:val="28"/>
          <w:szCs w:val="28"/>
          <w:lang w:val="uk-UA"/>
        </w:rPr>
      </w:pPr>
    </w:p>
    <w:p>
      <w:pPr>
        <w:pStyle w:val="NoSpacing"/>
        <w:spacing w:beforeAutospacing="0" w:afterAutospacing="0" w:line="276" w:lineRule="auto"/>
        <w:jc w:val="both"/>
        <w:rPr>
          <w:rFonts w:ascii="Times New Roman" w:hAnsi="Times New Roman"/>
          <w:b/>
          <w:sz w:val="28"/>
          <w:szCs w:val="28"/>
          <w:lang w:val="uk-UA"/>
        </w:rPr>
      </w:pPr>
    </w:p>
    <w:p>
      <w:pPr>
        <w:pStyle w:val="NoSpacing"/>
        <w:spacing w:beforeAutospacing="0" w:afterAutospacing="0" w:line="276" w:lineRule="auto"/>
        <w:jc w:val="both"/>
        <w:rPr>
          <w:rFonts w:ascii="Times New Roman" w:hAnsi="Times New Roman"/>
          <w:b/>
          <w:sz w:val="28"/>
          <w:szCs w:val="28"/>
          <w:lang w:val="uk-UA"/>
        </w:rPr>
      </w:pP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1. Визначення проблеми, на розв'язання якої</w:t>
      </w: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спрямована Програма</w:t>
      </w:r>
    </w:p>
    <w:p>
      <w:pPr>
        <w:pStyle w:val="NoSpacing"/>
        <w:spacing w:beforeAutospacing="0" w:afterAutospacing="0" w:line="276" w:lineRule="auto"/>
        <w:jc w:val="center"/>
        <w:rPr>
          <w:rFonts w:ascii="Times New Roman" w:hAnsi="Times New Roman"/>
          <w:b/>
          <w:sz w:val="28"/>
          <w:szCs w:val="28"/>
          <w:lang w:val="uk-UA"/>
        </w:rPr>
      </w:pP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Для забезпечення виконання завдань та напрямків, передбачених в установчих документів, що сприятиме створенню сприятливих умов для реалізації права громадян на заняття фізичною культурою та спортом, розвитку адаптивного спорту, соціальному та психологічному відновленню ветеранів війни та людей з інвалідністю, зміцненню матеріально-технічної бази некомерційного товариства та забезпечення повної та своєчасної виплати заробітної плати працівникам некомерційного товариства та проведення розрахунків з комунальних послуг. </w:t>
      </w:r>
    </w:p>
    <w:p>
      <w:pPr>
        <w:pStyle w:val="NoSpacing"/>
        <w:spacing w:beforeAutospacing="0" w:afterAutospacing="0" w:line="276" w:lineRule="auto"/>
        <w:jc w:val="right"/>
        <w:rPr>
          <w:rFonts w:ascii="Times New Roman" w:hAnsi="Times New Roman"/>
          <w:sz w:val="28"/>
          <w:szCs w:val="28"/>
          <w:lang w:val="uk-UA"/>
        </w:rPr>
      </w:pP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2.Загальні положення</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Програма фінансової підтримки </w:t>
      </w:r>
      <w:r>
        <w:rPr>
          <w:rFonts w:ascii="Times New Roman" w:hAnsi="Times New Roman"/>
          <w:smallCaps w:val="0"/>
          <w:snapToGrid/>
          <w:spacing w:val="0"/>
          <w:w w:val="100"/>
          <w:position w:val="0"/>
          <w:sz w:val="28"/>
          <w:szCs w:val="22"/>
          <w:cs w:val="0"/>
          <w:lang w:val="uk-UA"/>
        </w:rPr>
        <w:t>К</w:t>
      </w:r>
      <w:r>
        <w:rPr>
          <w:rFonts w:ascii="Times New Roman" w:hAnsi="Times New Roman"/>
          <w:sz w:val="28"/>
          <w:szCs w:val="28"/>
          <w:lang w:val="uk-UA"/>
        </w:rPr>
        <w:t>омунального некомерційного товариства Броварської міської ради Броварського району Київської області «Центр фізичного здоров’я» (далі – Програма) розроблена з метою забезпечення стабільної та безперебійної діяльності Центру, створення належних умов для розвитку фізичної культури і спорту в Броварській міській територіальній громаді, а також реалізації права мешканців громади на доступні фізкультурно-оздоровчі послуги. Програма спрямована на підтримку діяльності Центру відповідно до його функціонального призначення, зміцнення матеріально-технічної бази, утримання приміщень у належному стані та забезпечення виконання поточних фінансових зобов’язань.</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Особлива увага у реалізації Програми приділяється розвитку адаптивного спорту, створенню умов для соціального та психологічного відновлення ветеранів війни, людей з інвалідністю та інших соціально вразливих категорій населення шляхом залучення їх до фізкультурно-оздоровчої та спортивної діяльності. Діяльність Центру спрямована на соціальну адаптацію, фізичний розвиток, формування мотивації до здорового способу життя та забезпечення доступності фізичної культури для всіх категорій населення незалежно від віку, стану здоров’я чи рівня фізичної підготовки.</w:t>
      </w:r>
    </w:p>
    <w:p>
      <w:pPr>
        <w:pStyle w:val="NoSpacing"/>
        <w:spacing w:beforeAutospacing="0" w:afterAutospacing="0" w:line="276" w:lineRule="auto"/>
        <w:ind w:firstLine="567"/>
        <w:jc w:val="both"/>
        <w:rPr>
          <w:rFonts w:ascii="Times New Roman" w:hAnsi="Times New Roman"/>
          <w:b/>
          <w:sz w:val="28"/>
          <w:szCs w:val="28"/>
          <w:lang w:val="uk-UA"/>
        </w:rPr>
      </w:pPr>
      <w:r>
        <w:rPr>
          <w:rFonts w:ascii="Times New Roman" w:hAnsi="Times New Roman"/>
          <w:sz w:val="28"/>
          <w:szCs w:val="28"/>
          <w:lang w:val="uk-UA"/>
        </w:rPr>
        <w:t>Реалізація Програми передбачає організацію та проведення фізкультурно-оздоровчих заходів, спортивних свят, фестивалів, конкурсів, показових виступів, участь у місцевих та міжнародних спортивних заходах, а також придбання необхідного обладнання, інвентарю, спортивної форми та інших матеріальних ресурсів. Фінансова підтримка в межах Програми надаватиметься для забезпечення ефективної діяльності Центру, розвитку масового та адаптивного спорту, популяризації рухової активності серед населення та підвищення рівня фізичного і психологічного здоров’я мешканців громади.</w:t>
      </w:r>
      <w:r>
        <w:rPr>
          <w:rFonts w:ascii="Times New Roman" w:hAnsi="Times New Roman"/>
          <w:b/>
          <w:sz w:val="28"/>
          <w:szCs w:val="28"/>
          <w:lang w:val="uk-UA"/>
        </w:rPr>
        <w:tab/>
      </w:r>
    </w:p>
    <w:p>
      <w:pPr>
        <w:pStyle w:val="NoSpacing"/>
        <w:spacing w:beforeAutospacing="0" w:afterAutospacing="0" w:line="276" w:lineRule="auto"/>
        <w:ind w:firstLine="567"/>
        <w:jc w:val="both"/>
        <w:rPr>
          <w:rFonts w:ascii="Times New Roman" w:hAnsi="Times New Roman"/>
          <w:b/>
          <w:sz w:val="28"/>
          <w:szCs w:val="28"/>
          <w:lang w:val="uk-UA"/>
        </w:rPr>
      </w:pP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3. Мета Програми</w:t>
      </w:r>
    </w:p>
    <w:p>
      <w:pPr>
        <w:pStyle w:val="NoSpacing"/>
        <w:spacing w:beforeAutospacing="0" w:afterAutospacing="0" w:line="276" w:lineRule="auto"/>
        <w:jc w:val="center"/>
        <w:rPr>
          <w:rFonts w:ascii="Times New Roman" w:hAnsi="Times New Roman"/>
          <w:b/>
          <w:sz w:val="28"/>
          <w:szCs w:val="28"/>
          <w:lang w:val="uk-UA"/>
        </w:rPr>
      </w:pP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Метою Програми є: </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3.1. Забезпечення стабільності роботи та безперебійної діяльності комунального некомерційного товариства громади відповідно до його функціонального призначення;</w:t>
      </w:r>
    </w:p>
    <w:p>
      <w:pPr>
        <w:pStyle w:val="NoSpacing"/>
        <w:spacing w:beforeAutospacing="0" w:afterAutospacing="0" w:line="276" w:lineRule="auto"/>
        <w:ind w:firstLine="567"/>
        <w:jc w:val="both"/>
        <w:rPr>
          <w:rFonts w:ascii="Times New Roman" w:hAnsi="Times New Roman"/>
          <w:sz w:val="28"/>
          <w:lang w:val="uk-UA"/>
        </w:rPr>
      </w:pPr>
      <w:r>
        <w:rPr>
          <w:rFonts w:ascii="Times New Roman" w:hAnsi="Times New Roman"/>
          <w:sz w:val="28"/>
          <w:szCs w:val="28"/>
          <w:lang w:val="uk-UA"/>
        </w:rPr>
        <w:t xml:space="preserve">3.2. </w:t>
      </w:r>
      <w:r>
        <w:rPr>
          <w:rFonts w:ascii="Times New Roman" w:hAnsi="Times New Roman"/>
          <w:sz w:val="28"/>
          <w:lang w:val="uk-UA"/>
        </w:rPr>
        <w:t>Створення сприятливих умов для реалізації права громадян на заняття фізичною культурою та спортом;</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lang w:val="uk-UA"/>
        </w:rPr>
        <w:t>3.3. Сприяння розвитку адаптивного спорту, соціальному та психологічному відновленню ветеранів війни та людей з інвалідністю, соціальній адаптації та фізичного розвитку;</w:t>
      </w:r>
    </w:p>
    <w:p>
      <w:pPr>
        <w:spacing w:beforeAutospacing="0" w:after="0" w:afterAutospacing="0"/>
        <w:ind w:firstLine="567"/>
        <w:jc w:val="both"/>
        <w:rPr>
          <w:rFonts w:ascii="Times New Roman" w:hAnsi="Times New Roman"/>
          <w:sz w:val="28"/>
        </w:rPr>
      </w:pPr>
      <w:r>
        <w:rPr>
          <w:rFonts w:ascii="Times New Roman" w:hAnsi="Times New Roman"/>
          <w:sz w:val="28"/>
        </w:rPr>
        <w:t>3.4. Задоволення потреб населення у наданні послуг у сфері фізичної культури і спорту за місцем проживання та відпочинку;</w:t>
      </w:r>
    </w:p>
    <w:p>
      <w:pPr>
        <w:spacing w:beforeAutospacing="0" w:after="0" w:afterAutospacing="0"/>
        <w:ind w:firstLine="567"/>
        <w:jc w:val="both"/>
        <w:rPr>
          <w:rFonts w:ascii="Times New Roman" w:hAnsi="Times New Roman"/>
          <w:sz w:val="28"/>
        </w:rPr>
      </w:pPr>
      <w:r>
        <w:rPr>
          <w:rFonts w:ascii="Times New Roman" w:hAnsi="Times New Roman"/>
          <w:sz w:val="28"/>
        </w:rPr>
        <w:t>3.5. Розвиток фізичної культури шляхом надання послуг у сфері фізичної культури і спорту, які полягають в організації та здійсненні фізкультурно-оздоровчої діяльності шляхом проведення фізкультурно-оздоровчих заходів. спрямованих на розвиток фізичної культури за її напрямами, зокрема па забезпечення рухової активності людей з метою їхнього гармонійного фізичного розвитку та ведення здорового способу життя;</w:t>
      </w:r>
    </w:p>
    <w:p>
      <w:pPr>
        <w:spacing w:beforeAutospacing="0" w:after="0" w:afterAutospacing="0"/>
        <w:ind w:firstLine="567"/>
        <w:jc w:val="both"/>
        <w:rPr>
          <w:rFonts w:ascii="Times New Roman" w:hAnsi="Times New Roman"/>
          <w:sz w:val="28"/>
        </w:rPr>
      </w:pPr>
      <w:r>
        <w:rPr>
          <w:rFonts w:ascii="Times New Roman" w:hAnsi="Times New Roman"/>
          <w:sz w:val="28"/>
        </w:rPr>
        <w:t>3.6. 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pPr>
        <w:spacing w:beforeAutospacing="0" w:after="0" w:afterAutospacing="0"/>
        <w:ind w:firstLine="567"/>
        <w:jc w:val="both"/>
        <w:rPr>
          <w:rFonts w:ascii="Times New Roman" w:hAnsi="Times New Roman"/>
          <w:sz w:val="28"/>
        </w:rPr>
      </w:pPr>
      <w:r>
        <w:rPr>
          <w:rFonts w:ascii="Times New Roman" w:hAnsi="Times New Roman"/>
          <w:sz w:val="28"/>
        </w:rPr>
        <w:t>3.7. Придбання необхідного обладнання, матеріалів, інвентарю, спортивної форми та іншого майна;</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3.8.  Виконання зобов'язань по розрахунках за спожиті комунальні послуги (електропостачання, теплопостачання,  водопостачання та водовідведення) та недопущення заборгованості по заробітній платі і нарахуваннях на заробітну плату.</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4. Завдання Програми</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Програмою визначено такі основні завдання, на виконання яких буде надаватися фінансова допомога: </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4.1. Поліпшення матеріально-технічного забезпечення комунального некомерційного товариства  та підвищення його престижу;</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4.2. Утримання в належному стані приміщення, яке перебуває у користуванні некомерційного товариства (проведення поточного ремонту, капітального ремонту, тощо);</w:t>
      </w:r>
    </w:p>
    <w:p>
      <w:pPr>
        <w:spacing w:beforeAutospacing="0" w:after="0" w:afterAutospacing="0"/>
        <w:ind w:firstLine="567"/>
        <w:jc w:val="both"/>
        <w:rPr>
          <w:rFonts w:ascii="Times New Roman" w:hAnsi="Times New Roman"/>
          <w:sz w:val="28"/>
        </w:rPr>
      </w:pPr>
      <w:r>
        <w:rPr>
          <w:rFonts w:ascii="Times New Roman" w:hAnsi="Times New Roman"/>
          <w:spacing w:val="-1"/>
          <w:sz w:val="28"/>
          <w:szCs w:val="28"/>
        </w:rPr>
        <w:t xml:space="preserve">4.3. </w:t>
      </w:r>
      <w:r>
        <w:rPr>
          <w:rFonts w:ascii="Times New Roman" w:hAnsi="Times New Roman"/>
          <w:sz w:val="28"/>
        </w:rPr>
        <w:t>Участь у реалізації на місцевому рівні програм з питань розвитку фізичної культури;</w:t>
      </w:r>
    </w:p>
    <w:p>
      <w:pPr>
        <w:spacing w:beforeAutospacing="0" w:after="0" w:afterAutospacing="0"/>
        <w:ind w:firstLine="567"/>
        <w:jc w:val="both"/>
        <w:rPr>
          <w:rFonts w:ascii="Times New Roman" w:hAnsi="Times New Roman"/>
          <w:sz w:val="28"/>
        </w:rPr>
      </w:pPr>
      <w:r>
        <w:rPr>
          <w:rFonts w:ascii="Times New Roman" w:hAnsi="Times New Roman"/>
          <w:sz w:val="28"/>
        </w:rPr>
        <w:t>4.4. Забезпечення на місцевому рівні розвитку адаптивного спорту;</w:t>
      </w:r>
    </w:p>
    <w:p>
      <w:pPr>
        <w:spacing w:beforeAutospacing="0" w:after="0" w:afterAutospacing="0"/>
        <w:ind w:firstLine="567"/>
        <w:jc w:val="both"/>
        <w:rPr>
          <w:rFonts w:ascii="Times New Roman" w:hAnsi="Times New Roman"/>
          <w:sz w:val="28"/>
        </w:rPr>
      </w:pPr>
      <w:r>
        <w:rPr>
          <w:rFonts w:ascii="Times New Roman" w:hAnsi="Times New Roman"/>
          <w:sz w:val="28"/>
        </w:rPr>
        <w:t>4.5. Організація та проведення фізкультурно-оздоровчої діяльності та надання послуг у сфері фізичної культури і спорту за місцем проживання та відпочинку населення як в масовій, так і в індивідуальній її формі;</w:t>
      </w:r>
    </w:p>
    <w:p>
      <w:pPr>
        <w:spacing w:beforeAutospacing="0" w:after="0" w:afterAutospacing="0"/>
        <w:ind w:firstLine="567"/>
        <w:jc w:val="both"/>
        <w:rPr>
          <w:rFonts w:ascii="Times New Roman" w:hAnsi="Times New Roman"/>
          <w:sz w:val="28"/>
        </w:rPr>
      </w:pPr>
      <w:r>
        <w:rPr>
          <w:rFonts w:ascii="Times New Roman" w:hAnsi="Times New Roman"/>
          <w:sz w:val="28"/>
        </w:rPr>
        <w:t>4.6. Організація та проведення місцевих конкурсів, показових виступів, фестивалів, спортивних свят та інших фізкультурно-оздоровчих заходів;</w:t>
      </w:r>
    </w:p>
    <w:p>
      <w:pPr>
        <w:spacing w:beforeAutospacing="0" w:after="0" w:afterAutospacing="0"/>
        <w:ind w:firstLine="567"/>
        <w:jc w:val="both"/>
        <w:rPr>
          <w:rFonts w:ascii="Times New Roman" w:hAnsi="Times New Roman"/>
          <w:sz w:val="28"/>
        </w:rPr>
      </w:pPr>
      <w:r>
        <w:rPr>
          <w:rFonts w:ascii="Times New Roman" w:hAnsi="Times New Roman"/>
          <w:sz w:val="28"/>
        </w:rPr>
        <w:t>4.7. Проведення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pPr>
        <w:widowControl w:val="0"/>
        <w:shd w:val="clear" w:color="auto" w:fill="FFFFFF"/>
        <w:spacing w:beforeAutospacing="0" w:after="0" w:afterAutospacing="0"/>
        <w:jc w:val="both"/>
        <w:rPr>
          <w:rFonts w:ascii="Times New Roman" w:hAnsi="Times New Roman"/>
          <w:sz w:val="28"/>
          <w:szCs w:val="28"/>
        </w:rPr>
      </w:pPr>
    </w:p>
    <w:p>
      <w:pPr>
        <w:pStyle w:val="NoSpacing"/>
        <w:spacing w:beforeAutospacing="0" w:afterAutospacing="0" w:line="276" w:lineRule="auto"/>
        <w:jc w:val="center"/>
        <w:rPr>
          <w:rFonts w:ascii="Times New Roman" w:hAnsi="Times New Roman"/>
          <w:b/>
          <w:sz w:val="28"/>
          <w:szCs w:val="28"/>
          <w:lang w:val="uk-UA"/>
        </w:rPr>
      </w:pPr>
      <w:r>
        <w:rPr>
          <w:rFonts w:ascii="Times New Roman" w:hAnsi="Times New Roman"/>
          <w:b/>
          <w:sz w:val="28"/>
          <w:szCs w:val="28"/>
          <w:lang w:val="uk-UA"/>
        </w:rPr>
        <w:t>5. Фінансове забезпечення виконання Програми</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Фінансування   Програми  здійснюється  за  рахунок  коштів місцевого бюджету та інших джерел, не заборонених законодавством, згідно додатку, що додається.</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jc w:val="both"/>
        <w:rPr>
          <w:rFonts w:ascii="Times New Roman" w:hAnsi="Times New Roman"/>
          <w:b/>
          <w:sz w:val="28"/>
          <w:szCs w:val="28"/>
          <w:lang w:val="uk-UA"/>
        </w:rPr>
      </w:pPr>
      <w:r>
        <w:rPr>
          <w:rFonts w:ascii="Times New Roman" w:hAnsi="Times New Roman"/>
          <w:color w:val="000000"/>
          <w:sz w:val="28"/>
          <w:szCs w:val="28"/>
          <w:lang w:val="uk-UA"/>
        </w:rPr>
        <w:t xml:space="preserve">                                            </w:t>
      </w:r>
      <w:r>
        <w:rPr>
          <w:rFonts w:ascii="Times New Roman" w:hAnsi="Times New Roman"/>
          <w:b/>
          <w:bCs/>
          <w:color w:val="000000"/>
          <w:sz w:val="28"/>
          <w:szCs w:val="28"/>
          <w:lang w:val="uk-UA"/>
        </w:rPr>
        <w:t>6</w:t>
      </w:r>
      <w:r>
        <w:rPr>
          <w:rFonts w:ascii="Times New Roman" w:hAnsi="Times New Roman"/>
          <w:b/>
          <w:bCs/>
          <w:sz w:val="28"/>
          <w:szCs w:val="28"/>
          <w:lang w:val="uk-UA"/>
        </w:rPr>
        <w:t>.</w:t>
      </w:r>
      <w:r>
        <w:rPr>
          <w:rFonts w:ascii="Times New Roman" w:hAnsi="Times New Roman"/>
          <w:b/>
          <w:sz w:val="28"/>
          <w:szCs w:val="28"/>
          <w:lang w:val="uk-UA"/>
        </w:rPr>
        <w:t xml:space="preserve"> Очікувані результати</w:t>
      </w:r>
    </w:p>
    <w:p>
      <w:pPr>
        <w:pStyle w:val="NoSpacing"/>
        <w:spacing w:beforeAutospacing="0" w:afterAutospacing="0" w:line="276" w:lineRule="auto"/>
        <w:jc w:val="both"/>
        <w:rPr>
          <w:rFonts w:ascii="Times New Roman" w:hAnsi="Times New Roman"/>
          <w:b/>
          <w:sz w:val="28"/>
          <w:szCs w:val="28"/>
          <w:lang w:val="uk-UA"/>
        </w:rPr>
      </w:pP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Виконання програми дасть можливість:</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створення сучасного центру фізичного здоров’я у громаді;</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розвиток адаптивного спорту та інклюзивного середовища;</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ефективна реабілітація ветеранів війни через фізичну активність;</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збільшення кількості мешканців, залучених до занять спортом;</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підвищення рівня фізичного та психічного здоров’я населення;</w:t>
      </w:r>
    </w:p>
    <w:p>
      <w:pPr>
        <w:pStyle w:val="NoSpacing"/>
        <w:spacing w:beforeAutospacing="0" w:afterAutospacing="0" w:line="276" w:lineRule="auto"/>
        <w:ind w:firstLine="567"/>
        <w:jc w:val="both"/>
        <w:rPr>
          <w:rFonts w:ascii="Times New Roman" w:hAnsi="Times New Roman"/>
          <w:sz w:val="28"/>
          <w:szCs w:val="28"/>
          <w:lang w:val="uk-UA"/>
        </w:rPr>
      </w:pPr>
      <w:r>
        <w:rPr>
          <w:rFonts w:ascii="Times New Roman" w:hAnsi="Times New Roman"/>
          <w:sz w:val="28"/>
          <w:szCs w:val="28"/>
          <w:lang w:val="uk-UA"/>
        </w:rPr>
        <w:t>- формування позитивного іміджу громади як соціально відповідальної та прогресивної.</w:t>
      </w:r>
    </w:p>
    <w:p>
      <w:pPr>
        <w:pStyle w:val="NoSpacing"/>
        <w:spacing w:beforeAutospacing="0" w:afterAutospacing="0" w:line="276" w:lineRule="auto"/>
        <w:jc w:val="both"/>
        <w:rPr>
          <w:rFonts w:ascii="Times New Roman" w:hAnsi="Times New Roman"/>
          <w:sz w:val="28"/>
          <w:szCs w:val="28"/>
          <w:lang w:val="uk-UA"/>
        </w:rPr>
      </w:pPr>
    </w:p>
    <w:p>
      <w:pPr>
        <w:pStyle w:val="NoSpacing"/>
        <w:spacing w:beforeAutospacing="0" w:afterAutospacing="0" w:line="276" w:lineRule="auto"/>
        <w:jc w:val="both"/>
        <w:rPr>
          <w:rFonts w:ascii="Times New Roman" w:hAnsi="Times New Roman"/>
          <w:sz w:val="28"/>
          <w:szCs w:val="28"/>
          <w:lang w:val="uk-UA"/>
        </w:rPr>
      </w:pPr>
    </w:p>
    <w:p>
      <w:pPr>
        <w:spacing w:beforeAutospacing="0" w:after="0" w:afterAutospacing="0"/>
        <w:jc w:val="both"/>
        <w:rPr>
          <w:rFonts w:ascii="Times New Roman" w:hAnsi="Times New Roman"/>
          <w:sz w:val="28"/>
          <w:szCs w:val="28"/>
        </w:rPr>
      </w:pPr>
      <w:r>
        <w:rPr>
          <w:rFonts w:ascii="Times New Roman" w:hAnsi="Times New Roman"/>
          <w:sz w:val="28"/>
          <w:szCs w:val="28"/>
        </w:rPr>
        <w:t xml:space="preserve">Міський голова                                                                               Ігор САПОЖКО </w:t>
      </w:r>
    </w:p>
    <w:p>
      <w:pPr>
        <w:spacing w:beforeAutospacing="0" w:after="0" w:afterAutospacing="0"/>
        <w:jc w:val="center"/>
        <w:rPr>
          <w:rFonts w:ascii="Times New Roman" w:hAnsi="Times New Roman"/>
          <w:b/>
          <w:bCs/>
          <w:sz w:val="28"/>
          <w:szCs w:val="28"/>
          <w:lang w:val="ru-RU"/>
        </w:rPr>
      </w:pPr>
      <w:permEnd w:id="0"/>
    </w:p>
    <w:sectPr>
      <w:headerReference w:type="default" r:id="rId5"/>
      <w:footerReference w:type="default" r:id="rId6"/>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AC2EF2"/>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pPr>
      <w:keepNext/>
      <w:keepLines/>
      <w:spacing w:before="480" w:beforeAutospacing="0" w:after="0" w:afterAutospacing="0"/>
      <w:outlineLvl w:val="0"/>
    </w:pPr>
    <w:rPr>
      <w:b/>
      <w:bCs/>
      <w:color w:val="376092" w:themeColor="accent1" w:themeShade="BF"/>
      <w:sz w:val="28"/>
      <w:szCs w:val="28"/>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Spacing">
    <w:name w:val="No Spacing"/>
    <w:qFormat/>
    <w:pPr>
      <w:spacing w:beforeAutospacing="0" w:after="0" w:afterAutospacing="0" w:line="240" w:lineRule="auto"/>
    </w:pPr>
    <w:rPr>
      <w:lang w:val="ru-RU" w:eastAsia="ru-RU"/>
    </w:r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1">
    <w:name w:val="Заголовок 1 Знак"/>
    <w:basedOn w:val="DefaultParagraphFont"/>
    <w:link w:val="Heading1"/>
    <w:rPr>
      <w:b/>
      <w:bCs/>
      <w:color w:val="376092" w:themeColor="accent1" w:themeShade="BF"/>
      <w:sz w:val="28"/>
      <w:szCs w:val="28"/>
      <w:lang w:val="ru-RU" w:eastAsia="ru-RU"/>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97ff-32d0-444b-b55a-5e48d5ee5429}">
  <ds:schemaRefs>
    <ds:schemaRef ds:uri="http://schemas.microsoft.com/vsto/sampl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32</cp:revision>
  <dcterms:created xsi:type="dcterms:W3CDTF">2021-08-31T06:42:00Z</dcterms:created>
  <dcterms:modified xsi:type="dcterms:W3CDTF">2026-05-13T13:48:04Z</dcterms:modified>
</cp:coreProperties>
</file>