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C46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D9E5F2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EEB84E9" w14:textId="2B68E6C1" w:rsidR="000023CF" w:rsidRPr="00E53B6E" w:rsidRDefault="000023CF" w:rsidP="000023CF">
      <w:pPr>
        <w:pStyle w:val="a3"/>
        <w:spacing w:before="0" w:beforeAutospacing="0" w:after="0" w:afterAutospacing="0" w:line="151" w:lineRule="atLeast"/>
        <w:ind w:right="-1"/>
        <w:jc w:val="center"/>
        <w:rPr>
          <w:b/>
          <w:bCs/>
          <w:color w:val="202020"/>
          <w:sz w:val="28"/>
          <w:szCs w:val="28"/>
        </w:rPr>
      </w:pPr>
      <w:r w:rsidRPr="00E53B6E">
        <w:rPr>
          <w:sz w:val="28"/>
          <w:szCs w:val="28"/>
        </w:rPr>
        <w:t xml:space="preserve">до </w:t>
      </w:r>
      <w:proofErr w:type="spellStart"/>
      <w:r w:rsidRPr="00E53B6E">
        <w:rPr>
          <w:sz w:val="28"/>
          <w:szCs w:val="28"/>
        </w:rPr>
        <w:t>проекту</w:t>
      </w:r>
      <w:proofErr w:type="spellEnd"/>
      <w:r w:rsidRPr="00E53B6E">
        <w:rPr>
          <w:sz w:val="28"/>
          <w:szCs w:val="28"/>
        </w:rPr>
        <w:t xml:space="preserve"> рішення</w:t>
      </w:r>
      <w:r w:rsidRPr="00E53B6E">
        <w:rPr>
          <w:b/>
          <w:sz w:val="28"/>
          <w:szCs w:val="28"/>
        </w:rPr>
        <w:t xml:space="preserve"> «</w:t>
      </w:r>
      <w:r w:rsidRPr="00986D29">
        <w:rPr>
          <w:b/>
          <w:sz w:val="28"/>
          <w:szCs w:val="28"/>
        </w:rPr>
        <w:t xml:space="preserve">Про </w:t>
      </w:r>
      <w:r w:rsidR="00556CC9" w:rsidRPr="00556CC9">
        <w:rPr>
          <w:b/>
          <w:sz w:val="28"/>
          <w:szCs w:val="28"/>
        </w:rPr>
        <w:t>затвердження Структури та загальної штатної чисельності виконавчих органів Броварської міської ради Броварського району Київської області</w:t>
      </w:r>
      <w:r w:rsidRPr="00E53B6E">
        <w:rPr>
          <w:b/>
          <w:sz w:val="28"/>
        </w:rPr>
        <w:t>»</w:t>
      </w:r>
    </w:p>
    <w:p w14:paraId="1C56B4F7" w14:textId="77777777" w:rsidR="000023CF" w:rsidRPr="00E53B6E" w:rsidRDefault="000023CF" w:rsidP="000023C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456924CC" w14:textId="77777777" w:rsidR="000023CF" w:rsidRPr="00E53B6E" w:rsidRDefault="000023CF" w:rsidP="000023CF">
      <w:pPr>
        <w:suppressAutoHyphens/>
        <w:spacing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ст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E53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6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53B6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53B6E">
        <w:rPr>
          <w:rFonts w:ascii="Times New Roman" w:hAnsi="Times New Roman" w:cs="Times New Roman"/>
          <w:sz w:val="28"/>
          <w:szCs w:val="28"/>
        </w:rPr>
        <w:t>.</w:t>
      </w:r>
    </w:p>
    <w:p w14:paraId="6DB5815F" w14:textId="77777777" w:rsidR="000023CF" w:rsidRPr="00E53B6E" w:rsidRDefault="000023CF" w:rsidP="00C5286C">
      <w:pPr>
        <w:keepNext/>
        <w:numPr>
          <w:ilvl w:val="1"/>
          <w:numId w:val="1"/>
        </w:numPr>
        <w:suppressAutoHyphens/>
        <w:spacing w:after="0" w:line="240" w:lineRule="auto"/>
        <w:ind w:left="14" w:right="-1" w:firstLine="553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53B6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6730FC7D" w14:textId="7A914FDF" w:rsidR="000023CF" w:rsidRPr="00CD3707" w:rsidRDefault="000023CF" w:rsidP="000023CF">
      <w:pPr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Враховуючи збільшення кількості обстежень окремих категорій </w:t>
      </w:r>
      <w:proofErr w:type="spellStart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>обʼєктів</w:t>
      </w:r>
      <w:proofErr w:type="spellEnd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нерухомого майна пошкоджених/знищених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внаслідок </w:t>
      </w:r>
      <w:r w:rsidRPr="00A75CB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бойових дій, терористичних актів, диверсій, 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>спричинених збройною агресією російської федерації проти України на території Броварської міської територіальної громади, консультування мешканців щодо процедури отримання компенсації за пошкоджене/знищене майно</w:t>
      </w:r>
      <w:r w:rsidR="0097506A">
        <w:rPr>
          <w:rFonts w:ascii="Times New Roman" w:hAnsi="Times New Roman" w:cs="Times New Roman"/>
          <w:sz w:val="28"/>
          <w:szCs w:val="28"/>
          <w:lang w:val="uk-UA" w:eastAsia="zh-CN"/>
        </w:rPr>
        <w:t>,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0" w:name="_Hlk206515173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виникла необхідність розгляду даного </w:t>
      </w:r>
      <w:proofErr w:type="spellStart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>проекту</w:t>
      </w:r>
      <w:proofErr w:type="spellEnd"/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та зміни назв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и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(найменування) кошторисно-договірн</w:t>
      </w:r>
      <w:r w:rsidR="004B0B64">
        <w:rPr>
          <w:rFonts w:ascii="Times New Roman" w:hAnsi="Times New Roman" w:cs="Times New Roman"/>
          <w:sz w:val="28"/>
          <w:szCs w:val="28"/>
          <w:lang w:val="uk-UA" w:eastAsia="zh-CN"/>
        </w:rPr>
        <w:t>ого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відділ</w:t>
      </w:r>
      <w:r w:rsidR="004B0B64">
        <w:rPr>
          <w:rFonts w:ascii="Times New Roman" w:hAnsi="Times New Roman" w:cs="Times New Roman"/>
          <w:sz w:val="28"/>
          <w:szCs w:val="28"/>
          <w:lang w:val="uk-UA" w:eastAsia="zh-CN"/>
        </w:rPr>
        <w:t>у</w:t>
      </w:r>
      <w:r w:rsidRPr="009204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на відділ організації роботи з питань пошкодженого та зруйнованого нерухомого майна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  <w:bookmarkEnd w:id="0"/>
    </w:p>
    <w:p w14:paraId="5D5345AA" w14:textId="77777777" w:rsidR="000023CF" w:rsidRPr="00E53B6E" w:rsidRDefault="000023CF" w:rsidP="000023CF">
      <w:pPr>
        <w:tabs>
          <w:tab w:val="left" w:pos="1134"/>
          <w:tab w:val="left" w:pos="1276"/>
        </w:tabs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412EEFC" w14:textId="550D3A9E" w:rsidR="000023CF" w:rsidRPr="00E53B6E" w:rsidRDefault="000023CF" w:rsidP="000023CF">
      <w:pPr>
        <w:suppressAutoHyphens/>
        <w:spacing w:after="60" w:line="24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Проект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рішення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підготовлено</w:t>
      </w:r>
      <w:r w:rsidRPr="00E53B6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 метою відображення та затвердження, згідно чинного законодавства України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 всіх структурних підрозділів 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45672465" w14:textId="77777777" w:rsidR="000023CF" w:rsidRPr="00E53B6E" w:rsidRDefault="000023CF" w:rsidP="000023C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B5FC1CA" w14:textId="778EA872" w:rsidR="000023CF" w:rsidRPr="00E53B6E" w:rsidRDefault="000023CF" w:rsidP="000023CF">
      <w:pPr>
        <w:spacing w:after="60" w:line="240" w:lineRule="auto"/>
        <w:ind w:left="-142" w:right="-1" w:firstLine="69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E53B6E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компенсацію за пошкодження та знищення окремих категорій </w:t>
      </w:r>
      <w:proofErr w:type="spellStart"/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обʼєктів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нерухомого майна внаслідок бойових дій, терористичних актів, диверсій,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спричинених збройною агресією Російської Федерації проти України,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Державний реєстр майна, пошкодженого та знищеного внаслідок бойових дій,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терористичних актів, диверсій, спричинених збройною агресією Російської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>Федерації проти України»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07D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Державний бюджет України на 2026 рік», «Про місцеве самоврядування в Україні», «Про службу в органах місцевого самоврядування», Бюджетного кодексу України.</w:t>
      </w:r>
    </w:p>
    <w:p w14:paraId="439A1290" w14:textId="77777777" w:rsidR="000023CF" w:rsidRPr="00E53B6E" w:rsidRDefault="000023CF" w:rsidP="000023C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2FCEF6B" w14:textId="36E11094" w:rsidR="000023CF" w:rsidRPr="00E53B6E" w:rsidRDefault="000023CF" w:rsidP="000023CF">
      <w:pPr>
        <w:tabs>
          <w:tab w:val="left" w:pos="0"/>
        </w:tabs>
        <w:suppressAutoHyphens/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даного </w:t>
      </w:r>
      <w:proofErr w:type="spellStart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проекту</w:t>
      </w:r>
      <w:proofErr w:type="spellEnd"/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не</w:t>
      </w:r>
      <w:r w:rsidRPr="00E53B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потребує фінансування з місцевого бюджету</w:t>
      </w:r>
    </w:p>
    <w:p w14:paraId="4C79BFFA" w14:textId="77777777" w:rsidR="000023CF" w:rsidRPr="00E53B6E" w:rsidRDefault="000023CF" w:rsidP="000023CF">
      <w:pPr>
        <w:suppressAutoHyphens/>
        <w:spacing w:after="60" w:line="240" w:lineRule="auto"/>
        <w:ind w:right="-1"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5. Прогноз результатів</w:t>
      </w:r>
    </w:p>
    <w:p w14:paraId="610441CB" w14:textId="7345DEA5" w:rsidR="000023CF" w:rsidRPr="00E53B6E" w:rsidRDefault="000023CF" w:rsidP="000023CF">
      <w:pPr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E53B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2026 рік.</w:t>
      </w:r>
    </w:p>
    <w:p w14:paraId="7B5CE415" w14:textId="77777777" w:rsidR="000023CF" w:rsidRPr="00E53B6E" w:rsidRDefault="000023CF" w:rsidP="000023CF">
      <w:pPr>
        <w:spacing w:after="60" w:line="240" w:lineRule="auto"/>
        <w:ind w:right="-1" w:firstLine="55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53B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проєкту рішення </w:t>
      </w:r>
    </w:p>
    <w:p w14:paraId="35A6E394" w14:textId="77777777" w:rsidR="000023CF" w:rsidRPr="00E53B6E" w:rsidRDefault="000023CF" w:rsidP="000023CF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 по проєкту рішення: </w:t>
      </w:r>
      <w:r w:rsidRPr="00E53B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5BA0DC53" w14:textId="5A7B5AD3" w:rsidR="000023CF" w:rsidRPr="000023CF" w:rsidRDefault="000023CF" w:rsidP="000023CF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проєкту рішення: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Наконечна Віра Віталіївна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відділу персоналу</w:t>
      </w:r>
      <w:r w:rsidRPr="00E53B6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45314C52" w14:textId="77777777" w:rsidR="000023CF" w:rsidRDefault="000023CF" w:rsidP="000023C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E53B6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tbl>
      <w:tblPr>
        <w:tblStyle w:val="a5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709"/>
        <w:gridCol w:w="3969"/>
        <w:gridCol w:w="708"/>
      </w:tblGrid>
      <w:tr w:rsidR="000023CF" w:rsidRPr="00E53B6E" w14:paraId="249D5C15" w14:textId="77777777" w:rsidTr="00A26C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C69" w14:textId="77777777" w:rsidR="000023CF" w:rsidRPr="00E53B6E" w:rsidRDefault="000023CF" w:rsidP="00A26C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AB9" w14:textId="77777777" w:rsidR="000023CF" w:rsidRPr="00E53B6E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Було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5FC" w14:textId="77777777" w:rsidR="000023CF" w:rsidRPr="00E53B6E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907" w14:textId="77777777" w:rsidR="000023CF" w:rsidRPr="00E53B6E" w:rsidRDefault="000023CF" w:rsidP="00A26C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E53B6E"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Стало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B47" w14:textId="77777777" w:rsidR="000023CF" w:rsidRPr="00E53B6E" w:rsidRDefault="000023CF" w:rsidP="00A26C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0023CF" w:rsidRPr="00E53B6E" w14:paraId="5952312F" w14:textId="77777777" w:rsidTr="00A26CD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24854" w14:textId="77777777" w:rsidR="000023CF" w:rsidRDefault="000023CF" w:rsidP="00A2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FD88EB" w14:textId="77777777" w:rsidR="000023CF" w:rsidRDefault="000023CF" w:rsidP="00A2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7A875F" w14:textId="77777777" w:rsidR="000023CF" w:rsidRDefault="000023CF" w:rsidP="00A2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A825D9" w14:textId="77777777" w:rsidR="000023CF" w:rsidRPr="00C52631" w:rsidRDefault="000023CF" w:rsidP="00A26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39B" w14:textId="77777777" w:rsidR="000023CF" w:rsidRPr="00D23678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ЖИТЛОВОКОМУНАЛЬНОГО ГОСПОДАРСТВА, ІНФРАСТРУКТУРИ ТА</w:t>
            </w:r>
          </w:p>
          <w:p w14:paraId="5D1CFFFA" w14:textId="77777777" w:rsidR="000023CF" w:rsidRPr="00D23678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sz w:val="24"/>
                <w:szCs w:val="24"/>
              </w:rPr>
              <w:t>ТРАНСПОРТУ БРОВАРСЬКОЇ МІСЬКОЇ РАДИ</w:t>
            </w:r>
          </w:p>
          <w:p w14:paraId="3C94FE99" w14:textId="77777777" w:rsidR="000023CF" w:rsidRPr="00E53B6E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8192F" w14:textId="77777777" w:rsidR="000023CF" w:rsidRPr="00163190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59A" w14:textId="77777777" w:rsidR="000023CF" w:rsidRPr="00D23678" w:rsidRDefault="000023CF" w:rsidP="00A26CD1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УПРАВЛІННЯ БУДІВНИЦТВА, ЖИТЛОВОКОМУНАЛЬНОГО ГОСПОДАРСТВА, ІНФРАСТРУКТУРИ ТА</w:t>
            </w:r>
          </w:p>
          <w:p w14:paraId="0542C382" w14:textId="77777777" w:rsidR="000023CF" w:rsidRPr="00D23678" w:rsidRDefault="000023CF" w:rsidP="00A26CD1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ТРАНСПОРТУ БРОВАРСЬКОЇ МІСЬКОЇ РАДИ</w:t>
            </w:r>
          </w:p>
          <w:p w14:paraId="6D530E8B" w14:textId="77777777" w:rsidR="000023CF" w:rsidRPr="00E53B6E" w:rsidRDefault="000023CF" w:rsidP="00A26C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36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CCCE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0FABA4E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DC9F00A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70AA831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EE343AD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6FA848EB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6024FFD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1C3770D" w14:textId="77777777" w:rsidR="000023CF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2BAF4E9" w14:textId="77777777" w:rsidR="000023CF" w:rsidRPr="00D23678" w:rsidRDefault="000023CF" w:rsidP="00A26C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  <w:tr w:rsidR="000023CF" w:rsidRPr="00E53B6E" w14:paraId="134050A6" w14:textId="77777777" w:rsidTr="00A26CD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5CE2A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F5ED" w14:textId="77777777" w:rsidR="000023CF" w:rsidRPr="00E53B6E" w:rsidRDefault="000023CF" w:rsidP="00A26CD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E6E">
              <w:rPr>
                <w:rFonts w:ascii="Times New Roman" w:hAnsi="Times New Roman"/>
                <w:sz w:val="24"/>
                <w:szCs w:val="24"/>
              </w:rPr>
              <w:t>4.1. Планово-</w:t>
            </w:r>
            <w:proofErr w:type="spellStart"/>
            <w:r w:rsidRPr="00EC3E6E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EC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168AD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E0C" w14:textId="77777777" w:rsidR="000023CF" w:rsidRPr="00274975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4.1. Планово-технічний відділ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0D19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23CF" w:rsidRPr="00E53B6E" w14:paraId="42E605AB" w14:textId="77777777" w:rsidTr="00A26CD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2BE9B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307" w14:textId="77777777" w:rsidR="000023CF" w:rsidRPr="00E53B6E" w:rsidRDefault="000023CF" w:rsidP="00A26CD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1E1C3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719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пошкодженого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зруйнованого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662F4C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EAB15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23CF" w:rsidRPr="00E53B6E" w14:paraId="7D910ED6" w14:textId="77777777" w:rsidTr="00A26CD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43E13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749" w14:textId="77777777" w:rsidR="000023CF" w:rsidRPr="00E53B6E" w:rsidRDefault="000023CF" w:rsidP="00A26CD1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5E0D4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F88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C811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23CF" w:rsidRPr="00E53B6E" w14:paraId="12FC9F94" w14:textId="77777777" w:rsidTr="00A26CD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31FB4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0EE3" w14:textId="77777777" w:rsidR="000023CF" w:rsidRPr="00617A1C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4.4. Відділ експлуатації житла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BF3C7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6E9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3E6E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EF5" w14:textId="77777777" w:rsidR="000023CF" w:rsidRPr="00342F63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0023CF" w:rsidRPr="00E53B6E" w14:paraId="34B22B1F" w14:textId="77777777" w:rsidTr="00A26CD1">
        <w:trPr>
          <w:trHeight w:val="9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2AAB0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E513" w14:textId="77777777" w:rsidR="000023CF" w:rsidRPr="00BD1910" w:rsidRDefault="000023CF" w:rsidP="00A26CD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та</w:t>
            </w:r>
          </w:p>
          <w:p w14:paraId="7B92DA26" w14:textId="77777777" w:rsidR="000023CF" w:rsidRPr="00E53B6E" w:rsidRDefault="000023CF" w:rsidP="00A26CD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транспорту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7DDC0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D3C" w14:textId="77777777" w:rsidR="000023CF" w:rsidRPr="00BD1910" w:rsidRDefault="000023CF" w:rsidP="00A26C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proofErr w:type="gram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5.Відділ</w:t>
            </w:r>
            <w:proofErr w:type="gram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 xml:space="preserve"> та</w:t>
            </w:r>
          </w:p>
          <w:p w14:paraId="18A3F283" w14:textId="77777777" w:rsidR="000023CF" w:rsidRPr="00E53B6E" w:rsidRDefault="000023CF" w:rsidP="00A26CD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910">
              <w:rPr>
                <w:rFonts w:ascii="Times New Roman" w:eastAsia="Times New Roman" w:hAnsi="Times New Roman"/>
                <w:sz w:val="24"/>
                <w:szCs w:val="24"/>
              </w:rPr>
              <w:t>транспорту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4BA7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23CF" w:rsidRPr="00E53B6E" w14:paraId="06EC13E3" w14:textId="77777777" w:rsidTr="00A26CD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1BDB" w14:textId="77777777" w:rsidR="000023CF" w:rsidRPr="00E53B6E" w:rsidRDefault="000023CF" w:rsidP="00A26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100" w14:textId="77777777" w:rsidR="000023CF" w:rsidRPr="00E53B6E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proofErr w:type="spellEnd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FF892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C07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proofErr w:type="spellEnd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05B4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AD1ADB" w14:textId="77777777" w:rsidR="000023CF" w:rsidRPr="00E53B6E" w:rsidRDefault="000023CF" w:rsidP="00A26C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23CF" w:rsidRPr="00E53B6E" w14:paraId="2222E352" w14:textId="77777777" w:rsidTr="00A26CD1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9427" w14:textId="77777777" w:rsidR="000023CF" w:rsidRPr="00E53B6E" w:rsidRDefault="000023CF" w:rsidP="00A2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67D8" w14:textId="77777777" w:rsidR="000023CF" w:rsidRPr="004C7395" w:rsidRDefault="000023CF" w:rsidP="00A26C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53B6E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4D7" w14:textId="77777777" w:rsidR="000023CF" w:rsidRPr="00E53B6E" w:rsidRDefault="000023CF" w:rsidP="00A26C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11B" w14:textId="77777777" w:rsidR="000023CF" w:rsidRPr="00E53B6E" w:rsidRDefault="000023CF" w:rsidP="00A26C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3B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59</w:t>
            </w: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0023CF" w:rsidRPr="00E53B6E" w14:paraId="6CFF61F1" w14:textId="77777777" w:rsidTr="00A26CD1">
        <w:tc>
          <w:tcPr>
            <w:tcW w:w="4680" w:type="dxa"/>
            <w:hideMark/>
          </w:tcPr>
          <w:p w14:paraId="2F7773AB" w14:textId="77777777" w:rsidR="000023CF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49D276A" w14:textId="77777777" w:rsidR="000023CF" w:rsidRPr="00E53B6E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FDBB23" w14:textId="77777777" w:rsidR="000023CF" w:rsidRPr="00E53B6E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B6E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53B6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00011F4F" w14:textId="77777777" w:rsidR="000023CF" w:rsidRPr="00E53B6E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1ADB43" w14:textId="77777777" w:rsidR="000023CF" w:rsidRPr="00E53B6E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5A70B6" w14:textId="77777777" w:rsidR="000023CF" w:rsidRPr="00E53B6E" w:rsidRDefault="000023CF" w:rsidP="00A26CD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A2AF84" w14:textId="77777777" w:rsidR="000023CF" w:rsidRDefault="000023CF" w:rsidP="00A26CD1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B3413AC" w14:textId="77777777" w:rsidR="000023CF" w:rsidRDefault="000023CF" w:rsidP="00A26CD1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E39A95" w14:textId="77777777" w:rsidR="000023CF" w:rsidRDefault="000023CF" w:rsidP="00A26CD1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1AE0B96" w14:textId="77777777" w:rsidR="000023CF" w:rsidRPr="00E53B6E" w:rsidRDefault="000023CF" w:rsidP="00A26CD1">
            <w:pPr>
              <w:ind w:right="-1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3B6E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E53B6E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02596A91" w14:textId="44ED0CB4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00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9022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23CF"/>
    <w:rsid w:val="000C3BDD"/>
    <w:rsid w:val="00126B69"/>
    <w:rsid w:val="001A3FF0"/>
    <w:rsid w:val="00244FF9"/>
    <w:rsid w:val="003613A9"/>
    <w:rsid w:val="00361CD8"/>
    <w:rsid w:val="004B0B64"/>
    <w:rsid w:val="004E5B0E"/>
    <w:rsid w:val="00525C68"/>
    <w:rsid w:val="00556CC9"/>
    <w:rsid w:val="005B1C08"/>
    <w:rsid w:val="005F334B"/>
    <w:rsid w:val="00696599"/>
    <w:rsid w:val="006C396C"/>
    <w:rsid w:val="0074644B"/>
    <w:rsid w:val="007E7FBA"/>
    <w:rsid w:val="00827775"/>
    <w:rsid w:val="00881846"/>
    <w:rsid w:val="0097506A"/>
    <w:rsid w:val="009B7D79"/>
    <w:rsid w:val="009C0EEF"/>
    <w:rsid w:val="00A218AE"/>
    <w:rsid w:val="00B35D4C"/>
    <w:rsid w:val="00B46089"/>
    <w:rsid w:val="00B57EDB"/>
    <w:rsid w:val="00B80167"/>
    <w:rsid w:val="00BF6942"/>
    <w:rsid w:val="00C5286C"/>
    <w:rsid w:val="00D33F3A"/>
    <w:rsid w:val="00D5049E"/>
    <w:rsid w:val="00D92C45"/>
    <w:rsid w:val="00DD7BFD"/>
    <w:rsid w:val="00FC33D9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06C4"/>
  <w15:docId w15:val="{776CD02F-F096-4F61-94AF-7315B44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ітка таблиці1"/>
    <w:basedOn w:val="a1"/>
    <w:uiPriority w:val="39"/>
    <w:rsid w:val="000023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023C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2703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2026-04-15T08:28:00Z</dcterms:modified>
</cp:coreProperties>
</file>