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0 -->
  <w:body>
    <w:p w:rsidR="004208DA" w:rsidRPr="00BE6BBD" w:rsidP="00B3670E" w14:paraId="5C916CD2" w14:textId="765EB16B">
      <w:pPr>
        <w:tabs>
          <w:tab w:val="left" w:pos="5610"/>
          <w:tab w:val="left" w:pos="6358"/>
        </w:tabs>
        <w:spacing w:after="0"/>
        <w:ind w:left="5103"/>
        <w:jc w:val="center"/>
        <w:rPr>
          <w:rFonts w:ascii="Times New Roman" w:hAnsi="Times New Roman" w:cs="Times New Roman"/>
          <w:sz w:val="28"/>
          <w:szCs w:val="28"/>
          <w:lang w:val="ru-RU"/>
        </w:rPr>
      </w:pPr>
      <w:r w:rsidRPr="004208DA">
        <w:rPr>
          <w:rFonts w:ascii="Times New Roman" w:hAnsi="Times New Roman" w:cs="Times New Roman"/>
          <w:sz w:val="28"/>
          <w:szCs w:val="28"/>
        </w:rPr>
        <w:t>Додаток</w:t>
      </w:r>
      <w:r w:rsidRPr="00456BA9" w:rsidR="00456BA9">
        <w:rPr>
          <w:rFonts w:ascii="Times New Roman" w:hAnsi="Times New Roman" w:cs="Times New Roman"/>
          <w:sz w:val="28"/>
          <w:szCs w:val="28"/>
          <w:lang w:val="ru-RU"/>
        </w:rPr>
        <w:t xml:space="preserve"> </w:t>
      </w:r>
      <w:permStart w:id="0" w:edGrp="everyone"/>
      <w:r w:rsidRPr="00E75D37" w:rsidR="00456BA9">
        <w:rPr>
          <w:rFonts w:ascii="Times New Roman" w:hAnsi="Times New Roman" w:cs="Times New Roman"/>
          <w:sz w:val="28"/>
          <w:szCs w:val="28"/>
          <w:lang w:val="ru-RU"/>
        </w:rPr>
        <w:t xml:space="preserve"> </w:t>
      </w:r>
      <w:permEnd w:id="0"/>
    </w:p>
    <w:p w:rsidR="007C582E" w:rsidP="00B3670E" w14:paraId="6E2C2E53" w14:textId="690770F3">
      <w:pPr>
        <w:tabs>
          <w:tab w:val="left" w:pos="5610"/>
          <w:tab w:val="left" w:pos="6358"/>
        </w:tabs>
        <w:spacing w:after="0"/>
        <w:ind w:left="5103"/>
        <w:jc w:val="center"/>
        <w:rPr>
          <w:rFonts w:ascii="Times New Roman" w:hAnsi="Times New Roman" w:cs="Times New Roman"/>
          <w:sz w:val="28"/>
          <w:szCs w:val="28"/>
        </w:rPr>
      </w:pPr>
      <w:r>
        <w:rPr>
          <w:rFonts w:ascii="Times New Roman" w:hAnsi="Times New Roman" w:cs="Times New Roman"/>
          <w:sz w:val="28"/>
          <w:szCs w:val="28"/>
        </w:rPr>
        <w:t>Р</w:t>
      </w:r>
      <w:r w:rsidRPr="004208DA" w:rsidR="004208DA">
        <w:rPr>
          <w:rFonts w:ascii="Times New Roman" w:hAnsi="Times New Roman" w:cs="Times New Roman"/>
          <w:sz w:val="28"/>
          <w:szCs w:val="28"/>
        </w:rPr>
        <w:t>ішення Броварської міської ради</w:t>
      </w:r>
    </w:p>
    <w:p w:rsidR="004208DA" w:rsidRPr="004208DA" w:rsidP="00B3670E" w14:paraId="2D63D81C" w14:textId="18BEE38C">
      <w:pPr>
        <w:tabs>
          <w:tab w:val="left" w:pos="5610"/>
          <w:tab w:val="left" w:pos="6358"/>
        </w:tabs>
        <w:spacing w:after="0"/>
        <w:ind w:left="5103"/>
        <w:jc w:val="center"/>
        <w:rPr>
          <w:rFonts w:ascii="Times New Roman" w:hAnsi="Times New Roman" w:cs="Times New Roman"/>
          <w:sz w:val="28"/>
          <w:szCs w:val="28"/>
        </w:rPr>
      </w:pPr>
      <w:r w:rsidRPr="004208DA">
        <w:rPr>
          <w:rFonts w:ascii="Times New Roman" w:hAnsi="Times New Roman" w:cs="Times New Roman"/>
          <w:sz w:val="28"/>
          <w:szCs w:val="28"/>
        </w:rPr>
        <w:t>Броварського району</w:t>
      </w:r>
    </w:p>
    <w:p w:rsidR="004208DA" w:rsidP="003530E1" w14:paraId="78288CAD" w14:textId="6BF749C1">
      <w:pPr>
        <w:tabs>
          <w:tab w:val="left" w:pos="5610"/>
          <w:tab w:val="left" w:pos="6358"/>
        </w:tabs>
        <w:spacing w:after="0"/>
        <w:ind w:left="5103"/>
        <w:jc w:val="center"/>
        <w:rPr>
          <w:rFonts w:ascii="Times New Roman" w:hAnsi="Times New Roman" w:cs="Times New Roman"/>
          <w:sz w:val="28"/>
          <w:szCs w:val="28"/>
        </w:rPr>
      </w:pPr>
      <w:r w:rsidRPr="004208DA">
        <w:rPr>
          <w:rFonts w:ascii="Times New Roman" w:hAnsi="Times New Roman" w:cs="Times New Roman"/>
          <w:sz w:val="28"/>
          <w:szCs w:val="28"/>
        </w:rPr>
        <w:t>Київської області</w:t>
      </w:r>
    </w:p>
    <w:p w:rsidR="003530E1" w:rsidRPr="004208DA" w:rsidP="003530E1" w14:paraId="08D553CC" w14:textId="4476E2EB">
      <w:pPr>
        <w:tabs>
          <w:tab w:val="left" w:pos="5610"/>
          <w:tab w:val="left" w:pos="6358"/>
        </w:tabs>
        <w:spacing w:after="0"/>
        <w:ind w:left="5103"/>
        <w:jc w:val="center"/>
        <w:rPr>
          <w:rFonts w:ascii="Times New Roman" w:hAnsi="Times New Roman" w:cs="Times New Roman"/>
          <w:sz w:val="28"/>
          <w:szCs w:val="28"/>
        </w:rPr>
      </w:pPr>
      <w:r w:rsidRPr="00E75D37">
        <w:rPr>
          <w:rFonts w:ascii="Times New Roman" w:hAnsi="Times New Roman" w:cs="Times New Roman"/>
          <w:sz w:val="28"/>
          <w:szCs w:val="28"/>
        </w:rPr>
        <w:t xml:space="preserve">від </w:t>
      </w:r>
      <w:r w:rsidRPr="00E75D37">
        <w:rPr>
          <w:rFonts w:ascii="Times New Roman" w:hAnsi="Times New Roman" w:cs="Times New Roman"/>
          <w:sz w:val="28"/>
          <w:szCs w:val="28"/>
        </w:rPr>
        <w:t>26.03.2026</w:t>
      </w:r>
      <w:r w:rsidRPr="00E75D37">
        <w:rPr>
          <w:rFonts w:ascii="Times New Roman" w:hAnsi="Times New Roman" w:cs="Times New Roman"/>
          <w:sz w:val="28"/>
          <w:szCs w:val="28"/>
        </w:rPr>
        <w:t xml:space="preserve"> № </w:t>
      </w:r>
      <w:r w:rsidRPr="00E75D37">
        <w:rPr>
          <w:rFonts w:ascii="Times New Roman" w:hAnsi="Times New Roman" w:cs="Times New Roman"/>
          <w:sz w:val="28"/>
          <w:szCs w:val="28"/>
        </w:rPr>
        <w:t>2630-114-08</w:t>
      </w:r>
    </w:p>
    <w:p w:rsidR="004208DA" w:rsidRPr="007C582E" w:rsidP="004208DA" w14:paraId="0A449B32" w14:textId="77777777">
      <w:pPr>
        <w:spacing w:after="0"/>
        <w:rPr>
          <w:rFonts w:ascii="Times New Roman" w:hAnsi="Times New Roman" w:cs="Times New Roman"/>
          <w:sz w:val="28"/>
          <w:szCs w:val="28"/>
        </w:rPr>
      </w:pPr>
    </w:p>
    <w:p w:rsidR="003755F0" w:rsidRPr="003755F0" w:rsidP="003755F0" w14:paraId="422BC4F7" w14:textId="66F9FEC8">
      <w:pPr>
        <w:spacing w:after="0"/>
        <w:rPr>
          <w:rFonts w:ascii="Times New Roman" w:hAnsi="Times New Roman" w:cs="Times New Roman"/>
          <w:bCs/>
          <w:sz w:val="28"/>
          <w:szCs w:val="28"/>
        </w:rPr>
      </w:pPr>
      <w:permStart w:id="1" w:edGrp="everyone"/>
      <w:r w:rsidRPr="003755F0">
        <w:rPr>
          <w:rFonts w:ascii="Times New Roman" w:hAnsi="Times New Roman" w:cs="Times New Roman"/>
          <w:bCs/>
          <w:sz w:val="28"/>
          <w:szCs w:val="28"/>
        </w:rPr>
        <w:t>ЗАТВЕРДЖЕНО</w:t>
      </w:r>
    </w:p>
    <w:p w:rsidR="003755F0" w:rsidRPr="003755F0" w:rsidP="003755F0" w14:paraId="1FB01D85" w14:textId="20A88D51">
      <w:pPr>
        <w:spacing w:after="0"/>
        <w:rPr>
          <w:rFonts w:ascii="Times New Roman" w:hAnsi="Times New Roman" w:cs="Times New Roman"/>
          <w:bCs/>
          <w:sz w:val="28"/>
          <w:szCs w:val="28"/>
        </w:rPr>
      </w:pPr>
      <w:r w:rsidRPr="003755F0">
        <w:rPr>
          <w:rFonts w:ascii="Times New Roman" w:hAnsi="Times New Roman" w:cs="Times New Roman"/>
          <w:bCs/>
          <w:sz w:val="28"/>
          <w:szCs w:val="28"/>
        </w:rPr>
        <w:t>Рішенням Єдиного учасника</w:t>
      </w:r>
    </w:p>
    <w:p w:rsidR="003755F0" w:rsidP="003755F0" w14:paraId="7D42319E" w14:textId="01DAFCC2">
      <w:pPr>
        <w:spacing w:after="0"/>
        <w:rPr>
          <w:rFonts w:ascii="Times New Roman" w:hAnsi="Times New Roman" w:cs="Times New Roman"/>
          <w:bCs/>
          <w:sz w:val="28"/>
          <w:szCs w:val="28"/>
        </w:rPr>
      </w:pPr>
      <w:r w:rsidRPr="003755F0">
        <w:rPr>
          <w:rFonts w:ascii="Times New Roman" w:hAnsi="Times New Roman" w:cs="Times New Roman"/>
          <w:bCs/>
          <w:sz w:val="28"/>
          <w:szCs w:val="28"/>
        </w:rPr>
        <w:t>ТОВ «АТОМІС»</w:t>
      </w:r>
      <w:r>
        <w:rPr>
          <w:rFonts w:ascii="Times New Roman" w:hAnsi="Times New Roman" w:cs="Times New Roman"/>
          <w:bCs/>
          <w:sz w:val="28"/>
          <w:szCs w:val="28"/>
        </w:rPr>
        <w:t xml:space="preserve"> </w:t>
      </w:r>
      <w:r w:rsidRPr="003755F0">
        <w:rPr>
          <w:rFonts w:ascii="Times New Roman" w:hAnsi="Times New Roman" w:cs="Times New Roman"/>
          <w:bCs/>
          <w:sz w:val="28"/>
          <w:szCs w:val="28"/>
        </w:rPr>
        <w:t>№20/03-2026 від</w:t>
      </w:r>
      <w:r>
        <w:rPr>
          <w:rFonts w:ascii="Times New Roman" w:hAnsi="Times New Roman" w:cs="Times New Roman"/>
          <w:bCs/>
          <w:sz w:val="28"/>
          <w:szCs w:val="28"/>
        </w:rPr>
        <w:t xml:space="preserve"> </w:t>
      </w:r>
      <w:r w:rsidRPr="003755F0">
        <w:rPr>
          <w:rFonts w:ascii="Times New Roman" w:hAnsi="Times New Roman" w:cs="Times New Roman"/>
          <w:bCs/>
          <w:sz w:val="28"/>
          <w:szCs w:val="28"/>
        </w:rPr>
        <w:t>20.03.2026</w:t>
      </w:r>
    </w:p>
    <w:p w:rsidR="003755F0" w:rsidP="003755F0" w14:paraId="2736E77C" w14:textId="77777777">
      <w:pPr>
        <w:spacing w:after="0"/>
        <w:rPr>
          <w:rFonts w:ascii="Times New Roman" w:hAnsi="Times New Roman" w:cs="Times New Roman"/>
          <w:bCs/>
          <w:sz w:val="28"/>
          <w:szCs w:val="28"/>
        </w:rPr>
      </w:pPr>
      <w:r w:rsidRPr="003755F0">
        <w:rPr>
          <w:rFonts w:ascii="Times New Roman" w:hAnsi="Times New Roman" w:cs="Times New Roman"/>
          <w:bCs/>
          <w:sz w:val="28"/>
          <w:szCs w:val="28"/>
        </w:rPr>
        <w:t xml:space="preserve">«Про створення та затвердження Концепції </w:t>
      </w:r>
    </w:p>
    <w:p w:rsidR="003755F0" w:rsidRPr="003755F0" w:rsidP="003755F0" w14:paraId="491F59AB" w14:textId="69C77292">
      <w:pPr>
        <w:spacing w:after="0"/>
        <w:rPr>
          <w:rFonts w:ascii="Times New Roman" w:hAnsi="Times New Roman" w:cs="Times New Roman"/>
          <w:bCs/>
          <w:sz w:val="28"/>
          <w:szCs w:val="28"/>
        </w:rPr>
      </w:pPr>
      <w:r w:rsidRPr="003755F0">
        <w:rPr>
          <w:rFonts w:ascii="Times New Roman" w:hAnsi="Times New Roman" w:cs="Times New Roman"/>
          <w:bCs/>
          <w:sz w:val="28"/>
          <w:szCs w:val="28"/>
        </w:rPr>
        <w:t>індустріального парку</w:t>
      </w:r>
      <w:r>
        <w:rPr>
          <w:rFonts w:ascii="Times New Roman" w:hAnsi="Times New Roman" w:cs="Times New Roman"/>
          <w:bCs/>
          <w:sz w:val="28"/>
          <w:szCs w:val="28"/>
        </w:rPr>
        <w:t xml:space="preserve"> </w:t>
      </w:r>
      <w:r w:rsidRPr="003755F0">
        <w:rPr>
          <w:rFonts w:ascii="Times New Roman" w:hAnsi="Times New Roman" w:cs="Times New Roman"/>
          <w:bCs/>
          <w:sz w:val="28"/>
          <w:szCs w:val="28"/>
        </w:rPr>
        <w:t>«БУДШЛЯХМАШ»</w:t>
      </w:r>
    </w:p>
    <w:p w:rsidR="003755F0" w:rsidP="003B2A39" w14:paraId="60F6F88A" w14:textId="77777777">
      <w:pPr>
        <w:spacing w:after="0"/>
        <w:jc w:val="center"/>
        <w:rPr>
          <w:rFonts w:ascii="Times New Roman" w:hAnsi="Times New Roman" w:cs="Times New Roman"/>
          <w:b/>
          <w:bCs/>
          <w:sz w:val="28"/>
          <w:szCs w:val="28"/>
        </w:rPr>
      </w:pPr>
    </w:p>
    <w:p w:rsidR="003755F0" w:rsidP="003B2A39" w14:paraId="72F17C85" w14:textId="77777777">
      <w:pPr>
        <w:spacing w:after="0"/>
        <w:jc w:val="center"/>
        <w:rPr>
          <w:rFonts w:ascii="Times New Roman" w:hAnsi="Times New Roman" w:cs="Times New Roman"/>
          <w:b/>
          <w:bCs/>
          <w:sz w:val="28"/>
          <w:szCs w:val="28"/>
        </w:rPr>
      </w:pPr>
    </w:p>
    <w:p w:rsidR="003755F0" w:rsidRPr="003755F0" w:rsidP="003755F0" w14:paraId="4B61116A" w14:textId="77777777">
      <w:pPr>
        <w:spacing w:after="0"/>
        <w:jc w:val="center"/>
        <w:rPr>
          <w:rFonts w:ascii="Times New Roman" w:eastAsia="Times New Roman" w:hAnsi="Times New Roman" w:cs="Times New Roman"/>
          <w:b/>
          <w:bCs/>
          <w:sz w:val="28"/>
          <w:szCs w:val="28"/>
        </w:rPr>
      </w:pPr>
      <w:r w:rsidRPr="003755F0">
        <w:rPr>
          <w:rFonts w:ascii="Times New Roman" w:eastAsia="Times New Roman" w:hAnsi="Times New Roman" w:cs="Times New Roman"/>
          <w:b/>
          <w:bCs/>
          <w:sz w:val="28"/>
          <w:szCs w:val="28"/>
        </w:rPr>
        <w:t>КОНЦЕПЦІЯ</w:t>
      </w:r>
    </w:p>
    <w:p w:rsidR="003755F0" w:rsidRPr="003755F0" w:rsidP="003755F0" w14:paraId="65E5E8BF" w14:textId="77777777">
      <w:pPr>
        <w:spacing w:after="0"/>
        <w:jc w:val="center"/>
        <w:rPr>
          <w:rFonts w:ascii="Times New Roman" w:eastAsia="Times New Roman" w:hAnsi="Times New Roman" w:cs="Times New Roman"/>
          <w:b/>
          <w:sz w:val="28"/>
          <w:szCs w:val="28"/>
        </w:rPr>
      </w:pPr>
      <w:r w:rsidRPr="003755F0">
        <w:rPr>
          <w:rFonts w:ascii="Times New Roman" w:eastAsia="Times New Roman" w:hAnsi="Times New Roman" w:cs="Times New Roman"/>
          <w:b/>
          <w:sz w:val="28"/>
          <w:szCs w:val="28"/>
        </w:rPr>
        <w:t>ІНДУСТРІАЛЬНОГО ПАРКУ</w:t>
      </w:r>
    </w:p>
    <w:p w:rsidR="003755F0" w:rsidRPr="003755F0" w:rsidP="003755F0" w14:paraId="401ECE0A" w14:textId="77777777">
      <w:pPr>
        <w:spacing w:after="0" w:line="360" w:lineRule="auto"/>
        <w:jc w:val="center"/>
        <w:rPr>
          <w:rFonts w:ascii="Times New Roman" w:eastAsia="Times New Roman" w:hAnsi="Times New Roman" w:cs="Times New Roman"/>
          <w:b/>
          <w:sz w:val="28"/>
          <w:szCs w:val="28"/>
        </w:rPr>
      </w:pPr>
      <w:r w:rsidRPr="003755F0">
        <w:rPr>
          <w:rFonts w:ascii="Times New Roman" w:eastAsia="Times New Roman" w:hAnsi="Times New Roman" w:cs="Times New Roman"/>
          <w:b/>
          <w:sz w:val="28"/>
          <w:szCs w:val="28"/>
        </w:rPr>
        <w:t>«БУДШЛЯХМАШ»</w:t>
      </w:r>
    </w:p>
    <w:p w:rsidR="004208DA" w:rsidRPr="00EE06C3" w:rsidP="003B2A39" w14:paraId="412AEC08" w14:textId="77777777">
      <w:pPr>
        <w:spacing w:after="0"/>
        <w:jc w:val="both"/>
        <w:rPr>
          <w:rFonts w:ascii="Times New Roman" w:hAnsi="Times New Roman" w:cs="Times New Roman"/>
          <w:b/>
          <w:sz w:val="28"/>
          <w:szCs w:val="28"/>
        </w:rPr>
      </w:pPr>
    </w:p>
    <w:p w:rsidR="004208DA" w:rsidRPr="00EE06C3" w:rsidP="003B2A39" w14:paraId="26ADCD05" w14:textId="77777777">
      <w:pPr>
        <w:spacing w:after="0"/>
        <w:jc w:val="both"/>
        <w:rPr>
          <w:rFonts w:ascii="Times New Roman" w:hAnsi="Times New Roman" w:cs="Times New Roman"/>
          <w:b/>
          <w:sz w:val="28"/>
          <w:szCs w:val="28"/>
        </w:rPr>
      </w:pPr>
    </w:p>
    <w:p w:rsidR="004208DA" w:rsidRPr="00EE06C3" w:rsidP="003B2A39" w14:paraId="749EF1AF" w14:textId="77777777">
      <w:pPr>
        <w:spacing w:after="0"/>
        <w:jc w:val="both"/>
        <w:rPr>
          <w:rFonts w:ascii="Times New Roman" w:hAnsi="Times New Roman" w:cs="Times New Roman"/>
          <w:b/>
          <w:sz w:val="28"/>
          <w:szCs w:val="28"/>
        </w:rPr>
      </w:pPr>
    </w:p>
    <w:p w:rsidR="004208DA" w:rsidRPr="00EE06C3" w:rsidP="003B2A39" w14:paraId="10AAC19C" w14:textId="77777777">
      <w:pPr>
        <w:spacing w:after="0"/>
        <w:jc w:val="both"/>
        <w:rPr>
          <w:rFonts w:ascii="Times New Roman" w:hAnsi="Times New Roman" w:cs="Times New Roman"/>
          <w:b/>
          <w:sz w:val="28"/>
          <w:szCs w:val="28"/>
        </w:rPr>
      </w:pPr>
    </w:p>
    <w:p w:rsidR="004208DA" w:rsidRPr="00EE06C3" w:rsidP="003B2A39" w14:paraId="01D23B0B" w14:textId="77777777">
      <w:pPr>
        <w:spacing w:after="0"/>
        <w:jc w:val="both"/>
        <w:rPr>
          <w:rFonts w:ascii="Times New Roman" w:hAnsi="Times New Roman" w:cs="Times New Roman"/>
          <w:b/>
          <w:sz w:val="28"/>
          <w:szCs w:val="28"/>
        </w:rPr>
      </w:pPr>
    </w:p>
    <w:p w:rsidR="004208DA" w:rsidRPr="00EE06C3" w:rsidP="003B2A39" w14:paraId="792FBF67" w14:textId="77777777">
      <w:pPr>
        <w:spacing w:after="0"/>
        <w:jc w:val="both"/>
        <w:rPr>
          <w:rFonts w:ascii="Times New Roman" w:hAnsi="Times New Roman" w:cs="Times New Roman"/>
          <w:b/>
          <w:sz w:val="28"/>
          <w:szCs w:val="28"/>
        </w:rPr>
      </w:pPr>
    </w:p>
    <w:p w:rsidR="004208DA" w:rsidRPr="00EE06C3" w:rsidP="003B2A39" w14:paraId="37CECB48" w14:textId="77777777">
      <w:pPr>
        <w:spacing w:after="0"/>
        <w:jc w:val="both"/>
        <w:rPr>
          <w:rFonts w:ascii="Times New Roman" w:hAnsi="Times New Roman" w:cs="Times New Roman"/>
          <w:b/>
          <w:sz w:val="28"/>
          <w:szCs w:val="28"/>
        </w:rPr>
      </w:pPr>
    </w:p>
    <w:p w:rsidR="004208DA" w:rsidRPr="00EE06C3" w:rsidP="003B2A39" w14:paraId="1359531D" w14:textId="77777777">
      <w:pPr>
        <w:spacing w:after="0"/>
        <w:jc w:val="both"/>
        <w:rPr>
          <w:rFonts w:ascii="Times New Roman" w:hAnsi="Times New Roman" w:cs="Times New Roman"/>
          <w:b/>
          <w:sz w:val="28"/>
          <w:szCs w:val="28"/>
        </w:rPr>
      </w:pPr>
    </w:p>
    <w:p w:rsidR="004208DA" w:rsidRPr="00EE06C3" w:rsidP="003B2A39" w14:paraId="64D63DB9" w14:textId="77777777">
      <w:pPr>
        <w:spacing w:after="0"/>
        <w:jc w:val="both"/>
        <w:rPr>
          <w:rFonts w:ascii="Times New Roman" w:hAnsi="Times New Roman" w:cs="Times New Roman"/>
          <w:b/>
          <w:sz w:val="28"/>
          <w:szCs w:val="28"/>
        </w:rPr>
      </w:pPr>
    </w:p>
    <w:p w:rsidR="004208DA" w:rsidRPr="00EE06C3" w:rsidP="003B2A39" w14:paraId="0A0AD946" w14:textId="77777777">
      <w:pPr>
        <w:spacing w:after="0"/>
        <w:jc w:val="both"/>
        <w:rPr>
          <w:rFonts w:ascii="Times New Roman" w:hAnsi="Times New Roman" w:cs="Times New Roman"/>
          <w:b/>
          <w:sz w:val="28"/>
          <w:szCs w:val="28"/>
        </w:rPr>
      </w:pPr>
    </w:p>
    <w:p w:rsidR="004208DA" w:rsidRPr="00EE06C3" w:rsidP="003B2A39" w14:paraId="7F7276E9" w14:textId="77777777">
      <w:pPr>
        <w:spacing w:after="0"/>
        <w:jc w:val="both"/>
        <w:rPr>
          <w:rFonts w:ascii="Times New Roman" w:hAnsi="Times New Roman" w:cs="Times New Roman"/>
          <w:b/>
          <w:sz w:val="28"/>
          <w:szCs w:val="28"/>
        </w:rPr>
      </w:pPr>
    </w:p>
    <w:p w:rsidR="004208DA" w:rsidRPr="00EE06C3" w:rsidP="003B2A39" w14:paraId="6548C267" w14:textId="77777777">
      <w:pPr>
        <w:spacing w:after="0"/>
        <w:jc w:val="both"/>
        <w:rPr>
          <w:rFonts w:ascii="Times New Roman" w:hAnsi="Times New Roman" w:cs="Times New Roman"/>
          <w:b/>
          <w:sz w:val="28"/>
          <w:szCs w:val="28"/>
        </w:rPr>
      </w:pPr>
    </w:p>
    <w:p w:rsidR="004208DA" w:rsidRPr="00EE06C3" w:rsidP="003B2A39" w14:paraId="3356C9B4" w14:textId="77777777">
      <w:pPr>
        <w:spacing w:after="0"/>
        <w:jc w:val="both"/>
        <w:rPr>
          <w:rFonts w:ascii="Times New Roman" w:hAnsi="Times New Roman" w:cs="Times New Roman"/>
          <w:b/>
          <w:sz w:val="28"/>
          <w:szCs w:val="28"/>
        </w:rPr>
      </w:pPr>
    </w:p>
    <w:p w:rsidR="004208DA" w:rsidRPr="00EE06C3" w:rsidP="003B2A39" w14:paraId="2384C187" w14:textId="77777777">
      <w:pPr>
        <w:spacing w:after="0"/>
        <w:jc w:val="both"/>
        <w:rPr>
          <w:rFonts w:ascii="Times New Roman" w:hAnsi="Times New Roman" w:cs="Times New Roman"/>
          <w:b/>
          <w:sz w:val="28"/>
          <w:szCs w:val="28"/>
        </w:rPr>
      </w:pPr>
    </w:p>
    <w:p w:rsidR="004208DA" w:rsidRPr="00EE06C3" w:rsidP="003B2A39" w14:paraId="3701284B" w14:textId="77777777">
      <w:pPr>
        <w:spacing w:after="0"/>
        <w:jc w:val="both"/>
        <w:rPr>
          <w:rFonts w:ascii="Times New Roman" w:hAnsi="Times New Roman" w:cs="Times New Roman"/>
          <w:b/>
          <w:sz w:val="28"/>
          <w:szCs w:val="28"/>
        </w:rPr>
      </w:pPr>
    </w:p>
    <w:p w:rsidR="004208DA" w:rsidRPr="00EE06C3" w:rsidP="003B2A39" w14:paraId="42738D54" w14:textId="77777777">
      <w:pPr>
        <w:spacing w:after="0"/>
        <w:jc w:val="both"/>
        <w:rPr>
          <w:rFonts w:ascii="Times New Roman" w:hAnsi="Times New Roman" w:cs="Times New Roman"/>
          <w:b/>
          <w:sz w:val="28"/>
          <w:szCs w:val="28"/>
        </w:rPr>
      </w:pPr>
    </w:p>
    <w:p w:rsidR="004208DA" w:rsidRPr="00EE06C3" w:rsidP="003B2A39" w14:paraId="66019F50" w14:textId="77777777">
      <w:pPr>
        <w:spacing w:after="0"/>
        <w:jc w:val="both"/>
        <w:rPr>
          <w:rFonts w:ascii="Times New Roman" w:hAnsi="Times New Roman" w:cs="Times New Roman"/>
          <w:b/>
          <w:sz w:val="28"/>
          <w:szCs w:val="28"/>
        </w:rPr>
      </w:pPr>
    </w:p>
    <w:p w:rsidR="004208DA" w:rsidRPr="00EE06C3" w:rsidP="003B2A39" w14:paraId="6749AB0F" w14:textId="77777777">
      <w:pPr>
        <w:spacing w:after="0"/>
        <w:jc w:val="both"/>
        <w:rPr>
          <w:rFonts w:ascii="Times New Roman" w:hAnsi="Times New Roman" w:cs="Times New Roman"/>
          <w:b/>
          <w:sz w:val="28"/>
          <w:szCs w:val="28"/>
        </w:rPr>
      </w:pPr>
    </w:p>
    <w:p w:rsidR="004208DA" w:rsidRPr="00EE06C3" w:rsidP="003B2A39" w14:paraId="103446FA" w14:textId="77777777">
      <w:pPr>
        <w:spacing w:after="0"/>
        <w:jc w:val="both"/>
        <w:rPr>
          <w:rFonts w:ascii="Times New Roman" w:hAnsi="Times New Roman" w:cs="Times New Roman"/>
          <w:b/>
          <w:sz w:val="28"/>
          <w:szCs w:val="28"/>
        </w:rPr>
      </w:pPr>
    </w:p>
    <w:p w:rsidR="004208DA" w:rsidRPr="00EE06C3" w:rsidP="003B2A39" w14:paraId="4093A735" w14:textId="77777777">
      <w:pPr>
        <w:spacing w:after="0"/>
        <w:jc w:val="both"/>
        <w:rPr>
          <w:rFonts w:ascii="Times New Roman" w:hAnsi="Times New Roman" w:cs="Times New Roman"/>
          <w:b/>
          <w:sz w:val="28"/>
          <w:szCs w:val="28"/>
        </w:rPr>
      </w:pPr>
    </w:p>
    <w:p w:rsidR="004208DA" w:rsidRPr="00EE06C3" w:rsidP="003B2A39" w14:paraId="7B82738B" w14:textId="77777777">
      <w:pPr>
        <w:spacing w:after="0"/>
        <w:jc w:val="both"/>
        <w:rPr>
          <w:rFonts w:ascii="Times New Roman" w:hAnsi="Times New Roman" w:cs="Times New Roman"/>
          <w:b/>
          <w:sz w:val="28"/>
          <w:szCs w:val="28"/>
        </w:rPr>
      </w:pPr>
    </w:p>
    <w:p w:rsidR="004208DA" w:rsidRPr="00EE06C3" w:rsidP="003B2A39" w14:paraId="56978CC9" w14:textId="77777777">
      <w:pPr>
        <w:spacing w:after="0"/>
        <w:jc w:val="both"/>
        <w:rPr>
          <w:rFonts w:ascii="Times New Roman" w:hAnsi="Times New Roman" w:cs="Times New Roman"/>
          <w:b/>
          <w:sz w:val="28"/>
          <w:szCs w:val="28"/>
        </w:rPr>
      </w:pPr>
    </w:p>
    <w:p w:rsidR="004208DA" w:rsidRPr="00EE06C3" w:rsidP="003B2A39" w14:paraId="0F00ED70" w14:textId="77777777">
      <w:pPr>
        <w:spacing w:after="0"/>
        <w:jc w:val="both"/>
        <w:rPr>
          <w:rFonts w:ascii="Times New Roman" w:hAnsi="Times New Roman" w:cs="Times New Roman"/>
          <w:b/>
          <w:sz w:val="28"/>
          <w:szCs w:val="28"/>
        </w:rPr>
      </w:pPr>
    </w:p>
    <w:p w:rsidR="003755F0" w:rsidRPr="003755F0" w:rsidP="003755F0" w14:paraId="68286FF7" w14:textId="77777777">
      <w:pPr>
        <w:tabs>
          <w:tab w:val="left" w:pos="284"/>
        </w:tabs>
        <w:spacing w:after="0" w:line="360" w:lineRule="auto"/>
        <w:contextualSpacing/>
        <w:jc w:val="center"/>
        <w:outlineLvl w:val="0"/>
        <w:rPr>
          <w:rFonts w:ascii="Times New Roman" w:eastAsia="Times New Roman" w:hAnsi="Times New Roman" w:cs="Times New Roman"/>
          <w:b/>
          <w:bCs/>
          <w:caps/>
          <w:sz w:val="28"/>
          <w:szCs w:val="28"/>
        </w:rPr>
      </w:pPr>
      <w:r w:rsidRPr="003755F0">
        <w:rPr>
          <w:rFonts w:ascii="Times New Roman" w:eastAsia="Times New Roman" w:hAnsi="Times New Roman" w:cs="Times New Roman"/>
          <w:b/>
          <w:bCs/>
          <w:caps/>
          <w:sz w:val="28"/>
          <w:szCs w:val="28"/>
        </w:rPr>
        <w:t>зміст</w:t>
      </w:r>
    </w:p>
    <w:tbl>
      <w:tblPr>
        <w:tblStyle w:val="10"/>
        <w:tblW w:w="9351" w:type="dxa"/>
        <w:tblInd w:w="0" w:type="dxa"/>
        <w:tblLook w:val="04A0"/>
      </w:tblPr>
      <w:tblGrid>
        <w:gridCol w:w="1101"/>
        <w:gridCol w:w="6945"/>
        <w:gridCol w:w="1305"/>
      </w:tblGrid>
      <w:tr w14:paraId="68B18BCC" w14:textId="77777777" w:rsidTr="003755F0">
        <w:tblPrEx>
          <w:tblW w:w="9351" w:type="dxa"/>
          <w:tblInd w:w="0" w:type="dxa"/>
          <w:tblLook w:val="04A0"/>
        </w:tblPrEx>
        <w:trPr>
          <w:trHeight w:val="398"/>
        </w:trPr>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25C531C" w14:textId="77777777">
            <w:pPr>
              <w:jc w:val="center"/>
              <w:rPr>
                <w:rFonts w:ascii="Times New Roman" w:eastAsia="Times New Roman" w:hAnsi="Times New Roman"/>
                <w:b/>
                <w:sz w:val="24"/>
                <w:szCs w:val="28"/>
              </w:rPr>
            </w:pPr>
            <w:r w:rsidRPr="003755F0">
              <w:rPr>
                <w:rFonts w:ascii="Times New Roman" w:eastAsia="Times New Roman" w:hAnsi="Times New Roman"/>
                <w:b/>
                <w:sz w:val="24"/>
                <w:szCs w:val="28"/>
              </w:rPr>
              <w:t>№ п/п</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AED4717" w14:textId="77777777">
            <w:pPr>
              <w:jc w:val="center"/>
              <w:rPr>
                <w:rFonts w:ascii="Times New Roman" w:eastAsia="Times New Roman" w:hAnsi="Times New Roman"/>
                <w:b/>
                <w:sz w:val="24"/>
                <w:szCs w:val="28"/>
              </w:rPr>
            </w:pPr>
            <w:r w:rsidRPr="003755F0">
              <w:rPr>
                <w:rFonts w:ascii="Times New Roman" w:eastAsia="Times New Roman" w:hAnsi="Times New Roman"/>
                <w:b/>
                <w:sz w:val="24"/>
                <w:szCs w:val="28"/>
              </w:rPr>
              <w:t>Найменування</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BCD292D" w14:textId="77777777">
            <w:pPr>
              <w:ind w:firstLine="43"/>
              <w:jc w:val="center"/>
              <w:rPr>
                <w:rFonts w:ascii="Times New Roman" w:eastAsia="Times New Roman" w:hAnsi="Times New Roman"/>
                <w:b/>
                <w:sz w:val="24"/>
                <w:szCs w:val="28"/>
              </w:rPr>
            </w:pPr>
            <w:r w:rsidRPr="003755F0">
              <w:rPr>
                <w:rFonts w:ascii="Times New Roman" w:eastAsia="Times New Roman" w:hAnsi="Times New Roman"/>
                <w:b/>
                <w:sz w:val="24"/>
                <w:szCs w:val="28"/>
              </w:rPr>
              <w:t>Стр</w:t>
            </w:r>
            <w:r w:rsidRPr="003755F0">
              <w:rPr>
                <w:rFonts w:ascii="Times New Roman" w:eastAsia="Times New Roman" w:hAnsi="Times New Roman"/>
                <w:b/>
                <w:sz w:val="24"/>
                <w:szCs w:val="28"/>
              </w:rPr>
              <w:t>.</w:t>
            </w:r>
          </w:p>
        </w:tc>
      </w:tr>
      <w:tr w14:paraId="4D1DDFD7"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E4CF2E3"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1</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0EF03D"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Назва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D234513" w14:textId="77777777">
            <w:pPr>
              <w:jc w:val="center"/>
              <w:rPr>
                <w:rFonts w:ascii="Times New Roman" w:hAnsi="Times New Roman"/>
                <w:sz w:val="24"/>
                <w:szCs w:val="28"/>
              </w:rPr>
            </w:pPr>
            <w:r w:rsidRPr="003755F0">
              <w:rPr>
                <w:rFonts w:ascii="Times New Roman" w:eastAsia="Times New Roman" w:hAnsi="Times New Roman"/>
                <w:bCs/>
                <w:caps/>
                <w:sz w:val="24"/>
                <w:szCs w:val="28"/>
              </w:rPr>
              <w:t>3</w:t>
            </w:r>
          </w:p>
        </w:tc>
      </w:tr>
      <w:tr w14:paraId="7256AA97"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E21115A"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2</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A35FCC"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Ініціатор створення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79ECE22" w14:textId="77777777">
            <w:pPr>
              <w:jc w:val="center"/>
              <w:rPr>
                <w:rFonts w:ascii="Times New Roman" w:hAnsi="Times New Roman"/>
                <w:sz w:val="24"/>
                <w:szCs w:val="28"/>
              </w:rPr>
            </w:pPr>
            <w:r w:rsidRPr="003755F0">
              <w:rPr>
                <w:rFonts w:ascii="Times New Roman" w:eastAsia="Times New Roman" w:hAnsi="Times New Roman"/>
                <w:bCs/>
                <w:caps/>
                <w:sz w:val="24"/>
                <w:szCs w:val="28"/>
              </w:rPr>
              <w:t>3</w:t>
            </w:r>
          </w:p>
        </w:tc>
      </w:tr>
      <w:tr w14:paraId="4E73A7D7"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DB648F"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3</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AD859C"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Мета, завдання створення та функціональне призначення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3EB8C57" w14:textId="77777777">
            <w:pPr>
              <w:jc w:val="center"/>
              <w:rPr>
                <w:rFonts w:ascii="Times New Roman" w:hAnsi="Times New Roman"/>
                <w:sz w:val="24"/>
                <w:szCs w:val="28"/>
              </w:rPr>
            </w:pPr>
            <w:r w:rsidRPr="003755F0">
              <w:rPr>
                <w:rFonts w:ascii="Times New Roman" w:eastAsia="Times New Roman" w:hAnsi="Times New Roman"/>
                <w:bCs/>
                <w:caps/>
                <w:sz w:val="24"/>
                <w:szCs w:val="28"/>
              </w:rPr>
              <w:t>4</w:t>
            </w:r>
          </w:p>
        </w:tc>
      </w:tr>
      <w:tr w14:paraId="6E317788"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FAD2D3"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4</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276BBD3"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Місце розташування та розмір земельної ділянки</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1058F4" w14:textId="77777777">
            <w:pPr>
              <w:jc w:val="center"/>
              <w:rPr>
                <w:rFonts w:ascii="Times New Roman" w:hAnsi="Times New Roman"/>
                <w:sz w:val="24"/>
                <w:szCs w:val="28"/>
              </w:rPr>
            </w:pPr>
            <w:r w:rsidRPr="003755F0">
              <w:rPr>
                <w:rFonts w:ascii="Times New Roman" w:eastAsia="Times New Roman" w:hAnsi="Times New Roman"/>
                <w:bCs/>
                <w:caps/>
                <w:sz w:val="24"/>
                <w:szCs w:val="28"/>
              </w:rPr>
              <w:t>9</w:t>
            </w:r>
          </w:p>
        </w:tc>
      </w:tr>
      <w:tr w14:paraId="3EFAE291"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C39603"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5</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C5EE9CD"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Строк, на який створюється індустріальний парк</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03C28ED" w14:textId="77777777">
            <w:pPr>
              <w:jc w:val="center"/>
              <w:rPr>
                <w:rFonts w:ascii="Times New Roman" w:hAnsi="Times New Roman"/>
                <w:sz w:val="24"/>
                <w:szCs w:val="28"/>
              </w:rPr>
            </w:pPr>
            <w:r w:rsidRPr="003755F0">
              <w:rPr>
                <w:rFonts w:ascii="Times New Roman" w:eastAsia="Times New Roman" w:hAnsi="Times New Roman"/>
                <w:bCs/>
                <w:caps/>
                <w:sz w:val="24"/>
                <w:szCs w:val="28"/>
              </w:rPr>
              <w:t>18</w:t>
            </w:r>
          </w:p>
        </w:tc>
      </w:tr>
      <w:tr w14:paraId="0967BC09"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9D29FAE"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6</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44A93B"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Вимоги до учасників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1D202A" w14:textId="77777777">
            <w:pPr>
              <w:jc w:val="center"/>
              <w:rPr>
                <w:rFonts w:ascii="Times New Roman" w:hAnsi="Times New Roman"/>
                <w:sz w:val="24"/>
                <w:szCs w:val="28"/>
              </w:rPr>
            </w:pPr>
            <w:r w:rsidRPr="003755F0">
              <w:rPr>
                <w:rFonts w:ascii="Times New Roman" w:eastAsia="Times New Roman" w:hAnsi="Times New Roman"/>
                <w:bCs/>
                <w:caps/>
                <w:sz w:val="24"/>
                <w:szCs w:val="28"/>
              </w:rPr>
              <w:t>18</w:t>
            </w:r>
          </w:p>
        </w:tc>
      </w:tr>
      <w:tr w14:paraId="73F37B75"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A55166"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7</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030B5BC"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B8B48E" w14:textId="77777777">
            <w:pPr>
              <w:jc w:val="center"/>
              <w:rPr>
                <w:rFonts w:ascii="Times New Roman" w:hAnsi="Times New Roman"/>
                <w:sz w:val="24"/>
                <w:szCs w:val="28"/>
              </w:rPr>
            </w:pPr>
            <w:r w:rsidRPr="003755F0">
              <w:rPr>
                <w:rFonts w:ascii="Times New Roman" w:eastAsia="Times New Roman" w:hAnsi="Times New Roman"/>
                <w:bCs/>
                <w:caps/>
                <w:sz w:val="24"/>
                <w:szCs w:val="28"/>
              </w:rPr>
              <w:t>20</w:t>
            </w:r>
          </w:p>
        </w:tc>
      </w:tr>
      <w:tr w14:paraId="5DA99D80"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ED42978"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8</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47C513"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План розвитку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86033A2" w14:textId="77777777">
            <w:pPr>
              <w:jc w:val="center"/>
              <w:rPr>
                <w:rFonts w:ascii="Times New Roman" w:hAnsi="Times New Roman"/>
                <w:sz w:val="24"/>
                <w:szCs w:val="28"/>
              </w:rPr>
            </w:pPr>
            <w:r w:rsidRPr="003755F0">
              <w:rPr>
                <w:rFonts w:ascii="Times New Roman" w:eastAsia="Times New Roman" w:hAnsi="Times New Roman"/>
                <w:bCs/>
                <w:caps/>
                <w:sz w:val="24"/>
                <w:szCs w:val="28"/>
              </w:rPr>
              <w:t>25</w:t>
            </w:r>
          </w:p>
        </w:tc>
      </w:tr>
      <w:tr w14:paraId="3B7C0305"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0C148F"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9</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D7DA2B8"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7D82E7A" w14:textId="77777777">
            <w:pPr>
              <w:jc w:val="center"/>
              <w:rPr>
                <w:rFonts w:ascii="Times New Roman" w:hAnsi="Times New Roman"/>
                <w:sz w:val="24"/>
                <w:szCs w:val="28"/>
              </w:rPr>
            </w:pPr>
            <w:r w:rsidRPr="003755F0">
              <w:rPr>
                <w:rFonts w:ascii="Times New Roman" w:eastAsia="Times New Roman" w:hAnsi="Times New Roman"/>
                <w:bCs/>
                <w:caps/>
                <w:sz w:val="24"/>
                <w:szCs w:val="28"/>
              </w:rPr>
              <w:t>33</w:t>
            </w:r>
          </w:p>
        </w:tc>
      </w:tr>
      <w:tr w14:paraId="48B5CE83"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8CA4AB"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10</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1960364"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Організаційна модель функціонування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30D1A47" w14:textId="77777777">
            <w:pPr>
              <w:jc w:val="center"/>
              <w:rPr>
                <w:rFonts w:ascii="Times New Roman" w:hAnsi="Times New Roman"/>
                <w:sz w:val="24"/>
                <w:szCs w:val="28"/>
              </w:rPr>
            </w:pPr>
            <w:r w:rsidRPr="003755F0">
              <w:rPr>
                <w:rFonts w:ascii="Times New Roman" w:eastAsia="Times New Roman" w:hAnsi="Times New Roman"/>
                <w:bCs/>
                <w:caps/>
                <w:sz w:val="24"/>
                <w:szCs w:val="28"/>
              </w:rPr>
              <w:t>35</w:t>
            </w:r>
          </w:p>
        </w:tc>
      </w:tr>
      <w:tr w14:paraId="33D35DDD"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C064B1"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11</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E37965"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Очікувані результати функціонування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DB50025" w14:textId="77777777">
            <w:pPr>
              <w:jc w:val="center"/>
              <w:rPr>
                <w:rFonts w:ascii="Times New Roman" w:hAnsi="Times New Roman"/>
                <w:sz w:val="24"/>
                <w:szCs w:val="28"/>
              </w:rPr>
            </w:pPr>
            <w:r w:rsidRPr="003755F0">
              <w:rPr>
                <w:rFonts w:ascii="Times New Roman" w:eastAsia="Times New Roman" w:hAnsi="Times New Roman"/>
                <w:bCs/>
                <w:caps/>
                <w:sz w:val="24"/>
                <w:szCs w:val="28"/>
              </w:rPr>
              <w:t>39</w:t>
            </w:r>
          </w:p>
        </w:tc>
      </w:tr>
      <w:tr w14:paraId="7A76AD05" w14:textId="77777777" w:rsidTr="003755F0">
        <w:tblPrEx>
          <w:tblW w:w="9351" w:type="dxa"/>
          <w:tblInd w:w="0" w:type="dxa"/>
          <w:tblLook w:val="04A0"/>
        </w:tblPrEx>
        <w:tc>
          <w:tcPr>
            <w:tcW w:w="110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C4B9A1" w14:textId="77777777">
            <w:pPr>
              <w:jc w:val="center"/>
              <w:rPr>
                <w:rFonts w:ascii="Times New Roman" w:eastAsia="Times New Roman" w:hAnsi="Times New Roman"/>
                <w:b/>
                <w:bCs/>
                <w:caps/>
                <w:sz w:val="24"/>
                <w:szCs w:val="28"/>
              </w:rPr>
            </w:pPr>
            <w:r w:rsidRPr="003755F0">
              <w:rPr>
                <w:rFonts w:ascii="Times New Roman" w:eastAsia="Times New Roman" w:hAnsi="Times New Roman"/>
                <w:sz w:val="24"/>
                <w:szCs w:val="28"/>
              </w:rPr>
              <w:t>12</w:t>
            </w:r>
          </w:p>
        </w:tc>
        <w:tc>
          <w:tcPr>
            <w:tcW w:w="694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12473A" w14:textId="77777777">
            <w:pPr>
              <w:keepNext/>
              <w:keepLines/>
              <w:spacing w:before="160" w:after="80"/>
              <w:outlineLvl w:val="2"/>
              <w:rPr>
                <w:rFonts w:ascii="Times New Roman" w:eastAsia="Times New Roman" w:hAnsi="Times New Roman"/>
                <w:bCs/>
                <w:caps/>
                <w:sz w:val="24"/>
                <w:szCs w:val="28"/>
              </w:rPr>
            </w:pPr>
            <w:r w:rsidRPr="003755F0">
              <w:rPr>
                <w:rFonts w:ascii="Times New Roman" w:eastAsia="Times New Roman" w:hAnsi="Times New Roman"/>
                <w:sz w:val="24"/>
                <w:szCs w:val="28"/>
              </w:rPr>
              <w:t xml:space="preserve">Макроекономічні ефекти реалізації </w:t>
            </w:r>
            <w:r w:rsidRPr="003755F0">
              <w:rPr>
                <w:rFonts w:ascii="Times New Roman" w:eastAsia="Times New Roman" w:hAnsi="Times New Roman"/>
                <w:sz w:val="24"/>
                <w:szCs w:val="28"/>
              </w:rPr>
              <w:t>проєкту</w:t>
            </w:r>
            <w:r w:rsidRPr="003755F0">
              <w:rPr>
                <w:rFonts w:ascii="Times New Roman" w:eastAsia="Times New Roman" w:hAnsi="Times New Roman"/>
                <w:sz w:val="24"/>
                <w:szCs w:val="28"/>
              </w:rPr>
              <w:t xml:space="preserve"> індустріального парку</w:t>
            </w:r>
          </w:p>
        </w:tc>
        <w:tc>
          <w:tcPr>
            <w:tcW w:w="13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4371EF" w14:textId="77777777">
            <w:pPr>
              <w:jc w:val="center"/>
              <w:rPr>
                <w:rFonts w:ascii="Times New Roman" w:hAnsi="Times New Roman"/>
                <w:sz w:val="24"/>
                <w:szCs w:val="28"/>
                <w:lang w:val="en-US"/>
              </w:rPr>
            </w:pPr>
            <w:r w:rsidRPr="003755F0">
              <w:rPr>
                <w:rFonts w:ascii="Times New Roman" w:eastAsia="Times New Roman" w:hAnsi="Times New Roman"/>
                <w:bCs/>
                <w:caps/>
                <w:sz w:val="24"/>
                <w:szCs w:val="28"/>
              </w:rPr>
              <w:t>52</w:t>
            </w:r>
          </w:p>
        </w:tc>
      </w:tr>
    </w:tbl>
    <w:p w:rsidR="003755F0" w:rsidRPr="003755F0" w:rsidP="003755F0" w14:paraId="35D898CB" w14:textId="77777777">
      <w:pPr>
        <w:tabs>
          <w:tab w:val="left" w:pos="284"/>
        </w:tabs>
        <w:spacing w:after="0" w:line="360" w:lineRule="auto"/>
        <w:contextualSpacing/>
        <w:outlineLvl w:val="0"/>
        <w:rPr>
          <w:rFonts w:ascii="Times New Roman" w:eastAsia="Times New Roman" w:hAnsi="Times New Roman" w:cs="Times New Roman"/>
          <w:b/>
          <w:bCs/>
          <w:caps/>
          <w:color w:val="809EC2"/>
          <w:kern w:val="2"/>
          <w:sz w:val="28"/>
          <w:szCs w:val="28"/>
          <w:lang w:eastAsia="en-US"/>
          <w14:ligatures w14:val="standardContextual"/>
        </w:rPr>
      </w:pPr>
    </w:p>
    <w:p w:rsidR="003755F0" w:rsidRPr="003755F0" w:rsidP="003755F0" w14:paraId="516A86E0" w14:textId="77777777">
      <w:pPr>
        <w:spacing w:after="0" w:line="240" w:lineRule="auto"/>
        <w:rPr>
          <w:rFonts w:ascii="Times New Roman" w:eastAsia="Calibri" w:hAnsi="Times New Roman" w:cs="Times New Roman"/>
          <w:b/>
          <w:bCs/>
          <w:caps/>
          <w:kern w:val="2"/>
          <w:sz w:val="28"/>
          <w:szCs w:val="28"/>
          <w:lang w:eastAsia="en-US"/>
          <w14:ligatures w14:val="standardContextual"/>
        </w:rPr>
      </w:pPr>
    </w:p>
    <w:p w:rsidR="003755F0" w:rsidRPr="003755F0" w:rsidP="003755F0" w14:paraId="7EC52520" w14:textId="77777777">
      <w:pPr>
        <w:spacing w:after="160" w:line="254" w:lineRule="auto"/>
        <w:rPr>
          <w:rFonts w:ascii="Times New Roman" w:eastAsia="Calibri" w:hAnsi="Times New Roman" w:cs="Times New Roman"/>
          <w:b/>
          <w:bCs/>
          <w:caps/>
          <w:color w:val="809EC2"/>
          <w:kern w:val="2"/>
          <w:sz w:val="28"/>
          <w:szCs w:val="28"/>
          <w:lang w:eastAsia="en-US"/>
          <w14:ligatures w14:val="standardContextual"/>
        </w:rPr>
      </w:pPr>
      <w:r w:rsidRPr="003755F0">
        <w:rPr>
          <w:rFonts w:ascii="Times New Roman" w:eastAsia="Calibri" w:hAnsi="Times New Roman" w:cs="Times New Roman"/>
          <w:b/>
          <w:bCs/>
          <w:caps/>
          <w:color w:val="809EC2"/>
          <w:sz w:val="28"/>
          <w:szCs w:val="28"/>
          <w:lang w:eastAsia="en-US"/>
        </w:rPr>
        <w:br w:type="page"/>
      </w:r>
    </w:p>
    <w:p w:rsidR="003755F0" w:rsidRPr="003755F0" w:rsidP="003755F0" w14:paraId="6C2E3016" w14:textId="77777777">
      <w:pPr>
        <w:keepNext/>
        <w:keepLines/>
        <w:numPr>
          <w:ilvl w:val="0"/>
          <w:numId w:val="1"/>
        </w:numPr>
        <w:spacing w:before="160" w:after="80" w:line="254" w:lineRule="auto"/>
        <w:jc w:val="center"/>
        <w:outlineLvl w:val="2"/>
        <w:rPr>
          <w:rFonts w:ascii="Times New Roman" w:eastAsia="Times New Roman" w:hAnsi="Times New Roman" w:cs="Times New Roman"/>
          <w:b/>
          <w:kern w:val="2"/>
          <w:sz w:val="28"/>
          <w:szCs w:val="28"/>
          <w:lang w:eastAsia="en-US"/>
          <w14:ligatures w14:val="standardContextual"/>
        </w:rPr>
      </w:pPr>
      <w:r w:rsidRPr="003755F0">
        <w:rPr>
          <w:rFonts w:ascii="Times New Roman" w:eastAsia="Times New Roman" w:hAnsi="Times New Roman" w:cs="Times New Roman"/>
          <w:b/>
          <w:kern w:val="2"/>
          <w:sz w:val="28"/>
          <w:szCs w:val="28"/>
          <w:lang w:eastAsia="en-US"/>
          <w14:ligatures w14:val="standardContextual"/>
        </w:rPr>
        <w:t>Назва індустріального парку</w:t>
      </w:r>
    </w:p>
    <w:p w:rsidR="003755F0" w:rsidRPr="003755F0" w:rsidP="003755F0" w14:paraId="42F7B8BF" w14:textId="77777777">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Українською мовою – Індустріальний парк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347761DC" w14:textId="77777777">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Англійською мовою – </w:t>
      </w:r>
      <w:r w:rsidRPr="003755F0">
        <w:rPr>
          <w:rFonts w:ascii="Times New Roman" w:eastAsia="Calibri" w:hAnsi="Times New Roman" w:cs="Times New Roman"/>
          <w:kern w:val="2"/>
          <w:sz w:val="28"/>
          <w:szCs w:val="28"/>
          <w:lang w:val="en-US" w:eastAsia="en-US"/>
          <w14:ligatures w14:val="standardContextual"/>
        </w:rPr>
        <w:t>I</w:t>
      </w:r>
      <w:r w:rsidRPr="003755F0">
        <w:rPr>
          <w:rFonts w:ascii="Times New Roman" w:eastAsia="Calibri" w:hAnsi="Times New Roman" w:cs="Times New Roman"/>
          <w:kern w:val="2"/>
          <w:sz w:val="28"/>
          <w:szCs w:val="28"/>
          <w:lang w:val="en-GB" w:eastAsia="en-US"/>
          <w14:ligatures w14:val="standardContextual"/>
        </w:rPr>
        <w:t>ndustrial</w:t>
      </w:r>
      <w:r w:rsidRPr="003755F0">
        <w:rPr>
          <w:rFonts w:ascii="Times New Roman" w:eastAsia="Calibri" w:hAnsi="Times New Roman" w:cs="Times New Roman"/>
          <w:kern w:val="2"/>
          <w:sz w:val="28"/>
          <w:szCs w:val="28"/>
          <w:lang w:val="en-GB" w:eastAsia="en-US"/>
          <w14:ligatures w14:val="standardContextual"/>
        </w:rPr>
        <w:t xml:space="preserve"> park</w:t>
      </w:r>
      <w:r w:rsidRPr="003755F0">
        <w:rPr>
          <w:rFonts w:ascii="Times New Roman" w:eastAsia="Calibri" w:hAnsi="Times New Roman" w:cs="Times New Roman"/>
          <w:kern w:val="2"/>
          <w:sz w:val="28"/>
          <w:szCs w:val="28"/>
          <w:lang w:eastAsia="en-US"/>
          <w14:ligatures w14:val="standardContextual"/>
        </w:rPr>
        <w:t xml:space="preserve"> «</w:t>
      </w:r>
      <w:r w:rsidRPr="003755F0">
        <w:rPr>
          <w:rFonts w:ascii="Times New Roman" w:eastAsia="Calibri" w:hAnsi="Times New Roman" w:cs="Times New Roman"/>
          <w:caps/>
          <w:kern w:val="2"/>
          <w:sz w:val="28"/>
          <w:szCs w:val="28"/>
          <w:lang w:eastAsia="en-US"/>
          <w14:ligatures w14:val="standardContextual"/>
        </w:rPr>
        <w:t>BUDShL</w:t>
      </w:r>
      <w:r w:rsidRPr="003755F0">
        <w:rPr>
          <w:rFonts w:ascii="Times New Roman" w:eastAsia="Calibri" w:hAnsi="Times New Roman" w:cs="Times New Roman"/>
          <w:caps/>
          <w:kern w:val="2"/>
          <w:sz w:val="28"/>
          <w:szCs w:val="28"/>
          <w:lang w:val="en-CA" w:eastAsia="en-US"/>
          <w14:ligatures w14:val="standardContextual"/>
        </w:rPr>
        <w:t>Y</w:t>
      </w:r>
      <w:r w:rsidRPr="003755F0">
        <w:rPr>
          <w:rFonts w:ascii="Times New Roman" w:eastAsia="Calibri" w:hAnsi="Times New Roman" w:cs="Times New Roman"/>
          <w:caps/>
          <w:kern w:val="2"/>
          <w:sz w:val="28"/>
          <w:szCs w:val="28"/>
          <w:lang w:eastAsia="en-US"/>
          <w14:ligatures w14:val="standardContextual"/>
        </w:rPr>
        <w:t>aKhMASH</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62F2130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7BD0F923" w14:textId="77777777">
      <w:pPr>
        <w:keepNext/>
        <w:keepLines/>
        <w:numPr>
          <w:ilvl w:val="0"/>
          <w:numId w:val="1"/>
        </w:numPr>
        <w:spacing w:before="160" w:after="80" w:line="254" w:lineRule="auto"/>
        <w:jc w:val="center"/>
        <w:outlineLvl w:val="2"/>
        <w:rPr>
          <w:rFonts w:ascii="Times New Roman" w:eastAsia="Times New Roman" w:hAnsi="Times New Roman" w:cs="Times New Roman"/>
          <w:b/>
          <w:kern w:val="2"/>
          <w:sz w:val="28"/>
          <w:szCs w:val="28"/>
          <w:lang w:eastAsia="en-US"/>
          <w14:ligatures w14:val="standardContextual"/>
        </w:rPr>
      </w:pPr>
      <w:bookmarkStart w:id="2" w:name="_Toc194054625"/>
      <w:r w:rsidRPr="003755F0">
        <w:rPr>
          <w:rFonts w:ascii="Times New Roman" w:eastAsia="Times New Roman" w:hAnsi="Times New Roman" w:cs="Times New Roman"/>
          <w:b/>
          <w:kern w:val="2"/>
          <w:sz w:val="28"/>
          <w:szCs w:val="28"/>
          <w:lang w:eastAsia="en-US"/>
          <w14:ligatures w14:val="standardContextual"/>
        </w:rPr>
        <w:t>Ініціатор створення індустріального парку</w:t>
      </w:r>
      <w:bookmarkEnd w:id="2"/>
    </w:p>
    <w:p w:rsidR="003755F0" w:rsidRPr="003755F0" w:rsidP="003755F0" w14:paraId="1AF2AEC0" w14:textId="77777777">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Індустріальний парк створюється як приватний індустріальний парк.</w:t>
      </w:r>
    </w:p>
    <w:p w:rsidR="003755F0" w:rsidRPr="003755F0" w:rsidP="003755F0" w14:paraId="6B26B91D" w14:textId="77777777">
      <w:pPr>
        <w:spacing w:after="0" w:line="36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Ініціатором створення індустріального парку є:</w:t>
      </w:r>
    </w:p>
    <w:p w:rsidR="003755F0" w:rsidRPr="003755F0" w:rsidP="003755F0" w14:paraId="479884AC" w14:textId="77777777">
      <w:pPr>
        <w:spacing w:after="0"/>
        <w:ind w:firstLine="567"/>
        <w:jc w:val="both"/>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Юридична повна назва:</w:t>
      </w:r>
    </w:p>
    <w:p w:rsidR="003755F0" w:rsidRPr="003755F0" w:rsidP="003755F0" w14:paraId="41268D21" w14:textId="77777777">
      <w:pPr>
        <w:spacing w:after="120" w:line="360" w:lineRule="auto"/>
        <w:ind w:left="567"/>
        <w:jc w:val="both"/>
        <w:rPr>
          <w:rFonts w:ascii="Times New Roman" w:eastAsia="Calibri" w:hAnsi="Times New Roman" w:cs="Times New Roman"/>
          <w:kern w:val="2"/>
          <w:sz w:val="28"/>
          <w:szCs w:val="28"/>
          <w:highlight w:val="yellow"/>
          <w:lang w:eastAsia="en-US"/>
          <w14:ligatures w14:val="standardContextual"/>
        </w:rPr>
      </w:pPr>
      <w:r w:rsidRPr="003755F0">
        <w:rPr>
          <w:rFonts w:ascii="Times New Roman" w:eastAsia="Calibri" w:hAnsi="Times New Roman" w:cs="Times New Roman"/>
          <w:caps/>
          <w:kern w:val="2"/>
          <w:sz w:val="28"/>
          <w:szCs w:val="28"/>
          <w:lang w:eastAsia="en-US"/>
          <w14:ligatures w14:val="standardContextual"/>
        </w:rPr>
        <w:t>Товариство з обмеженою відповідальністю</w:t>
      </w:r>
      <w:r w:rsidRPr="003755F0">
        <w:rPr>
          <w:rFonts w:ascii="Times New Roman" w:eastAsia="Calibri" w:hAnsi="Times New Roman" w:cs="Times New Roman"/>
          <w:kern w:val="2"/>
          <w:sz w:val="28"/>
          <w:szCs w:val="28"/>
          <w:lang w:eastAsia="en-US"/>
          <w14:ligatures w14:val="standardContextual"/>
        </w:rPr>
        <w:t xml:space="preserve"> «АТОМІС»</w:t>
      </w:r>
    </w:p>
    <w:p w:rsidR="003755F0" w:rsidRPr="003755F0" w:rsidP="003755F0" w14:paraId="7F01123C" w14:textId="77777777">
      <w:pPr>
        <w:spacing w:after="0"/>
        <w:ind w:firstLine="567"/>
        <w:jc w:val="both"/>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Юридична адреса:</w:t>
      </w:r>
    </w:p>
    <w:p w:rsidR="003755F0" w:rsidRPr="003755F0" w:rsidP="003755F0" w14:paraId="67259389" w14:textId="77777777">
      <w:pPr>
        <w:spacing w:after="120" w:line="360" w:lineRule="auto"/>
        <w:ind w:left="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07400, Україна, Броварський р-н, Київська обл., м. Бровари, вул. Січових Стрільців, буд. 9 кабінет 18</w:t>
      </w:r>
    </w:p>
    <w:p w:rsidR="003755F0" w:rsidRPr="003755F0" w:rsidP="003755F0" w14:paraId="2799E5D5" w14:textId="77777777">
      <w:pPr>
        <w:spacing w:after="0"/>
        <w:ind w:firstLine="567"/>
        <w:jc w:val="both"/>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ЄДРПОУ:</w:t>
      </w:r>
    </w:p>
    <w:p w:rsidR="003755F0" w:rsidRPr="003755F0" w:rsidP="003755F0" w14:paraId="5612E7E8" w14:textId="77777777">
      <w:pPr>
        <w:spacing w:after="120" w:line="36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45975397</w:t>
      </w:r>
    </w:p>
    <w:p w:rsidR="003755F0" w:rsidRPr="003755F0" w:rsidP="003755F0" w14:paraId="2E578CB8" w14:textId="77777777">
      <w:pPr>
        <w:spacing w:after="0"/>
        <w:ind w:firstLine="567"/>
        <w:jc w:val="both"/>
        <w:rPr>
          <w:rFonts w:ascii="Times New Roman" w:eastAsia="Calibri" w:hAnsi="Times New Roman" w:cs="Times New Roman"/>
          <w:b/>
          <w:bCs/>
          <w:color w:val="0070C0"/>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Контакти:</w:t>
      </w:r>
    </w:p>
    <w:p w:rsidR="003755F0" w:rsidRPr="003755F0" w:rsidP="003755F0" w14:paraId="6FBE35B9"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тел</w:t>
      </w:r>
      <w:r w:rsidRPr="003755F0">
        <w:rPr>
          <w:rFonts w:ascii="Times New Roman" w:eastAsia="Calibri" w:hAnsi="Times New Roman" w:cs="Times New Roman"/>
          <w:kern w:val="2"/>
          <w:sz w:val="28"/>
          <w:szCs w:val="28"/>
          <w:lang w:eastAsia="en-US"/>
          <w14:ligatures w14:val="standardContextual"/>
        </w:rPr>
        <w:t>.:     +38 068 438 6824</w:t>
      </w:r>
    </w:p>
    <w:p w:rsidR="003755F0" w:rsidRPr="003755F0" w:rsidP="003755F0" w14:paraId="6F1FF3F7" w14:textId="77777777">
      <w:pPr>
        <w:spacing w:after="120" w:line="36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val="en-US" w:eastAsia="en-US"/>
          <w14:ligatures w14:val="standardContextual"/>
        </w:rPr>
        <w:t>e</w:t>
      </w:r>
      <w:r w:rsidRPr="003755F0">
        <w:rPr>
          <w:rFonts w:ascii="Times New Roman" w:eastAsia="Calibri" w:hAnsi="Times New Roman" w:cs="Times New Roman"/>
          <w:kern w:val="2"/>
          <w:sz w:val="28"/>
          <w:szCs w:val="28"/>
          <w:lang w:eastAsia="en-US"/>
          <w14:ligatures w14:val="standardContextual"/>
        </w:rPr>
        <w:t>-</w:t>
      </w:r>
      <w:r w:rsidRPr="003755F0">
        <w:rPr>
          <w:rFonts w:ascii="Times New Roman" w:eastAsia="Calibri" w:hAnsi="Times New Roman" w:cs="Times New Roman"/>
          <w:kern w:val="2"/>
          <w:sz w:val="28"/>
          <w:szCs w:val="28"/>
          <w:lang w:val="en-US" w:eastAsia="en-US"/>
          <w14:ligatures w14:val="standardContextual"/>
        </w:rPr>
        <w:t>mail</w:t>
      </w:r>
      <w:r w:rsidRPr="003755F0">
        <w:rPr>
          <w:rFonts w:ascii="Times New Roman" w:eastAsia="Calibri" w:hAnsi="Times New Roman" w:cs="Times New Roman"/>
          <w:kern w:val="2"/>
          <w:sz w:val="28"/>
          <w:szCs w:val="28"/>
          <w:lang w:eastAsia="en-US"/>
          <w14:ligatures w14:val="standardContextual"/>
        </w:rPr>
        <w:t xml:space="preserve">:  </w:t>
      </w:r>
      <w:hyperlink r:id="rId5" w:history="1">
        <w:r w:rsidRPr="003755F0">
          <w:rPr>
            <w:rFonts w:ascii="Times New Roman" w:eastAsia="Calibri" w:hAnsi="Times New Roman" w:cs="Times New Roman"/>
            <w:color w:val="8E58B6"/>
            <w:kern w:val="2"/>
            <w:sz w:val="28"/>
            <w:szCs w:val="28"/>
            <w:u w:val="single"/>
            <w:lang w:val="en-US" w:eastAsia="en-US"/>
            <w14:ligatures w14:val="standardContextual"/>
          </w:rPr>
          <w:t>tov</w:t>
        </w:r>
        <w:r w:rsidRPr="003755F0">
          <w:rPr>
            <w:rFonts w:ascii="Times New Roman" w:eastAsia="Calibri" w:hAnsi="Times New Roman" w:cs="Times New Roman"/>
            <w:color w:val="8E58B6"/>
            <w:kern w:val="2"/>
            <w:sz w:val="28"/>
            <w:szCs w:val="28"/>
            <w:u w:val="single"/>
            <w:lang w:eastAsia="en-US"/>
            <w14:ligatures w14:val="standardContextual"/>
          </w:rPr>
          <w:t>.</w:t>
        </w:r>
        <w:r w:rsidRPr="003755F0">
          <w:rPr>
            <w:rFonts w:ascii="Times New Roman" w:eastAsia="Calibri" w:hAnsi="Times New Roman" w:cs="Times New Roman"/>
            <w:color w:val="8E58B6"/>
            <w:kern w:val="2"/>
            <w:sz w:val="28"/>
            <w:szCs w:val="28"/>
            <w:u w:val="single"/>
            <w:lang w:val="en-US" w:eastAsia="en-US"/>
            <w14:ligatures w14:val="standardContextual"/>
          </w:rPr>
          <w:t>atomis</w:t>
        </w:r>
        <w:r w:rsidRPr="003755F0">
          <w:rPr>
            <w:rFonts w:ascii="Times New Roman" w:eastAsia="Calibri" w:hAnsi="Times New Roman" w:cs="Times New Roman"/>
            <w:color w:val="8E58B6"/>
            <w:kern w:val="2"/>
            <w:sz w:val="28"/>
            <w:szCs w:val="28"/>
            <w:u w:val="single"/>
            <w:lang w:eastAsia="en-US"/>
            <w14:ligatures w14:val="standardContextual"/>
          </w:rPr>
          <w:t>@</w:t>
        </w:r>
        <w:r w:rsidRPr="003755F0">
          <w:rPr>
            <w:rFonts w:ascii="Times New Roman" w:eastAsia="Calibri" w:hAnsi="Times New Roman" w:cs="Times New Roman"/>
            <w:color w:val="8E58B6"/>
            <w:kern w:val="2"/>
            <w:sz w:val="28"/>
            <w:szCs w:val="28"/>
            <w:u w:val="single"/>
            <w:lang w:val="en-US" w:eastAsia="en-US"/>
            <w14:ligatures w14:val="standardContextual"/>
          </w:rPr>
          <w:t>gmail</w:t>
        </w:r>
        <w:r w:rsidRPr="003755F0">
          <w:rPr>
            <w:rFonts w:ascii="Times New Roman" w:eastAsia="Calibri" w:hAnsi="Times New Roman" w:cs="Times New Roman"/>
            <w:color w:val="8E58B6"/>
            <w:kern w:val="2"/>
            <w:sz w:val="28"/>
            <w:szCs w:val="28"/>
            <w:u w:val="single"/>
            <w:lang w:eastAsia="en-US"/>
            <w14:ligatures w14:val="standardContextual"/>
          </w:rPr>
          <w:t>.</w:t>
        </w:r>
        <w:r w:rsidRPr="003755F0">
          <w:rPr>
            <w:rFonts w:ascii="Times New Roman" w:eastAsia="Calibri" w:hAnsi="Times New Roman" w:cs="Times New Roman"/>
            <w:color w:val="8E58B6"/>
            <w:kern w:val="2"/>
            <w:sz w:val="28"/>
            <w:szCs w:val="28"/>
            <w:u w:val="single"/>
            <w:lang w:val="en-US" w:eastAsia="en-US"/>
            <w14:ligatures w14:val="standardContextual"/>
          </w:rPr>
          <w:t>com</w:t>
        </w:r>
      </w:hyperlink>
      <w:r w:rsidRPr="003755F0">
        <w:rPr>
          <w:rFonts w:ascii="Times New Roman" w:eastAsia="Calibri" w:hAnsi="Times New Roman" w:cs="Times New Roman"/>
          <w:kern w:val="2"/>
          <w:sz w:val="28"/>
          <w:szCs w:val="28"/>
          <w:lang w:eastAsia="en-US"/>
          <w14:ligatures w14:val="standardContextual"/>
        </w:rPr>
        <w:t xml:space="preserve"> </w:t>
      </w:r>
    </w:p>
    <w:p w:rsidR="003755F0" w:rsidRPr="003755F0" w:rsidP="003755F0" w14:paraId="37DF2B04" w14:textId="77777777">
      <w:pPr>
        <w:spacing w:after="0" w:line="36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0781FBA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20A07FFA" w14:textId="77777777">
      <w:pPr>
        <w:spacing w:after="160" w:line="254" w:lineRule="auto"/>
        <w:ind w:firstLine="567"/>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sz w:val="28"/>
          <w:szCs w:val="28"/>
          <w:lang w:eastAsia="en-US"/>
        </w:rPr>
        <w:br w:type="page"/>
      </w:r>
    </w:p>
    <w:p w:rsidR="003755F0" w:rsidRPr="003755F0" w:rsidP="003755F0" w14:paraId="485A5DC8" w14:textId="77777777">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3" w:name="_Toc194054626"/>
      <w:r w:rsidRPr="003755F0">
        <w:rPr>
          <w:rFonts w:ascii="Times New Roman" w:eastAsia="Times New Roman" w:hAnsi="Times New Roman" w:cs="Times New Roman"/>
          <w:b/>
          <w:kern w:val="2"/>
          <w:sz w:val="28"/>
          <w:szCs w:val="28"/>
          <w:lang w:eastAsia="en-US"/>
          <w14:ligatures w14:val="standardContextual"/>
        </w:rPr>
        <w:t>Мета, завдання створення та функціональне призначення індустріального парку</w:t>
      </w:r>
      <w:bookmarkEnd w:id="3"/>
    </w:p>
    <w:p w:rsidR="003755F0" w:rsidRPr="003755F0" w:rsidP="003755F0" w14:paraId="4DCC91D4"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Індустріальні парки — це ефективний інструмент регіонального розвитку, який довів свою дієвість протягом останніх десятиліть у багатьох країнах світу. Вони сприяють залученню інвестицій, стимулюють технологічний прогрес, оптимізують виробничі процеси, підвищують рівень зайнятості та підтримують місцевих виробників.</w:t>
      </w:r>
    </w:p>
    <w:p w:rsidR="003755F0" w:rsidRPr="003755F0" w:rsidP="003755F0" w14:paraId="3C03597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Це спеціально організовані промислові території, оснащені розвиненою інженерно-транспортною інфраструктурою, пільгами та сервісами, а також спрощеними регуляторними процедурами. Завдяки інвестиційним стимулам індустріальні парки створюють інноваційне середовище, що сприяє модернізації виробництва, покращенню умов праці та підвищенню якості життя місцевих громад.</w:t>
      </w:r>
    </w:p>
    <w:p w:rsidR="003755F0" w:rsidRPr="003755F0" w:rsidP="003755F0" w14:paraId="678D0AB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Мета індустріального парку «БУДШЛЯХМАШ» (далі – ІП, ІП «БУДШЛЯХМАШ») — </w:t>
      </w:r>
      <w:bookmarkStart w:id="4" w:name="_Hlk215821124"/>
      <w:r w:rsidRPr="003755F0">
        <w:rPr>
          <w:rFonts w:ascii="Times New Roman" w:eastAsia="Calibri" w:hAnsi="Times New Roman" w:cs="Times New Roman"/>
          <w:kern w:val="2"/>
          <w:sz w:val="28"/>
          <w:szCs w:val="28"/>
          <w:lang w:eastAsia="en-US"/>
          <w14:ligatures w14:val="standardContextual"/>
        </w:rPr>
        <w:t xml:space="preserve">створення індустріального парку за напрямком «Машинобудування», стимулювання економічного розвитку як міста Бровари і прилеглих населених пунктів (за місцем розташування індустріального парку), так і України в цілому. </w:t>
      </w:r>
      <w:bookmarkEnd w:id="4"/>
      <w:r w:rsidRPr="003755F0">
        <w:rPr>
          <w:rFonts w:ascii="Times New Roman" w:eastAsia="Calibri" w:hAnsi="Times New Roman" w:cs="Times New Roman"/>
          <w:kern w:val="2"/>
          <w:sz w:val="28"/>
          <w:szCs w:val="28"/>
          <w:lang w:eastAsia="en-US"/>
          <w14:ligatures w14:val="standardContextual"/>
        </w:rPr>
        <w:t>Парк сприятиме залученню інвестицій, створенню нових робочих місць, розширенню вироб</w:t>
      </w:r>
      <w:r w:rsidRPr="003755F0">
        <w:rPr>
          <w:rFonts w:ascii="Times New Roman" w:eastAsia="Calibri" w:hAnsi="Times New Roman" w:cs="Times New Roman"/>
          <w:kern w:val="2"/>
          <w:sz w:val="28"/>
          <w:szCs w:val="28"/>
          <w:lang w:eastAsia="en-US"/>
          <w14:ligatures w14:val="standardContextual"/>
        </w:rPr>
        <w:softHyphen/>
        <w:t>ничого та експортного потенціалу регіону, модернізації місцевої інфраструктури.</w:t>
      </w:r>
    </w:p>
    <w:p w:rsidR="003755F0" w:rsidRPr="003755F0" w:rsidP="003755F0" w14:paraId="28E012E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Стратегічна ціль — підвищити міжнародну конкурентоспроможність </w:t>
      </w:r>
      <w:r w:rsidRPr="003755F0">
        <w:rPr>
          <w:rFonts w:ascii="Times New Roman" w:eastAsia="Calibri" w:hAnsi="Times New Roman" w:cs="Times New Roman"/>
          <w:kern w:val="2"/>
          <w:sz w:val="28"/>
          <w:szCs w:val="28"/>
          <w:lang w:eastAsia="en-US"/>
          <w14:ligatures w14:val="standardContextual"/>
        </w:rPr>
        <w:t>пристоличного</w:t>
      </w:r>
      <w:r w:rsidRPr="003755F0">
        <w:rPr>
          <w:rFonts w:ascii="Times New Roman" w:eastAsia="Calibri" w:hAnsi="Times New Roman" w:cs="Times New Roman"/>
          <w:kern w:val="2"/>
          <w:sz w:val="28"/>
          <w:szCs w:val="28"/>
          <w:lang w:eastAsia="en-US"/>
          <w14:ligatures w14:val="standardContextual"/>
        </w:rPr>
        <w:t xml:space="preserve"> регіону через розвиток транспортної та логістичної інфраструктури, зміцнення промислового потенціалу України та інтеграцію з глобальними ринками. Парк також створюватиме умови для наукових досліджень, впровадження інноваційних технологій та сучасного обладнання у виробництві машинобудівної продукції.</w:t>
      </w:r>
    </w:p>
    <w:p w:rsidR="003755F0" w:rsidRPr="003755F0" w:rsidP="003755F0" w14:paraId="3742D3C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19C376A7" w14:textId="77777777">
      <w:pPr>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Характеристика та основні показники індустріального парку «БУДШЛЯХМАШ»:</w:t>
      </w:r>
    </w:p>
    <w:p w:rsidR="003755F0" w:rsidRPr="003755F0" w:rsidP="003755F0" w14:paraId="7AAB93B8" w14:textId="77777777">
      <w:pPr>
        <w:numPr>
          <w:ilvl w:val="0"/>
          <w:numId w:val="2"/>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Створюється на строк 34 роки.</w:t>
      </w:r>
    </w:p>
    <w:p w:rsidR="003755F0" w:rsidRPr="003755F0" w:rsidP="003755F0" w14:paraId="234EFCBF" w14:textId="77777777">
      <w:pPr>
        <w:numPr>
          <w:ilvl w:val="0"/>
          <w:numId w:val="2"/>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Площа - 11,4173 га в районі вулиці Москаленка Сергія в </w:t>
      </w:r>
      <w:r w:rsidRPr="003755F0">
        <w:rPr>
          <w:rFonts w:ascii="Times New Roman" w:eastAsia="Times New Roman" w:hAnsi="Times New Roman" w:cs="Times New Roman"/>
          <w:sz w:val="28"/>
          <w:szCs w:val="28"/>
        </w:rPr>
        <w:t>м.Бровари</w:t>
      </w:r>
      <w:r w:rsidRPr="003755F0">
        <w:rPr>
          <w:rFonts w:ascii="Times New Roman" w:eastAsia="Times New Roman" w:hAnsi="Times New Roman" w:cs="Times New Roman"/>
          <w:sz w:val="28"/>
          <w:szCs w:val="28"/>
        </w:rPr>
        <w:t>.</w:t>
      </w:r>
    </w:p>
    <w:p w:rsidR="003755F0" w:rsidRPr="003755F0" w:rsidP="003755F0" w14:paraId="2842EB74" w14:textId="77777777">
      <w:pPr>
        <w:numPr>
          <w:ilvl w:val="0"/>
          <w:numId w:val="2"/>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Будівлі та споруди:</w:t>
      </w:r>
    </w:p>
    <w:p w:rsidR="003755F0" w:rsidRPr="003755F0" w:rsidP="003755F0" w14:paraId="2A4F803B"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Промислові об’єкти – 20.000 </w:t>
      </w:r>
      <w:r w:rsidRPr="003755F0">
        <w:rPr>
          <w:rFonts w:ascii="Times New Roman" w:eastAsia="Times New Roman" w:hAnsi="Times New Roman" w:cs="Times New Roman"/>
          <w:sz w:val="28"/>
          <w:szCs w:val="28"/>
        </w:rPr>
        <w:t>кв.м</w:t>
      </w:r>
      <w:r w:rsidRPr="003755F0">
        <w:rPr>
          <w:rFonts w:ascii="Times New Roman" w:eastAsia="Times New Roman" w:hAnsi="Times New Roman" w:cs="Times New Roman"/>
          <w:sz w:val="28"/>
          <w:szCs w:val="28"/>
        </w:rPr>
        <w:t>.</w:t>
      </w:r>
    </w:p>
    <w:p w:rsidR="003755F0" w:rsidRPr="003755F0" w:rsidP="003755F0" w14:paraId="46F72F06"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Складські об’єкти – 20.000 </w:t>
      </w:r>
      <w:r w:rsidRPr="003755F0">
        <w:rPr>
          <w:rFonts w:ascii="Times New Roman" w:eastAsia="Times New Roman" w:hAnsi="Times New Roman" w:cs="Times New Roman"/>
          <w:sz w:val="28"/>
          <w:szCs w:val="28"/>
        </w:rPr>
        <w:t>кв.м</w:t>
      </w:r>
      <w:r w:rsidRPr="003755F0">
        <w:rPr>
          <w:rFonts w:ascii="Times New Roman" w:eastAsia="Times New Roman" w:hAnsi="Times New Roman" w:cs="Times New Roman"/>
          <w:sz w:val="28"/>
          <w:szCs w:val="28"/>
        </w:rPr>
        <w:t>.</w:t>
      </w:r>
    </w:p>
    <w:p w:rsidR="003755F0" w:rsidRPr="003755F0" w:rsidP="003755F0" w14:paraId="13D3DFFC"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Адміністративно-побутові приміщення – 1.000 </w:t>
      </w:r>
      <w:r w:rsidRPr="003755F0">
        <w:rPr>
          <w:rFonts w:ascii="Times New Roman" w:eastAsia="Times New Roman" w:hAnsi="Times New Roman" w:cs="Times New Roman"/>
          <w:sz w:val="28"/>
          <w:szCs w:val="28"/>
        </w:rPr>
        <w:t>кв.м</w:t>
      </w:r>
      <w:r w:rsidRPr="003755F0">
        <w:rPr>
          <w:rFonts w:ascii="Times New Roman" w:eastAsia="Times New Roman" w:hAnsi="Times New Roman" w:cs="Times New Roman"/>
          <w:sz w:val="28"/>
          <w:szCs w:val="28"/>
        </w:rPr>
        <w:t>.</w:t>
      </w:r>
    </w:p>
    <w:p w:rsidR="003755F0" w:rsidRPr="003755F0" w:rsidP="003755F0" w14:paraId="4244821D"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Технічні об’єкти – 1.000 </w:t>
      </w:r>
      <w:r w:rsidRPr="003755F0">
        <w:rPr>
          <w:rFonts w:ascii="Times New Roman" w:eastAsia="Times New Roman" w:hAnsi="Times New Roman" w:cs="Times New Roman"/>
          <w:sz w:val="28"/>
          <w:szCs w:val="28"/>
        </w:rPr>
        <w:t>кв.м</w:t>
      </w:r>
      <w:r w:rsidRPr="003755F0">
        <w:rPr>
          <w:rFonts w:ascii="Times New Roman" w:eastAsia="Times New Roman" w:hAnsi="Times New Roman" w:cs="Times New Roman"/>
          <w:sz w:val="28"/>
          <w:szCs w:val="28"/>
        </w:rPr>
        <w:t>.</w:t>
      </w:r>
    </w:p>
    <w:p w:rsidR="003755F0" w:rsidRPr="003755F0" w:rsidP="003755F0" w14:paraId="59407BE2"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Озеленення і благоустрій – 29 773 </w:t>
      </w:r>
      <w:r w:rsidRPr="003755F0">
        <w:rPr>
          <w:rFonts w:ascii="Times New Roman" w:eastAsia="Times New Roman" w:hAnsi="Times New Roman" w:cs="Times New Roman"/>
          <w:sz w:val="28"/>
          <w:szCs w:val="28"/>
        </w:rPr>
        <w:t>кв.м</w:t>
      </w:r>
      <w:r w:rsidRPr="003755F0">
        <w:rPr>
          <w:rFonts w:ascii="Times New Roman" w:eastAsia="Times New Roman" w:hAnsi="Times New Roman" w:cs="Times New Roman"/>
          <w:sz w:val="28"/>
          <w:szCs w:val="28"/>
        </w:rPr>
        <w:t>.</w:t>
      </w:r>
    </w:p>
    <w:p w:rsidR="003755F0" w:rsidRPr="003755F0" w:rsidP="003755F0" w14:paraId="19DD75C7"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Дороги й автостоянки (з твердим покриттям) – 42 400 </w:t>
      </w:r>
      <w:r w:rsidRPr="003755F0">
        <w:rPr>
          <w:rFonts w:ascii="Times New Roman" w:eastAsia="Times New Roman" w:hAnsi="Times New Roman" w:cs="Times New Roman"/>
          <w:sz w:val="28"/>
          <w:szCs w:val="28"/>
        </w:rPr>
        <w:t>кв.м</w:t>
      </w:r>
      <w:r w:rsidRPr="003755F0">
        <w:rPr>
          <w:rFonts w:ascii="Times New Roman" w:eastAsia="Times New Roman" w:hAnsi="Times New Roman" w:cs="Times New Roman"/>
          <w:sz w:val="28"/>
          <w:szCs w:val="28"/>
        </w:rPr>
        <w:t>.</w:t>
      </w:r>
    </w:p>
    <w:p w:rsidR="003755F0" w:rsidRPr="003755F0" w:rsidP="003755F0" w14:paraId="5FFC239D" w14:textId="77777777">
      <w:pPr>
        <w:numPr>
          <w:ilvl w:val="0"/>
          <w:numId w:val="2"/>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Попередній розрахунок фінансування </w:t>
      </w:r>
      <w:r w:rsidRPr="003755F0">
        <w:rPr>
          <w:rFonts w:ascii="Times New Roman" w:eastAsia="Times New Roman" w:hAnsi="Times New Roman" w:cs="Times New Roman"/>
          <w:sz w:val="28"/>
          <w:szCs w:val="28"/>
        </w:rPr>
        <w:t>проєкту</w:t>
      </w:r>
      <w:r w:rsidRPr="003755F0">
        <w:rPr>
          <w:rFonts w:ascii="Times New Roman" w:eastAsia="Times New Roman" w:hAnsi="Times New Roman" w:cs="Times New Roman"/>
          <w:sz w:val="28"/>
          <w:szCs w:val="28"/>
        </w:rPr>
        <w:t>:</w:t>
      </w:r>
    </w:p>
    <w:p w:rsidR="003755F0" w:rsidRPr="003755F0" w:rsidP="003755F0" w14:paraId="66EF3372"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Ініціатор – 150.000 </w:t>
      </w:r>
      <w:r w:rsidRPr="003755F0">
        <w:rPr>
          <w:rFonts w:ascii="Times New Roman" w:eastAsia="Times New Roman" w:hAnsi="Times New Roman" w:cs="Times New Roman"/>
          <w:sz w:val="28"/>
          <w:szCs w:val="28"/>
        </w:rPr>
        <w:t>млн.грн</w:t>
      </w:r>
      <w:r w:rsidRPr="003755F0">
        <w:rPr>
          <w:rFonts w:ascii="Times New Roman" w:eastAsia="Times New Roman" w:hAnsi="Times New Roman" w:cs="Times New Roman"/>
          <w:sz w:val="28"/>
          <w:szCs w:val="28"/>
        </w:rPr>
        <w:t>.</w:t>
      </w:r>
    </w:p>
    <w:p w:rsidR="003755F0" w:rsidRPr="003755F0" w:rsidP="003755F0" w14:paraId="01958E76"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Державне стимулювання – 150.000 </w:t>
      </w:r>
      <w:r w:rsidRPr="003755F0">
        <w:rPr>
          <w:rFonts w:ascii="Times New Roman" w:eastAsia="Times New Roman" w:hAnsi="Times New Roman" w:cs="Times New Roman"/>
          <w:sz w:val="28"/>
          <w:szCs w:val="28"/>
        </w:rPr>
        <w:t>млн.грн</w:t>
      </w:r>
      <w:r w:rsidRPr="003755F0">
        <w:rPr>
          <w:rFonts w:ascii="Times New Roman" w:eastAsia="Times New Roman" w:hAnsi="Times New Roman" w:cs="Times New Roman"/>
          <w:sz w:val="28"/>
          <w:szCs w:val="28"/>
        </w:rPr>
        <w:t>.</w:t>
      </w:r>
    </w:p>
    <w:p w:rsidR="003755F0" w:rsidRPr="003755F0" w:rsidP="003755F0" w14:paraId="6186E383"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Учасники та інші суб’єкти індустріального парку – 960.000 </w:t>
      </w:r>
      <w:r w:rsidRPr="003755F0">
        <w:rPr>
          <w:rFonts w:ascii="Times New Roman" w:eastAsia="Times New Roman" w:hAnsi="Times New Roman" w:cs="Times New Roman"/>
          <w:sz w:val="28"/>
          <w:szCs w:val="28"/>
        </w:rPr>
        <w:t>млн.грн</w:t>
      </w:r>
      <w:r w:rsidRPr="003755F0">
        <w:rPr>
          <w:rFonts w:ascii="Times New Roman" w:eastAsia="Times New Roman" w:hAnsi="Times New Roman" w:cs="Times New Roman"/>
          <w:sz w:val="28"/>
          <w:szCs w:val="28"/>
        </w:rPr>
        <w:t>.</w:t>
      </w:r>
    </w:p>
    <w:p w:rsidR="003755F0" w:rsidRPr="003755F0" w:rsidP="003755F0" w14:paraId="0ED2FD99" w14:textId="77777777">
      <w:pPr>
        <w:spacing w:after="0" w:line="240" w:lineRule="auto"/>
        <w:ind w:left="1276"/>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   Разом – 1,260 </w:t>
      </w:r>
      <w:r w:rsidRPr="003755F0">
        <w:rPr>
          <w:rFonts w:ascii="Times New Roman" w:eastAsia="Times New Roman" w:hAnsi="Times New Roman" w:cs="Times New Roman"/>
          <w:sz w:val="28"/>
          <w:szCs w:val="28"/>
        </w:rPr>
        <w:t>млрд.грн</w:t>
      </w:r>
      <w:r w:rsidRPr="003755F0">
        <w:rPr>
          <w:rFonts w:ascii="Times New Roman" w:eastAsia="Times New Roman" w:hAnsi="Times New Roman" w:cs="Times New Roman"/>
          <w:sz w:val="28"/>
          <w:szCs w:val="28"/>
        </w:rPr>
        <w:t>.</w:t>
      </w:r>
    </w:p>
    <w:p w:rsidR="003755F0" w:rsidRPr="003755F0" w:rsidP="003755F0" w14:paraId="4F578FD4" w14:textId="77777777">
      <w:pPr>
        <w:numPr>
          <w:ilvl w:val="0"/>
          <w:numId w:val="2"/>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Прогнозований валовий випуск продукції:</w:t>
      </w:r>
    </w:p>
    <w:p w:rsidR="003755F0" w:rsidRPr="003755F0" w:rsidP="003755F0" w14:paraId="6D358929"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з початку діяльності </w:t>
      </w:r>
      <w:r w:rsidRPr="003755F0">
        <w:rPr>
          <w:rFonts w:ascii="Times New Roman" w:eastAsia="Times New Roman" w:hAnsi="Times New Roman" w:cs="Times New Roman"/>
          <w:sz w:val="28"/>
          <w:szCs w:val="28"/>
        </w:rPr>
        <w:t>проєкту</w:t>
      </w:r>
      <w:r w:rsidRPr="003755F0">
        <w:rPr>
          <w:rFonts w:ascii="Times New Roman" w:eastAsia="Times New Roman" w:hAnsi="Times New Roman" w:cs="Times New Roman"/>
          <w:sz w:val="28"/>
          <w:szCs w:val="28"/>
        </w:rPr>
        <w:t xml:space="preserve">, 2029 рік – 4,78 </w:t>
      </w:r>
      <w:r w:rsidRPr="003755F0">
        <w:rPr>
          <w:rFonts w:ascii="Times New Roman" w:eastAsia="Times New Roman" w:hAnsi="Times New Roman" w:cs="Times New Roman"/>
          <w:sz w:val="28"/>
          <w:szCs w:val="28"/>
        </w:rPr>
        <w:t>млрд.грн</w:t>
      </w:r>
      <w:r w:rsidRPr="003755F0">
        <w:rPr>
          <w:rFonts w:ascii="Times New Roman" w:eastAsia="Times New Roman" w:hAnsi="Times New Roman" w:cs="Times New Roman"/>
          <w:sz w:val="28"/>
          <w:szCs w:val="28"/>
        </w:rPr>
        <w:t>.;</w:t>
      </w:r>
    </w:p>
    <w:p w:rsidR="003755F0" w:rsidRPr="003755F0" w:rsidP="003755F0" w14:paraId="39DBDF3C"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через 6 років діяльності, 2035 рік – 10,53 </w:t>
      </w:r>
      <w:r w:rsidRPr="003755F0">
        <w:rPr>
          <w:rFonts w:ascii="Times New Roman" w:eastAsia="Times New Roman" w:hAnsi="Times New Roman" w:cs="Times New Roman"/>
          <w:sz w:val="28"/>
          <w:szCs w:val="28"/>
        </w:rPr>
        <w:t>млрд.грн</w:t>
      </w:r>
      <w:r w:rsidRPr="003755F0">
        <w:rPr>
          <w:rFonts w:ascii="Times New Roman" w:eastAsia="Times New Roman" w:hAnsi="Times New Roman" w:cs="Times New Roman"/>
          <w:sz w:val="28"/>
          <w:szCs w:val="28"/>
        </w:rPr>
        <w:t>.</w:t>
      </w:r>
    </w:p>
    <w:p w:rsidR="003755F0" w:rsidRPr="003755F0" w:rsidP="003755F0" w14:paraId="430FC5A8" w14:textId="77777777">
      <w:pPr>
        <w:numPr>
          <w:ilvl w:val="0"/>
          <w:numId w:val="2"/>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Трудові ресурси:</w:t>
      </w:r>
    </w:p>
    <w:p w:rsidR="003755F0" w:rsidRPr="003755F0" w:rsidP="003755F0" w14:paraId="4F1E9519"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створення 500 нових робочих місць;</w:t>
      </w:r>
    </w:p>
    <w:p w:rsidR="003755F0" w:rsidRPr="003755F0" w:rsidP="003755F0" w14:paraId="634ABC77"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середня заробітна плата по індустріальному парку:</w:t>
      </w:r>
    </w:p>
    <w:p w:rsidR="003755F0" w:rsidRPr="003755F0" w:rsidP="003755F0" w14:paraId="452D2002" w14:textId="77777777">
      <w:pPr>
        <w:numPr>
          <w:ilvl w:val="0"/>
          <w:numId w:val="4"/>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з початку діяльності </w:t>
      </w:r>
      <w:r w:rsidRPr="003755F0">
        <w:rPr>
          <w:rFonts w:ascii="Times New Roman" w:eastAsia="Times New Roman" w:hAnsi="Times New Roman" w:cs="Times New Roman"/>
          <w:sz w:val="28"/>
          <w:szCs w:val="28"/>
        </w:rPr>
        <w:t>проєкту</w:t>
      </w:r>
      <w:r w:rsidRPr="003755F0">
        <w:rPr>
          <w:rFonts w:ascii="Times New Roman" w:eastAsia="Times New Roman" w:hAnsi="Times New Roman" w:cs="Times New Roman"/>
          <w:sz w:val="28"/>
          <w:szCs w:val="28"/>
        </w:rPr>
        <w:t>, 2029 рік – 83.000 грн.;</w:t>
      </w:r>
    </w:p>
    <w:p w:rsidR="003755F0" w:rsidRPr="003755F0" w:rsidP="003755F0" w14:paraId="6F31D373" w14:textId="77777777">
      <w:pPr>
        <w:numPr>
          <w:ilvl w:val="0"/>
          <w:numId w:val="4"/>
        </w:numPr>
        <w:spacing w:after="0" w:line="240" w:lineRule="auto"/>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через 6 років діяльності, 2035 рік – 110.658 грн.</w:t>
      </w:r>
    </w:p>
    <w:p w:rsidR="003755F0" w:rsidRPr="003755F0" w:rsidP="003755F0" w14:paraId="6589E41A" w14:textId="77777777">
      <w:pPr>
        <w:numPr>
          <w:ilvl w:val="0"/>
          <w:numId w:val="3"/>
        </w:numPr>
        <w:spacing w:after="0" w:line="240" w:lineRule="auto"/>
        <w:ind w:left="1276" w:hanging="142"/>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пріоритетне працевлаштування мешканців Броварської міської територіальної громади і прилеглих районів.</w:t>
      </w:r>
    </w:p>
    <w:p w:rsidR="003755F0" w:rsidRPr="003755F0" w:rsidP="003755F0" w14:paraId="7600A710" w14:textId="77777777">
      <w:pPr>
        <w:spacing w:after="0" w:line="240" w:lineRule="auto"/>
        <w:ind w:left="1276"/>
        <w:contextualSpacing/>
        <w:jc w:val="both"/>
        <w:rPr>
          <w:rFonts w:ascii="Times New Roman" w:eastAsia="Times New Roman" w:hAnsi="Times New Roman" w:cs="Times New Roman"/>
          <w:sz w:val="28"/>
          <w:szCs w:val="28"/>
        </w:rPr>
      </w:pPr>
    </w:p>
    <w:p w:rsidR="003755F0" w:rsidRPr="003755F0" w:rsidP="003755F0" w14:paraId="1216070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Основні завдання індустріального парку:</w:t>
      </w:r>
    </w:p>
    <w:p w:rsidR="003755F0" w:rsidRPr="003755F0" w:rsidP="003755F0" w14:paraId="7219497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Розвиток промислового потенціалу Київської області.</w:t>
      </w:r>
    </w:p>
    <w:p w:rsidR="003755F0" w:rsidRPr="003755F0" w:rsidP="003755F0" w14:paraId="4F24994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Створення високоефективних виробництв з сучасним технологічним оснащенням.</w:t>
      </w:r>
    </w:p>
    <w:p w:rsidR="003755F0" w:rsidRPr="003755F0" w:rsidP="003755F0" w14:paraId="4A19D9A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Модернізація та інноваційний розвиток машинобудівної та пов’язаних з нею галузей промисловості України.</w:t>
      </w:r>
    </w:p>
    <w:p w:rsidR="003755F0" w:rsidRPr="003755F0" w:rsidP="003755F0" w14:paraId="5CBF4B0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Підвищення конкурентоспроможності вітчизняної продукції на внутрішньому та глобальному ринках.</w:t>
      </w:r>
    </w:p>
    <w:p w:rsidR="003755F0" w:rsidRPr="003755F0" w:rsidP="003755F0" w14:paraId="31AE65A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Залучення інвестицій та підвищення інвестиційної привабливості регіону.</w:t>
      </w:r>
    </w:p>
    <w:p w:rsidR="003755F0" w:rsidRPr="003755F0" w:rsidP="003755F0" w14:paraId="0A7F435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Розвиток інфраструктури: інженерно-транспортної, логістичної та ринкової.</w:t>
      </w:r>
    </w:p>
    <w:p w:rsidR="003755F0" w:rsidRPr="003755F0" w:rsidP="003755F0" w14:paraId="4F462702"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Збільшення надходжень до бюджетів усіх рівнів та державних цільових фондів.</w:t>
      </w:r>
    </w:p>
    <w:p w:rsidR="003755F0" w:rsidRPr="003755F0" w:rsidP="003755F0" w14:paraId="5153547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Збалансований регіональний розвиток та зменшення регіональних диспропорцій за рівнем індустріалізації.</w:t>
      </w:r>
    </w:p>
    <w:p w:rsidR="003755F0" w:rsidRPr="003755F0" w:rsidP="003755F0" w14:paraId="04DD144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Поліпшення якості життя населення через зростання доходів та зниження трудової міграції.</w:t>
      </w:r>
    </w:p>
    <w:p w:rsidR="003755F0" w:rsidRPr="003755F0" w:rsidP="003755F0" w14:paraId="3060C675" w14:textId="77777777">
      <w:pPr>
        <w:spacing w:after="0" w:line="240" w:lineRule="auto"/>
        <w:ind w:left="851"/>
        <w:jc w:val="both"/>
        <w:rPr>
          <w:rFonts w:ascii="Times New Roman" w:eastAsia="Calibri" w:hAnsi="Times New Roman" w:cs="Times New Roman"/>
          <w:kern w:val="2"/>
          <w:sz w:val="28"/>
          <w:szCs w:val="28"/>
          <w:lang w:eastAsia="en-US"/>
          <w14:ligatures w14:val="standardContextual"/>
        </w:rPr>
      </w:pPr>
    </w:p>
    <w:p w:rsidR="003755F0" w:rsidRPr="003755F0" w:rsidP="003755F0" w14:paraId="0BAA535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Поряд з цим, створення індустріального парку «БУДШЛЯХМАШ» сприятиме реалізації стратегічних й оперативних цілей, а також завдань Державної стратегії регіонального розвитку на 2021–2027 роки (в редакції постанови Кабінету Міністрів України від 13.08.2024 № 940):</w:t>
      </w:r>
    </w:p>
    <w:p w:rsidR="003755F0" w:rsidRPr="003755F0" w:rsidP="003755F0" w14:paraId="204C0C78" w14:textId="77777777">
      <w:pPr>
        <w:numPr>
          <w:ilvl w:val="0"/>
          <w:numId w:val="6"/>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Стратегічна ціль «Формування згуртованої держави в соціальному, гуманітарному, економічному, кліматичному, екологічному, безпековому та просторовому вимірах»:</w:t>
      </w:r>
    </w:p>
    <w:p w:rsidR="003755F0" w:rsidRPr="003755F0" w:rsidP="003755F0" w14:paraId="20872599" w14:textId="77777777">
      <w:pPr>
        <w:numPr>
          <w:ilvl w:val="1"/>
          <w:numId w:val="5"/>
        </w:numPr>
        <w:tabs>
          <w:tab w:val="left" w:pos="1134"/>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Оперативна ціль 1 «Забезпечення інтегрованого розвитку територій з урахуванням інтересів майбутніх поколінь», зокрема:</w:t>
      </w:r>
    </w:p>
    <w:p w:rsidR="003755F0" w:rsidRPr="003755F0" w:rsidP="003755F0" w14:paraId="7BBA156D" w14:textId="77777777">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сприяння залученню інвестиційних ресурсів, коштів міжнародної технічної допомоги та міжнародних фінансових організацій для реалізації </w:t>
      </w:r>
      <w:r w:rsidRPr="003755F0">
        <w:rPr>
          <w:rFonts w:ascii="Times New Roman" w:eastAsia="Calibri" w:hAnsi="Times New Roman" w:cs="Times New Roman"/>
          <w:kern w:val="2"/>
          <w:sz w:val="28"/>
          <w:szCs w:val="28"/>
          <w:lang w:eastAsia="en-US"/>
          <w14:ligatures w14:val="standardContextual"/>
        </w:rPr>
        <w:t>проєктів</w:t>
      </w:r>
      <w:r w:rsidRPr="003755F0">
        <w:rPr>
          <w:rFonts w:ascii="Times New Roman" w:eastAsia="Calibri" w:hAnsi="Times New Roman" w:cs="Times New Roman"/>
          <w:kern w:val="2"/>
          <w:sz w:val="28"/>
          <w:szCs w:val="28"/>
          <w:lang w:eastAsia="en-US"/>
          <w14:ligatures w14:val="standardContextual"/>
        </w:rPr>
        <w:t xml:space="preserve"> економічної реструктуризації.</w:t>
      </w:r>
    </w:p>
    <w:p w:rsidR="003755F0" w:rsidRPr="003755F0" w:rsidP="003755F0" w14:paraId="2CD4F54E" w14:textId="77777777">
      <w:pPr>
        <w:numPr>
          <w:ilvl w:val="0"/>
          <w:numId w:val="6"/>
        </w:numPr>
        <w:tabs>
          <w:tab w:val="num" w:pos="1843"/>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Стратегічна ціль «Підвищення конкурентоспроможності регіонів»:</w:t>
      </w:r>
    </w:p>
    <w:p w:rsidR="003755F0" w:rsidRPr="003755F0" w:rsidP="003755F0" w14:paraId="00D36ACF" w14:textId="77777777">
      <w:pPr>
        <w:numPr>
          <w:ilvl w:val="1"/>
          <w:numId w:val="5"/>
        </w:numPr>
        <w:tabs>
          <w:tab w:val="left" w:pos="1134"/>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Оперативна ціль 2 «Сильна та конкурентоспроможна регіональна економіка»:</w:t>
      </w:r>
    </w:p>
    <w:p w:rsidR="003755F0" w:rsidRPr="003755F0" w:rsidP="003755F0" w14:paraId="49B546E3" w14:textId="77777777">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створення умов для промислового інвестування та розвитку кластерів різної спеціалізації;</w:t>
      </w:r>
    </w:p>
    <w:p w:rsidR="003755F0" w:rsidRPr="003755F0" w:rsidP="003755F0" w14:paraId="4A6D5B71" w14:textId="77777777">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стимулювання підприємницької активності в регіонах шляхом стимулювання внутрішньо переміщених осіб працездатного віку, ветеранів війни та членів їх сімей, безробітних осіб до працевлаштування, заснування власного бізнесу;</w:t>
      </w:r>
    </w:p>
    <w:p w:rsidR="003755F0" w:rsidRPr="003755F0" w:rsidP="003755F0" w14:paraId="6059CF59" w14:textId="77777777">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покращення доступу населення до ринків праці через підвищення трудової мобільності та адаптації до місцевих потреб;</w:t>
      </w:r>
    </w:p>
    <w:p w:rsidR="003755F0" w:rsidRPr="003755F0" w:rsidP="003755F0" w14:paraId="7074663E" w14:textId="77777777">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підвищення інвестиційної привабливості територій, підтримка залучення інвестицій, популяризація інвестиційних можливостей регіонів;</w:t>
      </w:r>
    </w:p>
    <w:p w:rsidR="003755F0" w:rsidRPr="003755F0" w:rsidP="003755F0" w14:paraId="3C833B5B" w14:textId="77777777">
      <w:pPr>
        <w:numPr>
          <w:ilvl w:val="2"/>
          <w:numId w:val="5"/>
        </w:numPr>
        <w:tabs>
          <w:tab w:val="num" w:pos="1701"/>
        </w:tabs>
        <w:spacing w:after="0" w:line="240" w:lineRule="auto"/>
        <w:ind w:left="170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стимулювання створення та діяльності індустріальних парків та підприємств оборонного-промислового комплексу з урахуванням стратегічних пріоритетів його розвитку.</w:t>
      </w:r>
    </w:p>
    <w:p w:rsidR="003755F0" w:rsidRPr="003755F0" w:rsidP="003755F0" w14:paraId="1188DC04" w14:textId="77777777">
      <w:pPr>
        <w:tabs>
          <w:tab w:val="num" w:pos="2160"/>
        </w:tabs>
        <w:spacing w:after="0" w:line="240" w:lineRule="auto"/>
        <w:ind w:left="1701"/>
        <w:jc w:val="both"/>
        <w:rPr>
          <w:rFonts w:ascii="Times New Roman" w:eastAsia="Calibri" w:hAnsi="Times New Roman" w:cs="Times New Roman"/>
          <w:kern w:val="2"/>
          <w:sz w:val="28"/>
          <w:szCs w:val="28"/>
          <w:lang w:eastAsia="en-US"/>
          <w14:ligatures w14:val="standardContextual"/>
        </w:rPr>
      </w:pPr>
    </w:p>
    <w:p w:rsidR="003755F0" w:rsidRPr="003755F0" w:rsidP="003755F0" w14:paraId="4A6D43A5"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Створення індустріального парку «БУДШЛЯХМАШ» також відповідає стратегічним пріоритетам і цілям </w:t>
      </w:r>
      <w:bookmarkStart w:id="5" w:name="_Hlk214539363"/>
      <w:r w:rsidRPr="003755F0">
        <w:rPr>
          <w:rFonts w:ascii="Times New Roman" w:eastAsia="Calibri" w:hAnsi="Times New Roman" w:cs="Times New Roman"/>
          <w:kern w:val="2"/>
          <w:sz w:val="28"/>
          <w:szCs w:val="28"/>
          <w:lang w:eastAsia="en-US"/>
          <w14:ligatures w14:val="standardContextual"/>
        </w:rPr>
        <w:t>Стратегії розвитку Київської області на період 2021–2027 рр</w:t>
      </w:r>
      <w:bookmarkStart w:id="6" w:name="_Hlk214539435"/>
      <w:r w:rsidRPr="003755F0">
        <w:rPr>
          <w:rFonts w:ascii="Times New Roman" w:eastAsia="Calibri" w:hAnsi="Times New Roman" w:cs="Times New Roman"/>
          <w:kern w:val="2"/>
          <w:sz w:val="28"/>
          <w:szCs w:val="28"/>
          <w:lang w:eastAsia="en-US"/>
          <w14:ligatures w14:val="standardContextual"/>
        </w:rPr>
        <w:t>.</w:t>
      </w:r>
      <w:bookmarkEnd w:id="5"/>
      <w:r w:rsidRPr="003755F0">
        <w:rPr>
          <w:rFonts w:ascii="Times New Roman" w:eastAsia="Calibri" w:hAnsi="Times New Roman" w:cs="Times New Roman"/>
          <w:kern w:val="2"/>
          <w:sz w:val="28"/>
          <w:szCs w:val="28"/>
          <w:lang w:eastAsia="en-US"/>
          <w14:ligatures w14:val="standardContextual"/>
        </w:rPr>
        <w:t>, затвердженої у новій редакції рішенням Київської обласної ради від 6 березня 2025 року № 1259-31-VIII</w:t>
      </w:r>
      <w:bookmarkEnd w:id="6"/>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5CC8E1A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Стратегічна ціль 1 «Розвиток людського капіталу», зокрема:</w:t>
      </w:r>
    </w:p>
    <w:p w:rsidR="003755F0" w:rsidRPr="003755F0" w:rsidP="003755F0" w14:paraId="21851C1C" w14:textId="77777777">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посилення інтеграції молодих людей та їх участі у різних сферах життєдіяльності.</w:t>
      </w:r>
    </w:p>
    <w:p w:rsidR="003755F0" w:rsidRPr="003755F0" w:rsidP="003755F0" w14:paraId="0A94153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Стратегічна ціль 2 «Створення безпечних і комфортних умова для життя».</w:t>
      </w:r>
    </w:p>
    <w:p w:rsidR="003755F0" w:rsidRPr="003755F0" w:rsidP="003755F0" w14:paraId="6DFFD8C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Стратегічна ціль 3 «Посилення економічної стійкості та конкурентоспроможності регіону», у тому числі:</w:t>
      </w:r>
    </w:p>
    <w:p w:rsidR="003755F0" w:rsidRPr="003755F0" w:rsidP="003755F0" w14:paraId="0B2BD0F7" w14:textId="77777777">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сприяння розвитку бізнесу та залученню інвестицій;</w:t>
      </w:r>
    </w:p>
    <w:p w:rsidR="003755F0" w:rsidRPr="003755F0" w:rsidP="003755F0" w14:paraId="2AFC4DA7" w14:textId="77777777">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розвиток інноваційно орієнтованих галузей економіки на засадах смарт-спеціалізації.</w:t>
      </w:r>
    </w:p>
    <w:p w:rsidR="003755F0" w:rsidRPr="003755F0" w:rsidP="003755F0" w14:paraId="2C3BC2C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Стратегічна ціль 4 «Забезпечення збалансованого розвитку територій, соціальної згуртованості та цифрова трансформація», зокрема:</w:t>
      </w:r>
    </w:p>
    <w:p w:rsidR="003755F0" w:rsidRPr="003755F0" w:rsidP="003755F0" w14:paraId="0BAD2916" w14:textId="77777777">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комплексний розвиток територій громад, підвищення ефективності урядування на всіх рівнях.</w:t>
      </w:r>
    </w:p>
    <w:p w:rsidR="003755F0" w:rsidRPr="003755F0" w:rsidP="003755F0" w14:paraId="0D0DF914"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bookmarkStart w:id="7" w:name="_Hlk214539546"/>
      <w:r w:rsidRPr="003755F0">
        <w:rPr>
          <w:rFonts w:ascii="Times New Roman" w:eastAsia="Calibri" w:hAnsi="Times New Roman" w:cs="Times New Roman"/>
          <w:kern w:val="2"/>
          <w:sz w:val="28"/>
          <w:szCs w:val="28"/>
          <w:lang w:eastAsia="en-US"/>
          <w14:ligatures w14:val="standardContextual"/>
        </w:rPr>
        <w:t>З огляду на воєнний стан, загальну економічну нестабільність, відтік інвестицій, безпекові загрози, зокрема для інфраструктури, індустріальний парк також розглядатиме альтернативні форми стимулювання економічного розвитку територіальної громади, які можуть бути більш адаптивними в умовах обмежених ресурсів та інституційної нестабільності</w:t>
      </w:r>
      <w:bookmarkEnd w:id="7"/>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6C191DB3" w14:textId="77777777">
      <w:pPr>
        <w:numPr>
          <w:ilvl w:val="0"/>
          <w:numId w:val="6"/>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донорська підтримка щодо впровадження енергозберігаючих технологій, екологічно і кліматично орієнтованих </w:t>
      </w:r>
      <w:r w:rsidRPr="003755F0">
        <w:rPr>
          <w:rFonts w:ascii="Times New Roman" w:eastAsia="Calibri" w:hAnsi="Times New Roman" w:cs="Times New Roman"/>
          <w:kern w:val="2"/>
          <w:sz w:val="28"/>
          <w:szCs w:val="28"/>
          <w:lang w:eastAsia="en-US"/>
          <w14:ligatures w14:val="standardContextual"/>
        </w:rPr>
        <w:t>проєктів</w:t>
      </w:r>
      <w:r w:rsidRPr="003755F0">
        <w:rPr>
          <w:rFonts w:ascii="Times New Roman" w:eastAsia="Calibri" w:hAnsi="Times New Roman" w:cs="Times New Roman"/>
          <w:kern w:val="2"/>
          <w:sz w:val="28"/>
          <w:szCs w:val="28"/>
          <w:lang w:eastAsia="en-US"/>
          <w14:ligatures w14:val="standardContextual"/>
        </w:rPr>
        <w:t>, мінімізація відходів та раціональне використання обмежених енергетичних ресурсів;</w:t>
      </w:r>
    </w:p>
    <w:p w:rsidR="003755F0" w:rsidRPr="003755F0" w:rsidP="003755F0" w14:paraId="1A954707" w14:textId="77777777">
      <w:pPr>
        <w:numPr>
          <w:ilvl w:val="0"/>
          <w:numId w:val="6"/>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використання послуг вітчизняного експортно-кредитного агентства (ЕКА) і профільних міжнародних агенцій зі страхування інвестицій та зовнішньоекономічних контрактів від ризиків політичного і воєнного характеру;</w:t>
      </w:r>
    </w:p>
    <w:p w:rsidR="003755F0" w:rsidRPr="003755F0" w:rsidP="003755F0" w14:paraId="6BD299B4" w14:textId="77777777">
      <w:pPr>
        <w:numPr>
          <w:ilvl w:val="1"/>
          <w:numId w:val="5"/>
        </w:numPr>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залучення грантів неурядових організацій на розвиток стартапів, бізнес-інкубаторів та хабів цифрових трансформацій для сприяння розвитку та впровадженню інновацій у технологічні та управлінські процеси підприємств індустріального парку.</w:t>
      </w:r>
    </w:p>
    <w:p w:rsidR="003755F0" w:rsidRPr="003755F0" w:rsidP="003755F0" w14:paraId="095F7725" w14:textId="77777777">
      <w:pPr>
        <w:spacing w:after="0" w:line="240" w:lineRule="auto"/>
        <w:ind w:left="1440"/>
        <w:jc w:val="both"/>
        <w:rPr>
          <w:rFonts w:ascii="Times New Roman" w:eastAsia="Calibri" w:hAnsi="Times New Roman" w:cs="Times New Roman"/>
          <w:kern w:val="2"/>
          <w:sz w:val="28"/>
          <w:szCs w:val="28"/>
          <w:lang w:eastAsia="en-US"/>
          <w14:ligatures w14:val="standardContextual"/>
        </w:rPr>
      </w:pPr>
    </w:p>
    <w:p w:rsidR="003755F0" w:rsidRPr="003755F0" w:rsidP="003755F0" w14:paraId="2E6A7785"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Індустріальний парк «БУДШЛЯХМАШ» створюватиметься і функціонуватиме на основі таких принципів:</w:t>
      </w:r>
    </w:p>
    <w:p w:rsidR="003755F0" w:rsidRPr="003755F0" w:rsidP="003755F0" w14:paraId="4578022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Раціональне та ефективне використання природних, економічних і людських ресурсів регіону.</w:t>
      </w:r>
    </w:p>
    <w:p w:rsidR="003755F0" w:rsidRPr="003755F0" w:rsidP="003755F0" w14:paraId="27F888E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Системний підхід до формування єдиного комплексу комунікацій, інфраструктури та сервісів для учасників парку.</w:t>
      </w:r>
    </w:p>
    <w:p w:rsidR="003755F0" w:rsidRPr="003755F0" w:rsidP="003755F0" w14:paraId="04A82EB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Партнерство держави та приватних інвесторів у розвитку інфраструктури парку.</w:t>
      </w:r>
    </w:p>
    <w:p w:rsidR="003755F0" w:rsidRPr="003755F0" w:rsidP="003755F0" w14:paraId="431478B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Рівність і недискримінація щодо всіх учасників, незалежно від обсягу інвестицій або країни походження.</w:t>
      </w:r>
    </w:p>
    <w:p w:rsidR="003755F0" w:rsidRPr="003755F0" w:rsidP="003755F0" w14:paraId="03690A9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Фокус на пріоритетних галузях, визначених концепцією парку.</w:t>
      </w:r>
    </w:p>
    <w:p w:rsidR="003755F0" w:rsidRPr="003755F0" w:rsidP="003755F0" w14:paraId="6FC6DB4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Кластеризація промислових підприємств для підвищення синергетичної взаємодії та конкурентоспроможності.</w:t>
      </w:r>
    </w:p>
    <w:p w:rsidR="003755F0" w:rsidRPr="003755F0" w:rsidP="003755F0" w14:paraId="3AD6152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Екологічна відповідальність господарської діяльності учасників.</w:t>
      </w:r>
    </w:p>
    <w:p w:rsidR="003755F0" w:rsidRPr="003755F0" w:rsidP="003755F0" w14:paraId="41F5FFB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Стимулювання створення високооплачуваних і кваліфікованих робочих місць, а також залучення інвестицій на всіх рівнях.</w:t>
      </w:r>
    </w:p>
    <w:p w:rsidR="003755F0" w:rsidRPr="003755F0" w:rsidP="003755F0" w14:paraId="155ED53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Соціальне партнерство між працівниками, роботодавцями та органами місцевого самоврядування.</w:t>
      </w:r>
    </w:p>
    <w:p w:rsidR="003755F0" w:rsidRPr="003755F0" w:rsidP="003755F0" w14:paraId="72263D0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Чіткий розподіл повноважень і відповідальності між усіма учасниками процесу.</w:t>
      </w:r>
    </w:p>
    <w:p w:rsidR="003755F0" w:rsidRPr="003755F0" w:rsidP="003755F0" w14:paraId="4000092A" w14:textId="77777777">
      <w:pPr>
        <w:spacing w:after="0" w:line="240" w:lineRule="auto"/>
        <w:ind w:left="851"/>
        <w:jc w:val="both"/>
        <w:rPr>
          <w:rFonts w:ascii="Times New Roman" w:eastAsia="Calibri" w:hAnsi="Times New Roman" w:cs="Times New Roman"/>
          <w:kern w:val="2"/>
          <w:sz w:val="28"/>
          <w:szCs w:val="28"/>
          <w:lang w:eastAsia="en-US"/>
          <w14:ligatures w14:val="standardContextual"/>
        </w:rPr>
      </w:pPr>
    </w:p>
    <w:p w:rsidR="003755F0" w:rsidRPr="003755F0" w:rsidP="003755F0" w14:paraId="5C6C5F02"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Функціональне призначення парку «БУДШЛЯХМАШ» - виробництво продукції машинобудування. Пріоритетними напрямами економічної діяльності у парку вбачаються:</w:t>
      </w:r>
    </w:p>
    <w:p w:rsidR="003755F0" w:rsidRPr="003755F0" w:rsidP="003755F0" w14:paraId="4485A5E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28.12 Виробництво гідравлічного та пневматичного устаткування</w:t>
      </w:r>
    </w:p>
    <w:p w:rsidR="003755F0" w:rsidRPr="003755F0" w:rsidP="003755F0" w14:paraId="563A17A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28.13 Виробництво інших помп і компресорів</w:t>
      </w:r>
    </w:p>
    <w:p w:rsidR="003755F0" w:rsidRPr="003755F0" w:rsidP="003755F0" w14:paraId="0DAB781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28.14 Виробництво інших кранів і клапанів</w:t>
      </w:r>
    </w:p>
    <w:p w:rsidR="003755F0" w:rsidRPr="003755F0" w:rsidP="003755F0" w14:paraId="062A798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28.15 Виробництво підшипників, зубчастих передач, елементів механічних передач і приводів</w:t>
      </w:r>
    </w:p>
    <w:p w:rsidR="003755F0" w:rsidRPr="003755F0" w:rsidP="003755F0" w14:paraId="2683DBF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28.22 Виробництво підіймального та вантажно-розвантажувального устаткування</w:t>
      </w:r>
    </w:p>
    <w:p w:rsidR="003755F0" w:rsidRPr="003755F0" w:rsidP="003755F0" w14:paraId="2B9B9DD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28.29 Виробництво інших машин і устаткування загального призначення, </w:t>
      </w:r>
      <w:r w:rsidRPr="003755F0">
        <w:rPr>
          <w:rFonts w:ascii="Times New Roman" w:eastAsia="Calibri" w:hAnsi="Times New Roman" w:cs="Times New Roman"/>
          <w:kern w:val="2"/>
          <w:sz w:val="28"/>
          <w:szCs w:val="28"/>
          <w:lang w:eastAsia="en-US"/>
          <w14:ligatures w14:val="standardContextual"/>
        </w:rPr>
        <w:t>н.в.і.у</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0C029FD7"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28.30 Виробництво машин і устаткування для сільського та лісового господарства</w:t>
      </w:r>
    </w:p>
    <w:p w:rsidR="003755F0" w:rsidRPr="003755F0" w:rsidP="003755F0" w14:paraId="5BBABC1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28.91 Виробництво машин і устаткування для металургії</w:t>
      </w:r>
    </w:p>
    <w:p w:rsidR="003755F0" w:rsidRPr="003755F0" w:rsidP="003755F0" w14:paraId="25CDC48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28.92 Виробництво машин і устаткування для добувної промисловості та будівництва</w:t>
      </w:r>
    </w:p>
    <w:p w:rsidR="003755F0" w:rsidRPr="003755F0" w:rsidP="003755F0" w14:paraId="61F9152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28.99 Виробництво інших машин і устаткування спеціального призначення, </w:t>
      </w:r>
      <w:r w:rsidRPr="003755F0">
        <w:rPr>
          <w:rFonts w:ascii="Times New Roman" w:eastAsia="Calibri" w:hAnsi="Times New Roman" w:cs="Times New Roman"/>
          <w:kern w:val="2"/>
          <w:sz w:val="28"/>
          <w:szCs w:val="28"/>
          <w:lang w:eastAsia="en-US"/>
          <w14:ligatures w14:val="standardContextual"/>
        </w:rPr>
        <w:t>н.в.і.у</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2BAE710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29.10 Виробництво автотранспортних засобів</w:t>
      </w:r>
    </w:p>
    <w:p w:rsidR="003755F0" w:rsidRPr="003755F0" w:rsidP="003755F0" w14:paraId="5E3237C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29.20 Виробництво кузовів для автотранспортних засобів, причепів і напівпричепів</w:t>
      </w:r>
    </w:p>
    <w:p w:rsidR="003755F0" w:rsidRPr="003755F0" w:rsidP="003755F0" w14:paraId="47920C1B"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29.31 Виробництво електричного й електронного устаткування для автотранспортних засобів</w:t>
      </w:r>
    </w:p>
    <w:p w:rsidR="003755F0" w:rsidRPr="003755F0" w:rsidP="003755F0" w14:paraId="48E7409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29.32 Виробництво інших вузлів, деталей і приладдя для автотранспортних засобів</w:t>
      </w:r>
    </w:p>
    <w:p w:rsidR="003755F0" w:rsidRPr="003755F0" w:rsidP="003755F0" w14:paraId="6AA610C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33.11 Ремонт і технічне обслуговування готових металевих виробів</w:t>
      </w:r>
    </w:p>
    <w:p w:rsidR="003755F0" w:rsidRPr="003755F0" w:rsidP="003755F0" w14:paraId="7FDEDBB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33.12 Ремонт і техобслуговування машин і устаткування промислового призначення</w:t>
      </w:r>
    </w:p>
    <w:p w:rsidR="003755F0" w:rsidRPr="003755F0" w:rsidP="003755F0" w14:paraId="23A0D10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33.14 Ремонт і технічне обслуговування електричного устаткування</w:t>
      </w:r>
    </w:p>
    <w:p w:rsidR="003755F0" w:rsidRPr="003755F0" w:rsidP="003755F0" w14:paraId="6B7EEA3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33.17 Ремонт і технічне обслуговування інших транспортних засобів</w:t>
      </w:r>
    </w:p>
    <w:p w:rsidR="003755F0" w:rsidRPr="003755F0" w:rsidP="003755F0" w14:paraId="7EEBBABB" w14:textId="77777777">
      <w:pPr>
        <w:numPr>
          <w:ilvl w:val="0"/>
          <w:numId w:val="5"/>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bookmarkStart w:id="8" w:name="_Hlk215821554"/>
      <w:r w:rsidRPr="003755F0">
        <w:rPr>
          <w:rFonts w:ascii="Times New Roman" w:eastAsia="Calibri" w:hAnsi="Times New Roman" w:cs="Times New Roman"/>
          <w:kern w:val="2"/>
          <w:sz w:val="28"/>
          <w:szCs w:val="28"/>
          <w:lang w:eastAsia="en-US"/>
          <w14:ligatures w14:val="standardContextual"/>
        </w:rPr>
        <w:t>33.19 Ремонт і технічне обслуговування інших машин і устаткування</w:t>
      </w:r>
    </w:p>
    <w:p w:rsidR="003755F0" w:rsidRPr="003755F0" w:rsidP="003755F0" w14:paraId="3467A33A" w14:textId="77777777">
      <w:pPr>
        <w:numPr>
          <w:ilvl w:val="0"/>
          <w:numId w:val="5"/>
        </w:numPr>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33.20 Установлення та монтаж машин і </w:t>
      </w:r>
      <w:bookmarkEnd w:id="8"/>
      <w:r w:rsidRPr="003755F0">
        <w:rPr>
          <w:rFonts w:ascii="Times New Roman" w:eastAsia="Calibri" w:hAnsi="Times New Roman" w:cs="Times New Roman"/>
          <w:kern w:val="2"/>
          <w:sz w:val="28"/>
          <w:szCs w:val="28"/>
          <w:lang w:eastAsia="en-US"/>
          <w14:ligatures w14:val="standardContextual"/>
        </w:rPr>
        <w:t>устаткування</w:t>
      </w:r>
    </w:p>
    <w:p w:rsidR="003755F0" w:rsidRPr="003755F0" w:rsidP="003755F0" w14:paraId="06EDB55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Крім того, до участі в ІП планується залучити суб’єктів господарювання, які надаватимуть супутні послуги: будівництво, консалтинг, логістику, експедиторські послуги, складські та інші комерційні послуги для основних учасників парку.</w:t>
      </w:r>
    </w:p>
    <w:p w:rsidR="003755F0" w:rsidRPr="003755F0" w:rsidP="003755F0" w14:paraId="6851EF0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Спектр галузей та напрямів виробництва у парку може бути розширено або адаптовано з урахуванням актуальних потреб територіальної громади та ринкових умов.</w:t>
      </w:r>
    </w:p>
    <w:p w:rsidR="003755F0" w:rsidRPr="003755F0" w:rsidP="003755F0" w14:paraId="2A4C542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D466B1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218706E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421AD6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2B072E0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D7E817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093881E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7DD2B9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ADD955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01B837B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133EA8B9"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65DB85F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31B0486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2D5625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F29964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9777F0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85224A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62563D4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217A396B" w14:textId="77777777">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9" w:name="_Toc194054627"/>
      <w:r w:rsidRPr="003755F0">
        <w:rPr>
          <w:rFonts w:ascii="Times New Roman" w:eastAsia="Times New Roman" w:hAnsi="Times New Roman" w:cs="Times New Roman"/>
          <w:b/>
          <w:kern w:val="2"/>
          <w:sz w:val="28"/>
          <w:szCs w:val="28"/>
          <w:lang w:eastAsia="en-US"/>
          <w14:ligatures w14:val="standardContextual"/>
        </w:rPr>
        <w:t>Місце розташування та розмір земельної ділянки</w:t>
      </w:r>
      <w:bookmarkEnd w:id="9"/>
    </w:p>
    <w:p w:rsidR="003755F0" w:rsidRPr="003755F0" w:rsidP="003755F0" w14:paraId="68F9892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Земельна ділянка індустріального парку «БУДШЛЯХМАШ» розташована у межах міста Бровари Броварського району Київської області.</w:t>
      </w:r>
    </w:p>
    <w:p w:rsidR="003755F0" w:rsidRPr="003755F0" w:rsidP="003755F0" w14:paraId="48104BE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343BC9FC" w14:textId="77777777">
      <w:pPr>
        <w:spacing w:after="0" w:line="240" w:lineRule="auto"/>
        <w:ind w:firstLine="567"/>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noProof/>
          <w:kern w:val="2"/>
          <w:sz w:val="28"/>
          <w:szCs w:val="28"/>
          <w:lang w:eastAsia="en-US"/>
        </w:rPr>
        <w:drawing>
          <wp:inline distT="0" distB="0" distL="0" distR="0">
            <wp:extent cx="5486400" cy="3695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695700"/>
                    </a:xfrm>
                    <a:prstGeom prst="rect">
                      <a:avLst/>
                    </a:prstGeom>
                    <a:noFill/>
                    <a:ln>
                      <a:noFill/>
                    </a:ln>
                  </pic:spPr>
                </pic:pic>
              </a:graphicData>
            </a:graphic>
          </wp:inline>
        </w:drawing>
      </w:r>
    </w:p>
    <w:p w:rsidR="003755F0" w:rsidRPr="003755F0" w:rsidP="003755F0" w14:paraId="74C09AD1"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rsidR="003755F0" w:rsidRPr="003755F0" w:rsidP="003755F0" w14:paraId="1C002EB3"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Ділянка розташована по вулиці Сергія Москаленка у місті Бровари поряд з автошляхом Е95, що прямує з півночі на південь України до м. Одеса. Відстань від земельної ділянки до адміністративної межі м. Києва становить близько 7 км.</w:t>
      </w:r>
    </w:p>
    <w:p w:rsidR="003755F0" w:rsidRPr="003755F0" w:rsidP="003755F0" w14:paraId="4E0C5CB9"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rsidR="003755F0" w:rsidRPr="003755F0" w:rsidP="003755F0" w14:paraId="4B4DFAED"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 xml:space="preserve">Відповідно до рішень Броварської міської ради Броварського району Київської області від 24.04.2025 року №2109-91-08 «Про затвердження документації із землеустрою та проведення земельних торгів щодо продажу права оренди земельної ділянки площею 11,4173 га в районі вулиці Москаленка Сергія в </w:t>
      </w:r>
      <w:r w:rsidRPr="003755F0">
        <w:rPr>
          <w:rFonts w:ascii="Times New Roman" w:eastAsia="Calibri" w:hAnsi="Times New Roman" w:cs="Times New Roman"/>
          <w:kern w:val="2"/>
          <w:sz w:val="28"/>
          <w:szCs w:val="24"/>
          <w:lang w:eastAsia="en-US"/>
          <w14:ligatures w14:val="standardContextual"/>
        </w:rPr>
        <w:t>м.Бровари</w:t>
      </w:r>
      <w:r w:rsidRPr="003755F0">
        <w:rPr>
          <w:rFonts w:ascii="Times New Roman" w:eastAsia="Calibri" w:hAnsi="Times New Roman" w:cs="Times New Roman"/>
          <w:kern w:val="2"/>
          <w:sz w:val="28"/>
          <w:szCs w:val="24"/>
          <w:lang w:eastAsia="en-US"/>
          <w14:ligatures w14:val="standardContextual"/>
        </w:rPr>
        <w:t xml:space="preserve"> Броварського району Київської області», від 29.05.2025 року №2145-92-08 «Про внесення змін до рішення Броварської міської ради Броварського району Київської області від 24.04.2025 року №2109-91-08», відповідно до Протоколу про результати земельних торгів №</w:t>
      </w:r>
      <w:r w:rsidRPr="003755F0">
        <w:rPr>
          <w:rFonts w:ascii="Times New Roman" w:eastAsia="Calibri" w:hAnsi="Times New Roman" w:cs="Times New Roman"/>
          <w:kern w:val="2"/>
          <w:sz w:val="28"/>
          <w:szCs w:val="24"/>
          <w:lang w:val="en-US" w:eastAsia="en-US"/>
          <w14:ligatures w14:val="standardContextual"/>
        </w:rPr>
        <w:t>LRE</w:t>
      </w:r>
      <w:r w:rsidRPr="003755F0">
        <w:rPr>
          <w:rFonts w:ascii="Times New Roman" w:eastAsia="Calibri" w:hAnsi="Times New Roman" w:cs="Times New Roman"/>
          <w:kern w:val="2"/>
          <w:sz w:val="28"/>
          <w:szCs w:val="24"/>
          <w:lang w:eastAsia="en-US"/>
          <w14:ligatures w14:val="standardContextual"/>
        </w:rPr>
        <w:t>001-</w:t>
      </w:r>
      <w:r w:rsidRPr="003755F0">
        <w:rPr>
          <w:rFonts w:ascii="Times New Roman" w:eastAsia="Calibri" w:hAnsi="Times New Roman" w:cs="Times New Roman"/>
          <w:kern w:val="2"/>
          <w:sz w:val="28"/>
          <w:szCs w:val="24"/>
          <w:lang w:val="en-US" w:eastAsia="en-US"/>
          <w14:ligatures w14:val="standardContextual"/>
        </w:rPr>
        <w:t>UA</w:t>
      </w:r>
      <w:r w:rsidRPr="003755F0">
        <w:rPr>
          <w:rFonts w:ascii="Times New Roman" w:eastAsia="Calibri" w:hAnsi="Times New Roman" w:cs="Times New Roman"/>
          <w:kern w:val="2"/>
          <w:sz w:val="28"/>
          <w:szCs w:val="24"/>
          <w:lang w:eastAsia="en-US"/>
          <w14:ligatures w14:val="standardContextual"/>
        </w:rPr>
        <w:t xml:space="preserve">-20250729-80742 від 02.09.2025 року, Броварська міська рада Броварського району Київської області надає, а Товариство з обмеженою відповідальністю «АТОМІС» приймає в строкове платне користування земельну ділянку. </w:t>
      </w:r>
    </w:p>
    <w:p w:rsidR="003755F0" w:rsidRPr="003755F0" w:rsidP="003755F0" w14:paraId="09A02826"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rsidR="003755F0" w:rsidRPr="003755F0" w:rsidP="003755F0" w14:paraId="6030E94F"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Згідно договору оренди землі, укладеному між Броварською міською радою Броварського району Київської області та ТОВ «АТОМІС»:</w:t>
      </w:r>
    </w:p>
    <w:p w:rsidR="003755F0" w:rsidRPr="003755F0" w:rsidP="003755F0" w14:paraId="4F735BAF"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rsidR="003755F0" w:rsidRPr="003755F0" w:rsidP="003755F0" w14:paraId="17911634" w14:textId="77777777">
      <w:pPr>
        <w:numPr>
          <w:ilvl w:val="0"/>
          <w:numId w:val="7"/>
        </w:numPr>
        <w:spacing w:after="0" w:line="240" w:lineRule="auto"/>
        <w:contextualSpacing/>
        <w:jc w:val="both"/>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Дата підписання договору - «23» вересня 2025 року;</w:t>
      </w:r>
    </w:p>
    <w:p w:rsidR="003755F0" w:rsidRPr="003755F0" w:rsidP="003755F0" w14:paraId="340D8343" w14:textId="77777777">
      <w:pPr>
        <w:numPr>
          <w:ilvl w:val="0"/>
          <w:numId w:val="7"/>
        </w:numPr>
        <w:spacing w:after="0" w:line="240" w:lineRule="auto"/>
        <w:contextualSpacing/>
        <w:jc w:val="both"/>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Договір укладено строком на 35 років;</w:t>
      </w:r>
    </w:p>
    <w:p w:rsidR="003755F0" w:rsidRPr="003755F0" w:rsidP="003755F0" w14:paraId="057167ED" w14:textId="77777777">
      <w:pPr>
        <w:numPr>
          <w:ilvl w:val="0"/>
          <w:numId w:val="7"/>
        </w:numPr>
        <w:spacing w:after="0" w:line="240" w:lineRule="auto"/>
        <w:contextualSpacing/>
        <w:jc w:val="both"/>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 xml:space="preserve">Орендна плата становить 2 520 000 грн. на рік. </w:t>
      </w:r>
    </w:p>
    <w:p w:rsidR="003755F0" w:rsidRPr="003755F0" w:rsidP="003755F0" w14:paraId="6AACA69E"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rsidR="003755F0" w:rsidRPr="003755F0" w:rsidP="003755F0" w14:paraId="7C80EC16"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 xml:space="preserve">Ділянка перебуває у комунальній власності. </w:t>
      </w:r>
    </w:p>
    <w:p w:rsidR="003755F0" w:rsidRPr="003755F0" w:rsidP="003755F0" w14:paraId="78EE0F62"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 xml:space="preserve">Ділянка цілком вільна від забудови і інженерних споруд. На ній відсутні житлові будинки, ділові центри, інженерні мережі та виробничі об'єкти. На ділянці індустріального парку та сусідніх ділянках довкола відсутні звалища та очисні споруди. На </w:t>
      </w:r>
      <w:r w:rsidRPr="003755F0">
        <w:rPr>
          <w:rFonts w:ascii="Times New Roman" w:eastAsia="Calibri" w:hAnsi="Times New Roman" w:cs="Times New Roman"/>
          <w:kern w:val="2"/>
          <w:sz w:val="28"/>
          <w:szCs w:val="24"/>
          <w:lang w:eastAsia="en-US"/>
          <w14:ligatures w14:val="standardContextual"/>
        </w:rPr>
        <w:t>проєктованій</w:t>
      </w:r>
      <w:r w:rsidRPr="003755F0">
        <w:rPr>
          <w:rFonts w:ascii="Times New Roman" w:eastAsia="Calibri" w:hAnsi="Times New Roman" w:cs="Times New Roman"/>
          <w:kern w:val="2"/>
          <w:sz w:val="28"/>
          <w:szCs w:val="24"/>
          <w:lang w:eastAsia="en-US"/>
          <w14:ligatures w14:val="standardContextual"/>
        </w:rPr>
        <w:t xml:space="preserve"> ділянці парку також відсутні природоохоронні й </w:t>
      </w:r>
      <w:r w:rsidRPr="003755F0">
        <w:rPr>
          <w:rFonts w:ascii="Times New Roman" w:eastAsia="Calibri" w:hAnsi="Times New Roman" w:cs="Times New Roman"/>
          <w:kern w:val="2"/>
          <w:sz w:val="28"/>
          <w:szCs w:val="24"/>
          <w:lang w:eastAsia="en-US"/>
          <w14:ligatures w14:val="standardContextual"/>
        </w:rPr>
        <w:t>ландшафтно</w:t>
      </w:r>
      <w:r w:rsidRPr="003755F0">
        <w:rPr>
          <w:rFonts w:ascii="Times New Roman" w:eastAsia="Calibri" w:hAnsi="Times New Roman" w:cs="Times New Roman"/>
          <w:kern w:val="2"/>
          <w:sz w:val="28"/>
          <w:szCs w:val="24"/>
          <w:lang w:eastAsia="en-US"/>
          <w14:ligatures w14:val="standardContextual"/>
        </w:rPr>
        <w:t xml:space="preserve">-рекреаційні території. Протягом останніх п’яти років господарська діяльність на території ділянки не здійснювалась. </w:t>
      </w:r>
    </w:p>
    <w:p w:rsidR="003755F0" w:rsidRPr="003755F0" w:rsidP="003755F0" w14:paraId="5FD12B7E"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Ділянка не входить до охоронних зон пам’яток культурної спадщини, об’єктів всесвітньої спадщини, історико-культурних заповідників або археологічних територій. Рельєф ділянки характеризується як природний хвилястий, без значних перепадів ґрунтів та проявів небезпечних геологічних процесів, таких як зсуви чи карст. За результатами інтегрованого аналізу геоморфологічних характеристик ділянка вважається сприятливою для будівництва промислових об’єктів.</w:t>
      </w:r>
    </w:p>
    <w:p w:rsidR="003755F0" w:rsidRPr="003755F0" w:rsidP="003755F0" w14:paraId="767E7B94" w14:textId="77777777">
      <w:pPr>
        <w:spacing w:before="240"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Загальна площа ділянки індустріального парку:</w:t>
      </w:r>
    </w:p>
    <w:p w:rsidR="003755F0" w:rsidRPr="003755F0" w:rsidP="003755F0" w14:paraId="6D57D1CD" w14:textId="77777777">
      <w:pPr>
        <w:spacing w:after="12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11,4173 га</w:t>
      </w:r>
    </w:p>
    <w:p w:rsidR="003755F0" w:rsidRPr="003755F0" w:rsidP="003755F0" w14:paraId="5D189B2F" w14:textId="77777777">
      <w:pPr>
        <w:spacing w:after="0" w:line="240" w:lineRule="auto"/>
        <w:ind w:firstLine="567"/>
        <w:jc w:val="both"/>
        <w:rPr>
          <w:rFonts w:ascii="Times New Roman" w:eastAsia="Calibri" w:hAnsi="Times New Roman" w:cs="Times New Roman"/>
          <w:b/>
          <w:bCs/>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Кадастровий номер:</w:t>
      </w:r>
    </w:p>
    <w:p w:rsidR="003755F0" w:rsidRPr="003755F0" w:rsidP="003755F0" w14:paraId="140641B4" w14:textId="77777777">
      <w:pPr>
        <w:spacing w:after="12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3210600000:01:045:0232</w:t>
      </w:r>
    </w:p>
    <w:p w:rsidR="003755F0" w:rsidRPr="003755F0" w:rsidP="003755F0" w14:paraId="4F1351E2"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Місце розташування (адміністративно-територіальна одиниця):</w:t>
      </w:r>
    </w:p>
    <w:p w:rsidR="003755F0" w:rsidRPr="003755F0" w:rsidP="003755F0" w14:paraId="33392D7C" w14:textId="77777777">
      <w:pPr>
        <w:spacing w:after="12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Київська область, Броварський район, м. Бровари, вул. Сергія Москаленка</w:t>
      </w:r>
    </w:p>
    <w:p w:rsidR="003755F0" w:rsidRPr="003755F0" w:rsidP="003755F0" w14:paraId="3392B47B" w14:textId="77777777">
      <w:pPr>
        <w:spacing w:after="120" w:line="240" w:lineRule="auto"/>
        <w:ind w:firstLine="567"/>
        <w:jc w:val="both"/>
        <w:rPr>
          <w:rFonts w:ascii="Times New Roman" w:eastAsia="Calibri" w:hAnsi="Times New Roman" w:cs="Times New Roman"/>
          <w:kern w:val="2"/>
          <w:sz w:val="28"/>
          <w:szCs w:val="24"/>
          <w:lang w:eastAsia="en-US"/>
          <w14:ligatures w14:val="standardContextual"/>
        </w:rPr>
      </w:pPr>
    </w:p>
    <w:p w:rsidR="003755F0" w:rsidRPr="003755F0" w:rsidP="003755F0" w14:paraId="1E22A2A2" w14:textId="77777777">
      <w:pPr>
        <w:spacing w:after="0" w:line="240" w:lineRule="auto"/>
        <w:ind w:firstLine="567"/>
        <w:jc w:val="both"/>
        <w:rPr>
          <w:rFonts w:ascii="Times New Roman" w:eastAsia="Calibri" w:hAnsi="Times New Roman" w:cs="Times New Roman"/>
          <w:b/>
          <w:bCs/>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Категорія:</w:t>
      </w:r>
    </w:p>
    <w:p w:rsidR="003755F0" w:rsidRPr="003755F0" w:rsidP="003755F0" w14:paraId="31C5F36C" w14:textId="77777777">
      <w:pPr>
        <w:spacing w:after="120" w:line="240" w:lineRule="auto"/>
        <w:ind w:left="567"/>
        <w:jc w:val="both"/>
        <w:rPr>
          <w:rFonts w:ascii="Times New Roman" w:eastAsia="Calibri" w:hAnsi="Times New Roman" w:cs="Times New Roman"/>
          <w:b/>
          <w:bCs/>
          <w:color w:val="4E74A2"/>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Землі промисловості, транспорту, зв’язку, енергетики, оборони та іншого призначення</w:t>
      </w:r>
    </w:p>
    <w:p w:rsidR="003755F0" w:rsidRPr="003755F0" w:rsidP="003755F0" w14:paraId="12185685" w14:textId="77777777">
      <w:pPr>
        <w:spacing w:after="0" w:line="240" w:lineRule="auto"/>
        <w:ind w:firstLine="567"/>
        <w:jc w:val="both"/>
        <w:rPr>
          <w:rFonts w:ascii="Times New Roman" w:eastAsia="Calibri" w:hAnsi="Times New Roman" w:cs="Times New Roman"/>
          <w:b/>
          <w:bCs/>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Цільове призначення:</w:t>
      </w:r>
    </w:p>
    <w:p w:rsidR="003755F0" w:rsidRPr="003755F0" w:rsidP="003755F0" w14:paraId="4ABBEF74" w14:textId="77777777">
      <w:pPr>
        <w:spacing w:after="0" w:line="240" w:lineRule="auto"/>
        <w:ind w:left="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 xml:space="preserve">11.02 Для розміщення та експлуатації основних, підсобних і допоміжних будівель та споруд підприємств переробної, машинобудівної та іншої промисловості, включаючи об’єкти оброблення відходів, зокрема із енергогенеруючим блоком, </w:t>
      </w:r>
    </w:p>
    <w:p w:rsidR="003755F0" w:rsidRPr="003755F0" w:rsidP="003755F0" w14:paraId="26DE0564" w14:textId="77777777">
      <w:pPr>
        <w:spacing w:after="120" w:line="240" w:lineRule="auto"/>
        <w:ind w:left="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згідно витягу з Державного земельного кадастру про земельну ділянку від 18.04.2024 р. за №НВ-7100306582024, виданого Броварською міською радою Броварського району Київської області.</w:t>
      </w:r>
    </w:p>
    <w:p w:rsidR="003755F0" w:rsidRPr="003755F0" w:rsidP="003755F0" w14:paraId="2E819569"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 xml:space="preserve">Форма власності: </w:t>
      </w:r>
      <w:r w:rsidRPr="003755F0">
        <w:rPr>
          <w:rFonts w:ascii="Times New Roman" w:eastAsia="Calibri" w:hAnsi="Times New Roman" w:cs="Times New Roman"/>
          <w:kern w:val="2"/>
          <w:sz w:val="28"/>
          <w:szCs w:val="24"/>
          <w:lang w:eastAsia="en-US"/>
          <w14:ligatures w14:val="standardContextual"/>
        </w:rPr>
        <w:t>Комунальна</w:t>
      </w:r>
    </w:p>
    <w:p w:rsidR="003755F0" w:rsidRPr="003755F0" w:rsidP="003755F0" w14:paraId="3C4DACF2" w14:textId="77777777">
      <w:pPr>
        <w:spacing w:after="0"/>
        <w:rPr>
          <w:rFonts w:ascii="Times New Roman" w:eastAsia="Times New Roman" w:hAnsi="Times New Roman" w:cs="Times New Roman"/>
          <w:b/>
          <w:sz w:val="32"/>
          <w:szCs w:val="28"/>
        </w:rPr>
      </w:pPr>
    </w:p>
    <w:p w:rsidR="003755F0" w:rsidRPr="003755F0" w:rsidP="003755F0" w14:paraId="0AF0848D" w14:textId="77777777">
      <w:pPr>
        <w:spacing w:after="0"/>
        <w:rPr>
          <w:rFonts w:ascii="Times New Roman" w:eastAsia="Times New Roman" w:hAnsi="Times New Roman" w:cs="Times New Roman"/>
          <w:b/>
          <w:sz w:val="28"/>
          <w:szCs w:val="28"/>
        </w:rPr>
      </w:pPr>
    </w:p>
    <w:p w:rsidR="003755F0" w:rsidRPr="003755F0" w:rsidP="003755F0" w14:paraId="4819D762" w14:textId="77777777">
      <w:pPr>
        <w:spacing w:after="0"/>
        <w:rPr>
          <w:rFonts w:ascii="Times New Roman" w:eastAsia="Times New Roman" w:hAnsi="Times New Roman" w:cs="Times New Roman"/>
          <w:b/>
          <w:sz w:val="28"/>
          <w:szCs w:val="28"/>
        </w:rPr>
      </w:pPr>
    </w:p>
    <w:p w:rsidR="003755F0" w:rsidRPr="003755F0" w:rsidP="003755F0" w14:paraId="2268B35A" w14:textId="77777777">
      <w:pPr>
        <w:spacing w:after="0"/>
        <w:rPr>
          <w:rFonts w:ascii="Times New Roman" w:eastAsia="Times New Roman" w:hAnsi="Times New Roman" w:cs="Times New Roman"/>
          <w:b/>
          <w:sz w:val="28"/>
          <w:szCs w:val="28"/>
        </w:rPr>
      </w:pPr>
    </w:p>
    <w:p w:rsidR="003755F0" w:rsidRPr="003755F0" w:rsidP="003755F0" w14:paraId="25B55AFD" w14:textId="77777777">
      <w:pPr>
        <w:spacing w:after="160" w:line="240" w:lineRule="auto"/>
        <w:jc w:val="center"/>
        <w:rPr>
          <w:rFonts w:ascii="Times New Roman" w:eastAsia="Calibri" w:hAnsi="Times New Roman" w:cs="Times New Roman"/>
          <w:b/>
          <w:bCs/>
          <w:caps/>
          <w:kern w:val="2"/>
          <w:sz w:val="28"/>
          <w:szCs w:val="24"/>
          <w:lang w:eastAsia="en-US"/>
          <w14:ligatures w14:val="standardContextual"/>
        </w:rPr>
      </w:pPr>
      <w:r w:rsidRPr="003755F0">
        <w:rPr>
          <w:rFonts w:ascii="Times New Roman" w:eastAsia="Calibri" w:hAnsi="Times New Roman" w:cs="Times New Roman"/>
          <w:b/>
          <w:bCs/>
          <w:caps/>
          <w:kern w:val="2"/>
          <w:sz w:val="28"/>
          <w:szCs w:val="24"/>
          <w:lang w:eastAsia="en-US"/>
          <w14:ligatures w14:val="standardContextual"/>
        </w:rPr>
        <w:t>Київська область</w:t>
      </w:r>
    </w:p>
    <w:p w:rsidR="003755F0" w:rsidRPr="003755F0" w:rsidP="003755F0" w14:paraId="397066D7"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Київська область розташована на півночі України у межах таких природно-географічних регіонів, як Полісся (північно-західна частина області), Лісова зона (північна частина) і лісостеп (південна частина). Вона межує з Житомирською, Вінницькою, Черкаською, Полтавською та Чернігівською областями України, а також має вихід до Гомельської області Білорусі. Територія Київської області становить 28,1 тис. км</w:t>
      </w:r>
      <w:r w:rsidRPr="003755F0">
        <w:rPr>
          <w:rFonts w:ascii="Times New Roman" w:eastAsia="Calibri" w:hAnsi="Times New Roman" w:cs="Times New Roman"/>
          <w:kern w:val="2"/>
          <w:sz w:val="28"/>
          <w:szCs w:val="24"/>
          <w:vertAlign w:val="superscript"/>
          <w:lang w:eastAsia="en-US"/>
          <w14:ligatures w14:val="standardContextual"/>
        </w:rPr>
        <w:t>2</w:t>
      </w:r>
      <w:r w:rsidRPr="003755F0">
        <w:rPr>
          <w:rFonts w:ascii="Times New Roman" w:eastAsia="Calibri" w:hAnsi="Times New Roman" w:cs="Times New Roman"/>
          <w:kern w:val="2"/>
          <w:sz w:val="28"/>
          <w:szCs w:val="24"/>
          <w:lang w:eastAsia="en-US"/>
          <w14:ligatures w14:val="standardContextual"/>
        </w:rPr>
        <w:t xml:space="preserve">, що складає 4,7% площі України. За адміністративним поділом Київська область поділяється на 7 районів, налічує 69 територіальних громад та 489 </w:t>
      </w:r>
      <w:r w:rsidRPr="003755F0">
        <w:rPr>
          <w:rFonts w:ascii="Times New Roman" w:eastAsia="Calibri" w:hAnsi="Times New Roman" w:cs="Times New Roman"/>
          <w:kern w:val="2"/>
          <w:sz w:val="28"/>
          <w:szCs w:val="24"/>
          <w:lang w:eastAsia="en-US"/>
          <w14:ligatures w14:val="standardContextual"/>
        </w:rPr>
        <w:t>старостинських</w:t>
      </w:r>
      <w:r w:rsidRPr="003755F0">
        <w:rPr>
          <w:rFonts w:ascii="Times New Roman" w:eastAsia="Calibri" w:hAnsi="Times New Roman" w:cs="Times New Roman"/>
          <w:kern w:val="2"/>
          <w:sz w:val="28"/>
          <w:szCs w:val="24"/>
          <w:lang w:eastAsia="en-US"/>
          <w14:ligatures w14:val="standardContextual"/>
        </w:rPr>
        <w:t xml:space="preserve"> округів. В області налічується 26 міст, 30 селищ міського типу та 1121 сільських населених пунктів.</w:t>
      </w:r>
    </w:p>
    <w:p w:rsidR="003755F0" w:rsidRPr="003755F0" w:rsidP="003755F0" w14:paraId="28261229"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p>
    <w:p w:rsidR="003755F0" w:rsidRPr="003755F0" w:rsidP="003755F0" w14:paraId="57937061" w14:textId="77777777">
      <w:pPr>
        <w:spacing w:after="0"/>
        <w:rPr>
          <w:rFonts w:ascii="Times New Roman" w:eastAsia="Times New Roman" w:hAnsi="Times New Roman" w:cs="Times New Roman"/>
          <w:b/>
          <w:sz w:val="28"/>
          <w:szCs w:val="28"/>
        </w:rPr>
      </w:pPr>
      <w:r w:rsidRPr="003755F0">
        <w:rPr>
          <w:rFonts w:ascii="Times New Roman" w:eastAsia="Times New Roman" w:hAnsi="Times New Roman" w:cs="Times New Roman"/>
          <w:b/>
          <w:noProof/>
          <w:sz w:val="28"/>
          <w:szCs w:val="28"/>
        </w:rPr>
        <w:drawing>
          <wp:inline distT="0" distB="0" distL="0" distR="0">
            <wp:extent cx="2914650" cy="3629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4650" cy="3629025"/>
                    </a:xfrm>
                    <a:prstGeom prst="rect">
                      <a:avLst/>
                    </a:prstGeom>
                    <a:noFill/>
                    <a:ln>
                      <a:noFill/>
                    </a:ln>
                  </pic:spPr>
                </pic:pic>
              </a:graphicData>
            </a:graphic>
          </wp:inline>
        </w:drawing>
      </w:r>
      <w:r w:rsidRPr="003755F0">
        <w:rPr>
          <w:rFonts w:ascii="Times New Roman" w:eastAsia="Times New Roman" w:hAnsi="Times New Roman" w:cs="Times New Roman"/>
          <w:b/>
          <w:noProof/>
          <w:sz w:val="28"/>
          <w:szCs w:val="28"/>
        </w:rPr>
        <w:drawing>
          <wp:inline distT="0" distB="0" distL="0" distR="0">
            <wp:extent cx="3028950" cy="3819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028950" cy="3819525"/>
                    </a:xfrm>
                    <a:prstGeom prst="rect">
                      <a:avLst/>
                    </a:prstGeom>
                    <a:noFill/>
                    <a:ln>
                      <a:noFill/>
                    </a:ln>
                  </pic:spPr>
                </pic:pic>
              </a:graphicData>
            </a:graphic>
          </wp:inline>
        </w:drawing>
      </w:r>
    </w:p>
    <w:p w:rsidR="003755F0" w:rsidRPr="003755F0" w:rsidP="003755F0" w14:paraId="4E4B3000" w14:textId="77777777">
      <w:pPr>
        <w:spacing w:after="0"/>
        <w:jc w:val="center"/>
        <w:rPr>
          <w:rFonts w:ascii="Times New Roman" w:eastAsia="Times New Roman" w:hAnsi="Times New Roman" w:cs="Times New Roman"/>
          <w:b/>
          <w:sz w:val="28"/>
          <w:szCs w:val="28"/>
        </w:rPr>
      </w:pPr>
      <w:r w:rsidRPr="003755F0">
        <w:rPr>
          <w:rFonts w:ascii="Times New Roman" w:eastAsia="Times New Roman" w:hAnsi="Times New Roman" w:cs="Times New Roman"/>
          <w:b/>
          <w:noProof/>
          <w:sz w:val="28"/>
          <w:szCs w:val="28"/>
        </w:rPr>
        <w:drawing>
          <wp:inline distT="0" distB="0" distL="0" distR="0">
            <wp:extent cx="4095750" cy="2733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095750" cy="2733675"/>
                    </a:xfrm>
                    <a:prstGeom prst="rect">
                      <a:avLst/>
                    </a:prstGeom>
                    <a:noFill/>
                    <a:ln>
                      <a:noFill/>
                    </a:ln>
                  </pic:spPr>
                </pic:pic>
              </a:graphicData>
            </a:graphic>
          </wp:inline>
        </w:drawing>
      </w:r>
    </w:p>
    <w:p w:rsidR="003755F0" w:rsidRPr="003755F0" w:rsidP="003755F0" w14:paraId="357D4605" w14:textId="77777777">
      <w:pPr>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Транспортна інфраструктура</w:t>
      </w:r>
    </w:p>
    <w:p w:rsidR="003755F0" w:rsidRPr="003755F0" w:rsidP="003755F0" w14:paraId="21F3F560" w14:textId="77777777">
      <w:pPr>
        <w:spacing w:after="0" w:line="240" w:lineRule="auto"/>
        <w:jc w:val="center"/>
        <w:rPr>
          <w:rFonts w:ascii="Times New Roman" w:eastAsia="Calibri" w:hAnsi="Times New Roman" w:cs="Times New Roman"/>
          <w:b/>
          <w:bCs/>
          <w:color w:val="0070C0"/>
          <w:kern w:val="2"/>
          <w:sz w:val="28"/>
          <w:szCs w:val="28"/>
          <w:lang w:eastAsia="en-US"/>
          <w14:ligatures w14:val="standardContextual"/>
        </w:rPr>
      </w:pPr>
    </w:p>
    <w:p w:rsidR="003755F0" w:rsidRPr="003755F0" w:rsidP="003755F0" w14:paraId="2719294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Київська область має одну з найбільш розвинутих транспортних мереж в Україні, що включає важливі залізничні, автомобільні, трубопровідні й електричні магістралі, які з'єднують Україну з рештою регіонів країни та з країнами Європи.</w:t>
      </w:r>
    </w:p>
    <w:p w:rsidR="003755F0" w:rsidRPr="003755F0" w:rsidP="003755F0" w14:paraId="0B50AA7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30A8306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Експлуатаційна довжина залізниці в області сягає 1100 км. Крім Києва (який є обласним центром, але не входить до складу області), найбільшими залізничними вузлами в області є Фастів і Миронівка. Міжнародні залізничні маршрути з’єднують Україну з європейськими столицями — Белградом, Братиславою, Будапештом, Бухарестом, Варшавою, Прагою та Софією. Автомобільні магістралі регіону забезпечують зв’язок з Центральною та Південною Європою, а також країнами Балтії.</w:t>
      </w:r>
    </w:p>
    <w:p w:rsidR="003755F0" w:rsidRPr="003755F0" w:rsidP="003755F0" w14:paraId="3F55E0D2"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C9EA65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Основні автомобільні шляхи, що проходять територією Київщини:</w:t>
      </w:r>
    </w:p>
    <w:p w:rsidR="003755F0" w:rsidRPr="003755F0" w:rsidP="003755F0" w14:paraId="4D6121F7"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європейські: Е95 (Гомель – Київ – Одеса – </w:t>
      </w:r>
      <w:r w:rsidRPr="003755F0">
        <w:rPr>
          <w:rFonts w:ascii="Times New Roman" w:eastAsia="Calibri" w:hAnsi="Times New Roman" w:cs="Times New Roman"/>
          <w:kern w:val="2"/>
          <w:sz w:val="28"/>
          <w:szCs w:val="28"/>
          <w:lang w:eastAsia="en-US"/>
          <w14:ligatures w14:val="standardContextual"/>
        </w:rPr>
        <w:t>Самсун</w:t>
      </w:r>
      <w:r w:rsidRPr="003755F0">
        <w:rPr>
          <w:rFonts w:ascii="Times New Roman" w:eastAsia="Calibri" w:hAnsi="Times New Roman" w:cs="Times New Roman"/>
          <w:kern w:val="2"/>
          <w:sz w:val="28"/>
          <w:szCs w:val="28"/>
          <w:lang w:eastAsia="en-US"/>
          <w14:ligatures w14:val="standardContextual"/>
        </w:rPr>
        <w:t xml:space="preserve"> – </w:t>
      </w:r>
      <w:r w:rsidRPr="003755F0">
        <w:rPr>
          <w:rFonts w:ascii="Times New Roman" w:eastAsia="Calibri" w:hAnsi="Times New Roman" w:cs="Times New Roman"/>
          <w:kern w:val="2"/>
          <w:sz w:val="28"/>
          <w:szCs w:val="28"/>
          <w:lang w:eastAsia="en-US"/>
          <w14:ligatures w14:val="standardContextual"/>
        </w:rPr>
        <w:t>Мерзифон</w:t>
      </w:r>
      <w:r w:rsidRPr="003755F0">
        <w:rPr>
          <w:rFonts w:ascii="Times New Roman" w:eastAsia="Calibri" w:hAnsi="Times New Roman" w:cs="Times New Roman"/>
          <w:kern w:val="2"/>
          <w:sz w:val="28"/>
          <w:szCs w:val="28"/>
          <w:lang w:eastAsia="en-US"/>
          <w14:ligatures w14:val="standardContextual"/>
        </w:rPr>
        <w:t xml:space="preserve">), Е40 (Франція – Бельгія – Німеччина – Польща – Україна), Е373 (Київ – Коростень – </w:t>
      </w:r>
      <w:r w:rsidRPr="003755F0">
        <w:rPr>
          <w:rFonts w:ascii="Times New Roman" w:eastAsia="Calibri" w:hAnsi="Times New Roman" w:cs="Times New Roman"/>
          <w:kern w:val="2"/>
          <w:sz w:val="28"/>
          <w:szCs w:val="28"/>
          <w:lang w:eastAsia="en-US"/>
          <w14:ligatures w14:val="standardContextual"/>
        </w:rPr>
        <w:t>Сарни</w:t>
      </w:r>
      <w:r w:rsidRPr="003755F0">
        <w:rPr>
          <w:rFonts w:ascii="Times New Roman" w:eastAsia="Calibri" w:hAnsi="Times New Roman" w:cs="Times New Roman"/>
          <w:kern w:val="2"/>
          <w:sz w:val="28"/>
          <w:szCs w:val="28"/>
          <w:lang w:eastAsia="en-US"/>
          <w14:ligatures w14:val="standardContextual"/>
        </w:rPr>
        <w:t xml:space="preserve"> – Ковель – </w:t>
      </w:r>
      <w:r w:rsidRPr="003755F0">
        <w:rPr>
          <w:rFonts w:ascii="Times New Roman" w:eastAsia="Calibri" w:hAnsi="Times New Roman" w:cs="Times New Roman"/>
          <w:kern w:val="2"/>
          <w:sz w:val="28"/>
          <w:szCs w:val="28"/>
          <w:lang w:eastAsia="en-US"/>
          <w14:ligatures w14:val="standardContextual"/>
        </w:rPr>
        <w:t>Холм</w:t>
      </w:r>
      <w:r w:rsidRPr="003755F0">
        <w:rPr>
          <w:rFonts w:ascii="Times New Roman" w:eastAsia="Calibri" w:hAnsi="Times New Roman" w:cs="Times New Roman"/>
          <w:kern w:val="2"/>
          <w:sz w:val="28"/>
          <w:szCs w:val="28"/>
          <w:lang w:eastAsia="en-US"/>
          <w14:ligatures w14:val="standardContextual"/>
        </w:rPr>
        <w:t xml:space="preserve"> – Люблін);</w:t>
      </w:r>
    </w:p>
    <w:p w:rsidR="003755F0" w:rsidRPr="003755F0" w:rsidP="003755F0" w14:paraId="2260D4F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міжнародні: М01 (Київ – Чернігів – Нові </w:t>
      </w:r>
      <w:r w:rsidRPr="003755F0">
        <w:rPr>
          <w:rFonts w:ascii="Times New Roman" w:eastAsia="Calibri" w:hAnsi="Times New Roman" w:cs="Times New Roman"/>
          <w:kern w:val="2"/>
          <w:sz w:val="28"/>
          <w:szCs w:val="28"/>
          <w:lang w:eastAsia="en-US"/>
          <w14:ligatures w14:val="standardContextual"/>
        </w:rPr>
        <w:t>Яриловичі</w:t>
      </w:r>
      <w:r w:rsidRPr="003755F0">
        <w:rPr>
          <w:rFonts w:ascii="Times New Roman" w:eastAsia="Calibri" w:hAnsi="Times New Roman" w:cs="Times New Roman"/>
          <w:kern w:val="2"/>
          <w:sz w:val="28"/>
          <w:szCs w:val="28"/>
          <w:lang w:eastAsia="en-US"/>
          <w14:ligatures w14:val="standardContextual"/>
        </w:rPr>
        <w:t>), М03 (Київ – Харків), М07 (Київ – Ковель – Ягодин);</w:t>
      </w:r>
    </w:p>
    <w:p w:rsidR="003755F0" w:rsidRPr="003755F0" w:rsidP="003755F0" w14:paraId="77D64E6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національні: Н01 (Київ – Знам’янка), Н07 (Київ – Суми), Н08 (Бориспіль – Кременчук – Дніпро – Запоріжжя – Пологи – Маріуполь);</w:t>
      </w:r>
    </w:p>
    <w:p w:rsidR="003755F0" w:rsidRPr="003755F0" w:rsidP="003755F0" w14:paraId="738AEDB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регіональні: Р01 (Київ – Обухів), Р03 (Бориспіль – Велика Олександрівка; сполучає міжнародні шляхи М01 та М03), Р04 (Київ – Звенигородка), Р09 (Миронівка – Канів), Р19 (Фастів – Ржищів).</w:t>
      </w:r>
    </w:p>
    <w:p w:rsidR="003755F0" w:rsidRPr="003755F0" w:rsidP="003755F0" w14:paraId="33CE1165" w14:textId="77777777">
      <w:pPr>
        <w:spacing w:after="0" w:line="240" w:lineRule="auto"/>
        <w:ind w:left="851"/>
        <w:jc w:val="both"/>
        <w:rPr>
          <w:rFonts w:ascii="Times New Roman" w:eastAsia="Calibri" w:hAnsi="Times New Roman" w:cs="Times New Roman"/>
          <w:kern w:val="2"/>
          <w:sz w:val="28"/>
          <w:szCs w:val="28"/>
          <w:lang w:eastAsia="en-US"/>
          <w14:ligatures w14:val="standardContextual"/>
        </w:rPr>
      </w:pPr>
    </w:p>
    <w:tbl>
      <w:tblPr>
        <w:tblStyle w:val="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BF2"/>
        <w:tblLook w:val="04A0"/>
      </w:tblPr>
      <w:tblGrid>
        <w:gridCol w:w="4058"/>
        <w:gridCol w:w="5440"/>
      </w:tblGrid>
      <w:tr w14:paraId="5F5C8450" w14:textId="77777777" w:rsidTr="003755F0">
        <w:tblPrEx>
          <w:tblW w:w="0" w:type="auto"/>
          <w:tblInd w:w="0" w:type="dxa"/>
          <w:shd w:val="clear" w:color="auto" w:fill="E5EBF2"/>
          <w:tblLook w:val="04A0"/>
        </w:tblPrEx>
        <w:tc>
          <w:tcPr>
            <w:tcW w:w="4111" w:type="dxa"/>
            <w:shd w:val="clear" w:color="auto" w:fill="E5EBF2"/>
            <w:hideMark/>
          </w:tcPr>
          <w:p w:rsidR="003755F0" w:rsidRPr="003755F0" w:rsidP="003755F0" w14:paraId="037E250A" w14:textId="77777777">
            <w:pPr>
              <w:spacing w:after="120"/>
              <w:ind w:right="-57"/>
              <w:jc w:val="both"/>
              <w:rPr>
                <w:rFonts w:ascii="Times New Roman" w:hAnsi="Times New Roman"/>
                <w:sz w:val="26"/>
                <w:szCs w:val="26"/>
              </w:rPr>
            </w:pPr>
            <w:r w:rsidRPr="003755F0">
              <w:rPr>
                <w:rFonts w:ascii="Times New Roman" w:eastAsia="Times New Roman" w:hAnsi="Times New Roman"/>
                <w:sz w:val="26"/>
                <w:szCs w:val="26"/>
              </w:rPr>
              <w:t>Відстань від м. Києва до основних морських портів:</w:t>
            </w:r>
          </w:p>
          <w:p w:rsidR="003755F0" w:rsidRPr="003755F0" w:rsidP="003755F0" w14:paraId="195F9FD7" w14:textId="77777777">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Одеса – 476 км</w:t>
            </w:r>
          </w:p>
          <w:p w:rsidR="003755F0" w:rsidRPr="003755F0" w:rsidP="003755F0" w14:paraId="0483BF38" w14:textId="77777777">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Гданськ – 1183 км</w:t>
            </w:r>
          </w:p>
          <w:p w:rsidR="003755F0" w:rsidRPr="003755F0" w:rsidP="003755F0" w14:paraId="4D4B7F17" w14:textId="77777777">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Гамбург – 1668 км</w:t>
            </w:r>
          </w:p>
          <w:p w:rsidR="003755F0" w:rsidRPr="003755F0" w:rsidP="003755F0" w14:paraId="64577496" w14:textId="77777777">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Роттердам – 2013 км</w:t>
            </w:r>
          </w:p>
          <w:p w:rsidR="003755F0" w:rsidRPr="003755F0" w:rsidP="003755F0" w14:paraId="0A209987" w14:textId="77777777">
            <w:pPr>
              <w:numPr>
                <w:ilvl w:val="0"/>
                <w:numId w:val="8"/>
              </w:numPr>
              <w:tabs>
                <w:tab w:val="left" w:pos="601"/>
              </w:tabs>
              <w:spacing w:after="160"/>
              <w:ind w:left="318"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Антверпен – 2068 км</w:t>
            </w:r>
          </w:p>
        </w:tc>
        <w:tc>
          <w:tcPr>
            <w:tcW w:w="5516" w:type="dxa"/>
            <w:shd w:val="clear" w:color="auto" w:fill="E5EBF2"/>
            <w:hideMark/>
          </w:tcPr>
          <w:p w:rsidR="003755F0" w:rsidRPr="003755F0" w:rsidP="003755F0" w14:paraId="1FAE8D43" w14:textId="77777777">
            <w:pPr>
              <w:spacing w:after="120"/>
              <w:ind w:right="-57"/>
              <w:jc w:val="both"/>
              <w:rPr>
                <w:rFonts w:ascii="Times New Roman" w:hAnsi="Times New Roman"/>
                <w:sz w:val="26"/>
                <w:szCs w:val="26"/>
              </w:rPr>
            </w:pPr>
            <w:r w:rsidRPr="003755F0">
              <w:rPr>
                <w:rFonts w:ascii="Times New Roman" w:eastAsia="Times New Roman" w:hAnsi="Times New Roman"/>
                <w:sz w:val="26"/>
                <w:szCs w:val="26"/>
              </w:rPr>
              <w:t>Відстані до міждержавних вантажно-пасажирських пунктів пропуску через державні кордони з:</w:t>
            </w:r>
          </w:p>
          <w:p w:rsidR="003755F0" w:rsidRPr="003755F0" w:rsidP="003755F0" w14:paraId="066E062E" w14:textId="77777777">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Молдовою – 387 км</w:t>
            </w:r>
          </w:p>
          <w:p w:rsidR="003755F0" w:rsidRPr="003755F0" w:rsidP="003755F0" w14:paraId="45EFC716" w14:textId="77777777">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Польщею – 508 км</w:t>
            </w:r>
          </w:p>
          <w:p w:rsidR="003755F0" w:rsidRPr="003755F0" w:rsidP="003755F0" w14:paraId="1AB56F8F" w14:textId="77777777">
            <w:pPr>
              <w:numPr>
                <w:ilvl w:val="0"/>
                <w:numId w:val="8"/>
              </w:numPr>
              <w:tabs>
                <w:tab w:val="left" w:pos="601"/>
              </w:tabs>
              <w:ind w:left="324"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Румунією – 792 км</w:t>
            </w:r>
          </w:p>
          <w:p w:rsidR="003755F0" w:rsidRPr="003755F0" w:rsidP="003755F0" w14:paraId="3D858F40" w14:textId="77777777">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Угорщиною – 804 км</w:t>
            </w:r>
          </w:p>
          <w:p w:rsidR="003755F0" w:rsidRPr="003755F0" w:rsidP="003755F0" w14:paraId="47D55CF8" w14:textId="77777777">
            <w:pPr>
              <w:numPr>
                <w:ilvl w:val="0"/>
                <w:numId w:val="8"/>
              </w:numPr>
              <w:tabs>
                <w:tab w:val="left" w:pos="601"/>
              </w:tabs>
              <w:spacing w:after="160"/>
              <w:ind w:left="322" w:hanging="284"/>
              <w:contextualSpacing/>
              <w:jc w:val="both"/>
              <w:rPr>
                <w:rFonts w:ascii="Times New Roman" w:eastAsia="Times New Roman" w:hAnsi="Times New Roman"/>
                <w:sz w:val="26"/>
                <w:szCs w:val="26"/>
              </w:rPr>
            </w:pPr>
            <w:r w:rsidRPr="003755F0">
              <w:rPr>
                <w:rFonts w:ascii="Times New Roman" w:eastAsia="Times New Roman" w:hAnsi="Times New Roman"/>
                <w:sz w:val="26"/>
                <w:szCs w:val="26"/>
              </w:rPr>
              <w:t>Словаччиною – 815 км</w:t>
            </w:r>
          </w:p>
        </w:tc>
      </w:tr>
    </w:tbl>
    <w:p w:rsidR="003755F0" w:rsidRPr="003755F0" w:rsidP="003755F0" w14:paraId="7B4CD251" w14:textId="77777777">
      <w:pPr>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4D2D64C9" w14:textId="77777777">
      <w:pPr>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Динаміка соціально-економічного розвитку Київської області</w:t>
      </w:r>
    </w:p>
    <w:p w:rsidR="003755F0" w:rsidRPr="003755F0" w:rsidP="003755F0" w14:paraId="61805A7E" w14:textId="77777777">
      <w:pPr>
        <w:spacing w:after="0" w:line="240" w:lineRule="auto"/>
        <w:jc w:val="center"/>
        <w:rPr>
          <w:rFonts w:ascii="Times New Roman" w:eastAsia="Calibri" w:hAnsi="Times New Roman" w:cs="Times New Roman"/>
          <w:b/>
          <w:bCs/>
          <w:color w:val="0070C0"/>
          <w:kern w:val="2"/>
          <w:sz w:val="28"/>
          <w:szCs w:val="28"/>
          <w:lang w:eastAsia="en-US"/>
          <w14:ligatures w14:val="standardContextual"/>
        </w:rPr>
      </w:pPr>
    </w:p>
    <w:p w:rsidR="003755F0" w:rsidRPr="003755F0" w:rsidP="003755F0" w14:paraId="141C8E0F" w14:textId="77777777">
      <w:pPr>
        <w:spacing w:after="0" w:line="240" w:lineRule="auto"/>
        <w:ind w:firstLine="567"/>
        <w:jc w:val="both"/>
        <w:rPr>
          <w:rFonts w:ascii="Times New Roman" w:eastAsia="Times New Roman" w:hAnsi="Times New Roman" w:cs="Times New Roman"/>
          <w:b/>
          <w:sz w:val="28"/>
          <w:szCs w:val="28"/>
        </w:rPr>
      </w:pPr>
      <w:r w:rsidRPr="003755F0">
        <w:rPr>
          <w:rFonts w:ascii="Times New Roman" w:eastAsia="Calibri" w:hAnsi="Times New Roman" w:cs="Times New Roman"/>
          <w:sz w:val="28"/>
          <w:szCs w:val="28"/>
          <w:lang w:eastAsia="en-US"/>
        </w:rPr>
        <w:t xml:space="preserve">Повномасштабне вторгнення </w:t>
      </w:r>
      <w:r w:rsidRPr="003755F0">
        <w:rPr>
          <w:rFonts w:ascii="Times New Roman" w:eastAsia="Calibri" w:hAnsi="Times New Roman" w:cs="Times New Roman"/>
          <w:sz w:val="28"/>
          <w:szCs w:val="28"/>
          <w:lang w:eastAsia="en-US"/>
        </w:rPr>
        <w:t>росії</w:t>
      </w:r>
      <w:r w:rsidRPr="003755F0">
        <w:rPr>
          <w:rFonts w:ascii="Times New Roman" w:eastAsia="Calibri" w:hAnsi="Times New Roman" w:cs="Times New Roman"/>
          <w:sz w:val="28"/>
          <w:szCs w:val="28"/>
          <w:lang w:eastAsia="en-US"/>
        </w:rPr>
        <w:t xml:space="preserve"> в Україну спричинило глибокі соціально-економічні наслідки: значні людські втрати, примусову міграцію та внутрішнє переміщення населення, а також руйнування критичної інфраструктури. Для вітчизняної промисловості війна стала безпрецедентним викликом: десятки підприємств знищено внаслідок обстрілів, морські порти</w:t>
      </w:r>
    </w:p>
    <w:p w:rsidR="003755F0" w:rsidRPr="003755F0" w:rsidP="003755F0" w14:paraId="268299B6" w14:textId="77777777">
      <w:pPr>
        <w:spacing w:after="0"/>
        <w:rPr>
          <w:rFonts w:ascii="Times New Roman" w:eastAsia="Times New Roman" w:hAnsi="Times New Roman" w:cs="Times New Roman"/>
          <w:b/>
          <w:sz w:val="28"/>
          <w:szCs w:val="28"/>
        </w:rPr>
      </w:pPr>
    </w:p>
    <w:p w:rsidR="003755F0" w:rsidRPr="003755F0" w:rsidP="003755F0" w14:paraId="7B4FA0CC" w14:textId="77777777">
      <w:pPr>
        <w:spacing w:after="0" w:line="240" w:lineRule="auto"/>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заблоковано, що паралізувало зовнішню торгівлю, а масова міграція населення різко звузила внутрішній ринок збуту.</w:t>
      </w:r>
    </w:p>
    <w:p w:rsidR="003755F0" w:rsidRPr="003755F0" w:rsidP="003755F0" w14:paraId="38D8AF77"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Багато виробництв зупинили роботу через безпосередню військову загрозу, перебої з логістикою або втрату доступу до сировинних ресурсів і традиційних ринків збуту. Ці фактори кардинально змінили структуру української економіки, порушивши існуючі міжгалузеві зв’язки та змусивши бізнес адаптуватися до нових умов у умовах війни.</w:t>
      </w:r>
    </w:p>
    <w:p w:rsidR="003755F0" w:rsidRPr="003755F0" w:rsidP="003755F0" w14:paraId="6BD03DB9"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 xml:space="preserve">Окремі райони Київської області зазнали прямого окупаційного впливу у період між 24 лютого та 2 квітня 2022 р. Під окупацією опинилася значна частина півночі Київщини (Іванків, Бородянка, Димер), міста-супутники столиці (Ворзель, Гостомель, Буча, Ірпінь), Макарів і низка прилеглих сіл; була спроба прориву на Київ з боку Броварів та висадки десанту у Василькові. У результаті бойових дій та ворожих терористичних обстрілів зруйновано численні виробничі та інфраструктурні об’єкти, складські приміщення, будівлі житлового фонду. </w:t>
      </w:r>
    </w:p>
    <w:p w:rsidR="003755F0" w:rsidRPr="003755F0" w:rsidP="003755F0" w14:paraId="2EDCC5B7"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Після визволення регіону значних економічних втрат продовжують завдавати загальні проблеми воєнного часу періодичні перебої з енергопостачанням, проблеми з логістикою, складнощі з ланцюгами поставок сировини та матеріалів внаслідок руйнування виробничих комплексів на сході країни, низький рівень приватного споживання та інвестицій через падіння купівельної спроможності громадян, зростаюче безробіття, високий рівень міграції за кордон і проблеми з працевлаштуванням великої кількості внутрішньо переміщених осіб.</w:t>
      </w:r>
    </w:p>
    <w:p w:rsidR="003755F0" w:rsidRPr="003755F0" w:rsidP="003755F0" w14:paraId="6699B959"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Однією з істотних перешкод для аналізу та прогнозування соціально-економічного розвитку регіону залишається обмеженість актуальних статистичних даних, що ускладнює комплексне оцінювання поточної ситуації. Проте, за наявними даними Головного управління статистики у Київській області, можна чітко відстежити структурні зміни в господарському комплексі, динаміку капітальних інвестицій та рівень зайнятості в регіоні.</w:t>
      </w:r>
    </w:p>
    <w:p w:rsidR="003755F0" w:rsidRPr="003755F0" w:rsidP="003755F0" w14:paraId="32686A31"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Кількість зайнятих працівників на підприємствах Київщини у 2022 р. зменшилась з 338,2 тис. до 303,2 тис. осіб (на 10,3%), а за підсумками 2024 р. цей показник впав до 288,3 тис. осіб, що на 14,8% нижче за рівень 2021 р. Втім, промисловий сектор продовжує бути найбільшим роботодавцем у регіоні, адже на підприємствах промисловості у 2024 р. було зайнято 30,8% усіх працівників підприємств Київської області. Іншими великими осередками зайнятості в регіоні залишають обслуговуючі сектори: оптова і роздрібна торгівля, ремонт транспортних засобів (21,9%); транспорт, складське господарство, поштова та кур’єрська діяльність (7,5%). Поряд з цим, вагома кількість зайнятих зосереджена у сільськогосподарському секторі (11,9%), охороні здоров’я і надання соціальних послуг (9,7%), будівництві (табл. 1).</w:t>
      </w:r>
    </w:p>
    <w:p w:rsidR="003755F0" w:rsidRPr="003755F0" w:rsidP="003755F0" w14:paraId="6ABEB1FD" w14:textId="77777777">
      <w:pPr>
        <w:spacing w:after="0" w:line="240" w:lineRule="auto"/>
        <w:jc w:val="both"/>
        <w:rPr>
          <w:rFonts w:ascii="Times New Roman" w:eastAsia="Calibri" w:hAnsi="Times New Roman" w:cs="Times New Roman"/>
          <w:b/>
          <w:bCs/>
          <w:color w:val="809EC2"/>
          <w:kern w:val="2"/>
          <w:sz w:val="28"/>
          <w:szCs w:val="24"/>
          <w:lang w:eastAsia="en-US"/>
          <w14:ligatures w14:val="standardContextual"/>
        </w:rPr>
      </w:pPr>
    </w:p>
    <w:p w:rsidR="003755F0" w:rsidRPr="003755F0" w:rsidP="003755F0" w14:paraId="30BF2F19" w14:textId="77777777">
      <w:pPr>
        <w:spacing w:after="0" w:line="240" w:lineRule="auto"/>
        <w:jc w:val="both"/>
        <w:rPr>
          <w:rFonts w:ascii="Times New Roman" w:eastAsia="Calibri" w:hAnsi="Times New Roman" w:cs="Times New Roman"/>
          <w:b/>
          <w:bCs/>
          <w:color w:val="809EC2"/>
          <w:kern w:val="2"/>
          <w:sz w:val="28"/>
          <w:szCs w:val="24"/>
          <w:lang w:eastAsia="en-US"/>
          <w14:ligatures w14:val="standardContextual"/>
        </w:rPr>
      </w:pPr>
    </w:p>
    <w:p w:rsidR="003755F0" w:rsidRPr="003755F0" w:rsidP="003755F0" w14:paraId="317E930C" w14:textId="77777777">
      <w:pPr>
        <w:spacing w:after="0" w:line="240" w:lineRule="auto"/>
        <w:jc w:val="both"/>
        <w:rPr>
          <w:rFonts w:ascii="Times New Roman" w:eastAsia="Calibri" w:hAnsi="Times New Roman" w:cs="Times New Roman"/>
          <w:b/>
          <w:bCs/>
          <w:color w:val="809EC2"/>
          <w:kern w:val="2"/>
          <w:sz w:val="28"/>
          <w:szCs w:val="24"/>
          <w:lang w:eastAsia="en-US"/>
          <w14:ligatures w14:val="standardContextual"/>
        </w:rPr>
      </w:pPr>
    </w:p>
    <w:p w:rsidR="003755F0" w:rsidRPr="003755F0" w:rsidP="003755F0" w14:paraId="5FDBF957" w14:textId="77777777">
      <w:pPr>
        <w:spacing w:after="0" w:line="240" w:lineRule="auto"/>
        <w:jc w:val="center"/>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Табл. 1.</w:t>
      </w:r>
      <w:r w:rsidRPr="003755F0">
        <w:rPr>
          <w:rFonts w:ascii="Times New Roman" w:eastAsia="Calibri" w:hAnsi="Times New Roman" w:cs="Times New Roman"/>
          <w:kern w:val="2"/>
          <w:sz w:val="28"/>
          <w:szCs w:val="24"/>
          <w:lang w:eastAsia="en-US"/>
          <w14:ligatures w14:val="standardContextual"/>
        </w:rPr>
        <w:t xml:space="preserve"> Окремі показники господарської діяльності підприємств Київської області за видами економічної діяльності у 2024 рр.</w:t>
      </w:r>
    </w:p>
    <w:tbl>
      <w:tblPr>
        <w:tblStyle w:val="3"/>
        <w:tblW w:w="0" w:type="auto"/>
        <w:tblInd w:w="0" w:type="dxa"/>
        <w:tblLayout w:type="fixed"/>
        <w:tblLook w:val="04A0"/>
      </w:tblPr>
      <w:tblGrid>
        <w:gridCol w:w="3485"/>
        <w:gridCol w:w="894"/>
        <w:gridCol w:w="874"/>
        <w:gridCol w:w="875"/>
        <w:gridCol w:w="875"/>
        <w:gridCol w:w="874"/>
        <w:gridCol w:w="875"/>
        <w:gridCol w:w="875"/>
      </w:tblGrid>
      <w:tr w14:paraId="6A139909" w14:textId="77777777" w:rsidTr="003755F0">
        <w:tblPrEx>
          <w:tblW w:w="0" w:type="auto"/>
          <w:tblInd w:w="0" w:type="dxa"/>
          <w:tblLayout w:type="fixed"/>
          <w:tblLook w:val="04A0"/>
        </w:tblPrEx>
        <w:tc>
          <w:tcPr>
            <w:tcW w:w="3485"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4F97179" w14:textId="77777777">
            <w:pPr>
              <w:ind w:left="-57" w:right="-57"/>
              <w:jc w:val="center"/>
              <w:rPr>
                <w:rFonts w:ascii="Times New Roman" w:hAnsi="Times New Roman"/>
                <w:b/>
                <w:bCs/>
                <w:caps/>
              </w:rPr>
            </w:pPr>
            <w:r w:rsidRPr="003755F0">
              <w:rPr>
                <w:rFonts w:ascii="Times New Roman" w:eastAsia="Times New Roman" w:hAnsi="Times New Roman"/>
                <w:b/>
                <w:bCs/>
                <w:caps/>
              </w:rPr>
              <w:t>Вид господарської діяльності</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082F3E4" w14:textId="77777777">
            <w:pPr>
              <w:ind w:left="-57" w:right="-57"/>
              <w:jc w:val="center"/>
              <w:rPr>
                <w:rFonts w:ascii="Times New Roman" w:eastAsia="Times New Roman" w:hAnsi="Times New Roman"/>
                <w:b/>
                <w:bCs/>
              </w:rPr>
            </w:pPr>
            <w:r w:rsidRPr="003755F0">
              <w:rPr>
                <w:rFonts w:ascii="Times New Roman" w:eastAsia="Times New Roman" w:hAnsi="Times New Roman"/>
                <w:b/>
                <w:bCs/>
              </w:rPr>
              <w:t>КВЕД</w:t>
            </w:r>
          </w:p>
        </w:tc>
        <w:tc>
          <w:tcPr>
            <w:tcW w:w="1749" w:type="dxa"/>
            <w:gridSpan w:val="2"/>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AD34FDC" w14:textId="77777777">
            <w:pPr>
              <w:ind w:left="-57" w:right="-57"/>
              <w:jc w:val="center"/>
              <w:rPr>
                <w:rFonts w:ascii="Times New Roman" w:eastAsia="Times New Roman" w:hAnsi="Times New Roman"/>
                <w:b/>
                <w:bCs/>
              </w:rPr>
            </w:pPr>
            <w:r w:rsidRPr="003755F0">
              <w:rPr>
                <w:rFonts w:ascii="Times New Roman" w:eastAsia="Times New Roman" w:hAnsi="Times New Roman"/>
                <w:b/>
                <w:bCs/>
              </w:rPr>
              <w:t>Кількість підприємств</w:t>
            </w:r>
          </w:p>
        </w:tc>
        <w:tc>
          <w:tcPr>
            <w:tcW w:w="1749" w:type="dxa"/>
            <w:gridSpan w:val="2"/>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7ABA98E" w14:textId="77777777">
            <w:pPr>
              <w:ind w:left="-57" w:right="-57"/>
              <w:jc w:val="center"/>
              <w:rPr>
                <w:rFonts w:ascii="Times New Roman" w:eastAsia="Times New Roman" w:hAnsi="Times New Roman"/>
                <w:b/>
                <w:bCs/>
              </w:rPr>
            </w:pPr>
            <w:r w:rsidRPr="003755F0">
              <w:rPr>
                <w:rFonts w:ascii="Times New Roman" w:eastAsia="Times New Roman" w:hAnsi="Times New Roman"/>
                <w:b/>
                <w:bCs/>
              </w:rPr>
              <w:t>Кількість   зайнятих</w:t>
            </w:r>
          </w:p>
        </w:tc>
        <w:tc>
          <w:tcPr>
            <w:tcW w:w="1750" w:type="dxa"/>
            <w:gridSpan w:val="2"/>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2F945F2A" w14:textId="77777777">
            <w:pPr>
              <w:ind w:left="-57" w:right="-57"/>
              <w:jc w:val="center"/>
              <w:rPr>
                <w:rFonts w:ascii="Times New Roman" w:eastAsia="Times New Roman" w:hAnsi="Times New Roman"/>
                <w:b/>
                <w:bCs/>
              </w:rPr>
            </w:pPr>
            <w:r w:rsidRPr="003755F0">
              <w:rPr>
                <w:rFonts w:ascii="Times New Roman" w:eastAsia="Times New Roman" w:hAnsi="Times New Roman"/>
                <w:b/>
                <w:bCs/>
              </w:rPr>
              <w:t>Фінансовий результат</w:t>
            </w:r>
          </w:p>
        </w:tc>
      </w:tr>
      <w:tr w14:paraId="232BF83C" w14:textId="77777777" w:rsidTr="003755F0">
        <w:tblPrEx>
          <w:tblW w:w="0" w:type="auto"/>
          <w:tblInd w:w="0" w:type="dxa"/>
          <w:tblLayout w:type="fixed"/>
          <w:tblLook w:val="04A0"/>
        </w:tblPrEx>
        <w:tc>
          <w:tcPr>
            <w:tcW w:w="4379" w:type="dxa"/>
            <w:vMerge/>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E2D2C0" w14:textId="77777777">
            <w:pPr>
              <w:rPr>
                <w:rFonts w:ascii="Times New Roman" w:hAnsi="Times New Roman"/>
                <w:b/>
                <w:bCs/>
                <w:caps/>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BBD97A" w14:textId="77777777">
            <w:pPr>
              <w:rPr>
                <w:rFonts w:ascii="Times New Roman" w:hAnsi="Times New Roman"/>
                <w:b/>
                <w:bCs/>
              </w:rPr>
            </w:pPr>
          </w:p>
        </w:tc>
        <w:tc>
          <w:tcPr>
            <w:tcW w:w="874"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5931355" w14:textId="77777777">
            <w:pPr>
              <w:ind w:left="-57" w:right="-57"/>
              <w:jc w:val="center"/>
              <w:rPr>
                <w:rFonts w:ascii="Times New Roman" w:eastAsia="Times New Roman" w:hAnsi="Times New Roman"/>
                <w:b/>
                <w:bCs/>
              </w:rPr>
            </w:pPr>
            <w:r w:rsidRPr="003755F0">
              <w:rPr>
                <w:rFonts w:ascii="Times New Roman" w:eastAsia="Times New Roman" w:hAnsi="Times New Roman"/>
                <w:b/>
                <w:bCs/>
              </w:rPr>
              <w:t>одиниць</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6598104" w14:textId="77777777">
            <w:pPr>
              <w:ind w:left="-57" w:right="-57"/>
              <w:jc w:val="center"/>
              <w:rPr>
                <w:rFonts w:ascii="Times New Roman" w:eastAsia="Times New Roman" w:hAnsi="Times New Roman"/>
                <w:b/>
                <w:bCs/>
              </w:rPr>
            </w:pPr>
            <w:r w:rsidRPr="003755F0">
              <w:rPr>
                <w:rFonts w:ascii="Times New Roman" w:eastAsia="Times New Roman" w:hAnsi="Times New Roman"/>
                <w:b/>
                <w:bCs/>
              </w:rPr>
              <w:t>%</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2B747D3" w14:textId="77777777">
            <w:pPr>
              <w:ind w:left="-57" w:right="-57"/>
              <w:jc w:val="center"/>
              <w:rPr>
                <w:rFonts w:ascii="Times New Roman" w:eastAsia="Times New Roman" w:hAnsi="Times New Roman"/>
                <w:b/>
                <w:bCs/>
              </w:rPr>
            </w:pPr>
            <w:r w:rsidRPr="003755F0">
              <w:rPr>
                <w:rFonts w:ascii="Times New Roman" w:eastAsia="Times New Roman" w:hAnsi="Times New Roman"/>
                <w:b/>
                <w:bCs/>
              </w:rPr>
              <w:t>осіб</w:t>
            </w:r>
          </w:p>
        </w:tc>
        <w:tc>
          <w:tcPr>
            <w:tcW w:w="874"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C4B4D89" w14:textId="77777777">
            <w:pPr>
              <w:ind w:left="-57" w:right="-57"/>
              <w:jc w:val="center"/>
              <w:rPr>
                <w:rFonts w:ascii="Times New Roman" w:eastAsia="Times New Roman" w:hAnsi="Times New Roman"/>
                <w:b/>
                <w:bCs/>
              </w:rPr>
            </w:pPr>
            <w:r w:rsidRPr="003755F0">
              <w:rPr>
                <w:rFonts w:ascii="Times New Roman" w:eastAsia="Times New Roman" w:hAnsi="Times New Roman"/>
                <w:b/>
                <w:bCs/>
              </w:rPr>
              <w:t>%</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3FEA391E" w14:textId="77777777">
            <w:pPr>
              <w:ind w:left="-57" w:right="-57"/>
              <w:jc w:val="center"/>
              <w:rPr>
                <w:rFonts w:ascii="Times New Roman" w:eastAsia="Times New Roman" w:hAnsi="Times New Roman"/>
                <w:b/>
                <w:bCs/>
              </w:rPr>
            </w:pPr>
            <w:r w:rsidRPr="003755F0">
              <w:rPr>
                <w:rFonts w:ascii="Times New Roman" w:eastAsia="Times New Roman" w:hAnsi="Times New Roman"/>
                <w:b/>
                <w:bCs/>
              </w:rPr>
              <w:t>млн грн</w:t>
            </w:r>
          </w:p>
        </w:tc>
        <w:tc>
          <w:tcPr>
            <w:tcW w:w="875"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79DFE28" w14:textId="77777777">
            <w:pPr>
              <w:ind w:left="-57" w:right="-57"/>
              <w:jc w:val="center"/>
              <w:rPr>
                <w:rFonts w:ascii="Times New Roman" w:eastAsia="Times New Roman" w:hAnsi="Times New Roman"/>
                <w:b/>
                <w:bCs/>
              </w:rPr>
            </w:pPr>
            <w:r w:rsidRPr="003755F0">
              <w:rPr>
                <w:rFonts w:ascii="Times New Roman" w:eastAsia="Times New Roman" w:hAnsi="Times New Roman"/>
                <w:b/>
                <w:bCs/>
              </w:rPr>
              <w:t>%</w:t>
            </w:r>
          </w:p>
        </w:tc>
      </w:tr>
      <w:tr w14:paraId="0A42B1D2"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8DED602" w14:textId="77777777">
            <w:pPr>
              <w:ind w:left="-57" w:right="-57"/>
              <w:rPr>
                <w:rFonts w:ascii="Times New Roman" w:eastAsia="Times New Roman" w:hAnsi="Times New Roman"/>
              </w:rPr>
            </w:pPr>
            <w:r w:rsidRPr="003755F0">
              <w:rPr>
                <w:rFonts w:ascii="Times New Roman" w:eastAsia="Times New Roman" w:hAnsi="Times New Roman"/>
              </w:rPr>
              <w:t>Сільське, лісове та рибне господарство</w:t>
            </w:r>
          </w:p>
        </w:tc>
        <w:tc>
          <w:tcPr>
            <w:tcW w:w="894" w:type="dxa"/>
            <w:tcBorders>
              <w:top w:val="single" w:sz="4" w:space="0" w:color="auto"/>
              <w:left w:val="single" w:sz="4" w:space="0" w:color="auto"/>
              <w:bottom w:val="single" w:sz="4" w:space="0" w:color="auto"/>
              <w:right w:val="single" w:sz="4" w:space="0" w:color="auto"/>
            </w:tcBorders>
            <w:hideMark/>
          </w:tcPr>
          <w:p w:rsidR="003755F0" w:rsidRPr="003755F0" w:rsidP="003755F0" w14:paraId="47C4FE1E" w14:textId="77777777">
            <w:pPr>
              <w:ind w:left="-57" w:right="-57"/>
              <w:jc w:val="center"/>
              <w:rPr>
                <w:rFonts w:ascii="Times New Roman" w:eastAsia="Times New Roman" w:hAnsi="Times New Roman"/>
              </w:rPr>
            </w:pPr>
            <w:r w:rsidRPr="003755F0">
              <w:rPr>
                <w:rFonts w:ascii="Times New Roman" w:eastAsia="Times New Roman" w:hAnsi="Times New Roman"/>
              </w:rPr>
              <w:t>A</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55943F"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2007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D251C70"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11,6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3C0CFBA"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34415</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EDE0A5"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11,9</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ECFFE1E"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14718,0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54BF7B"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22,5</w:t>
            </w:r>
          </w:p>
        </w:tc>
      </w:tr>
      <w:tr w14:paraId="7C41A2D6"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AC7A90" w14:textId="77777777">
            <w:pPr>
              <w:ind w:left="-57" w:right="-57"/>
              <w:rPr>
                <w:rFonts w:ascii="Times New Roman" w:eastAsia="Times New Roman" w:hAnsi="Times New Roman"/>
              </w:rPr>
            </w:pPr>
            <w:r w:rsidRPr="003755F0">
              <w:rPr>
                <w:rFonts w:ascii="Times New Roman" w:eastAsia="Times New Roman" w:hAnsi="Times New Roman"/>
              </w:rPr>
              <w:t>Промисловість</w:t>
            </w:r>
          </w:p>
        </w:tc>
        <w:tc>
          <w:tcPr>
            <w:tcW w:w="894" w:type="dxa"/>
            <w:tcBorders>
              <w:top w:val="single" w:sz="4" w:space="0" w:color="auto"/>
              <w:left w:val="single" w:sz="4" w:space="0" w:color="auto"/>
              <w:bottom w:val="single" w:sz="4" w:space="0" w:color="auto"/>
              <w:right w:val="single" w:sz="4" w:space="0" w:color="auto"/>
            </w:tcBorders>
            <w:hideMark/>
          </w:tcPr>
          <w:p w:rsidR="003755F0" w:rsidRPr="003755F0" w:rsidP="003755F0" w14:paraId="62E6C5C5" w14:textId="77777777">
            <w:pPr>
              <w:ind w:left="-57" w:right="-57"/>
              <w:jc w:val="center"/>
              <w:rPr>
                <w:rFonts w:ascii="Times New Roman" w:eastAsia="Times New Roman" w:hAnsi="Times New Roman"/>
              </w:rPr>
            </w:pPr>
            <w:r w:rsidRPr="003755F0">
              <w:rPr>
                <w:rFonts w:ascii="Times New Roman" w:eastAsia="Times New Roman" w:hAnsi="Times New Roman"/>
              </w:rPr>
              <w:t>B+C+D+E</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A3E0024"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2887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983C4B"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16,8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4DF392"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88658</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785F836" w14:textId="77777777">
            <w:pPr>
              <w:ind w:left="-57" w:right="-57"/>
              <w:jc w:val="right"/>
              <w:rPr>
                <w:rFonts w:ascii="Times New Roman" w:eastAsia="Times New Roman" w:hAnsi="Times New Roman"/>
              </w:rPr>
            </w:pPr>
            <w:r w:rsidRPr="003755F0">
              <w:rPr>
                <w:rFonts w:ascii="Times New Roman" w:eastAsia="Times New Roman" w:hAnsi="Times New Roman"/>
                <w:color w:val="000000"/>
              </w:rPr>
              <w:t>30,8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9901719" w14:textId="77777777">
            <w:pPr>
              <w:ind w:left="-57" w:right="-57"/>
              <w:jc w:val="right"/>
              <w:rPr>
                <w:rFonts w:ascii="Times New Roman" w:eastAsia="Times New Roman" w:hAnsi="Times New Roman"/>
              </w:rPr>
            </w:pPr>
            <w:r w:rsidRPr="003755F0">
              <w:rPr>
                <w:rFonts w:ascii="Times New Roman" w:eastAsia="Times New Roman" w:hAnsi="Times New Roman"/>
                <w:color w:val="000000"/>
              </w:rPr>
              <w:t>36954,2</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D2C7A3" w14:textId="77777777">
            <w:pPr>
              <w:ind w:left="-57" w:right="-57"/>
              <w:jc w:val="right"/>
              <w:rPr>
                <w:rFonts w:ascii="Times New Roman" w:eastAsia="Times New Roman" w:hAnsi="Times New Roman"/>
              </w:rPr>
            </w:pPr>
            <w:r w:rsidRPr="003755F0">
              <w:rPr>
                <w:rFonts w:ascii="Times New Roman" w:eastAsia="Times New Roman" w:hAnsi="Times New Roman"/>
                <w:color w:val="000000"/>
              </w:rPr>
              <w:t>56,4</w:t>
            </w:r>
          </w:p>
        </w:tc>
      </w:tr>
      <w:tr w14:paraId="297BFA02"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D10D7C9" w14:textId="77777777">
            <w:pPr>
              <w:ind w:left="-57" w:right="-57"/>
              <w:rPr>
                <w:rFonts w:ascii="Times New Roman" w:eastAsia="Times New Roman" w:hAnsi="Times New Roman"/>
              </w:rPr>
            </w:pPr>
            <w:r w:rsidRPr="003755F0">
              <w:rPr>
                <w:rFonts w:ascii="Times New Roman" w:eastAsia="Times New Roman" w:hAnsi="Times New Roman"/>
              </w:rPr>
              <w:t>Будівництво</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333787" w14:textId="77777777">
            <w:pPr>
              <w:ind w:left="-57" w:right="-57"/>
              <w:jc w:val="center"/>
              <w:rPr>
                <w:rFonts w:ascii="Times New Roman" w:eastAsia="Times New Roman" w:hAnsi="Times New Roman"/>
              </w:rPr>
            </w:pPr>
            <w:r w:rsidRPr="003755F0">
              <w:rPr>
                <w:rFonts w:ascii="Times New Roman" w:eastAsia="Times New Roman" w:hAnsi="Times New Roman"/>
              </w:rPr>
              <w:t>F</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E5F31B"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1861</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AC546F"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10,8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F30094E"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15636</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E1CD26" w14:textId="77777777">
            <w:pPr>
              <w:ind w:left="-57" w:right="-57"/>
              <w:jc w:val="right"/>
              <w:rPr>
                <w:rFonts w:ascii="Times New Roman" w:eastAsia="Times New Roman" w:hAnsi="Times New Roman"/>
              </w:rPr>
            </w:pPr>
            <w:r w:rsidRPr="003755F0">
              <w:rPr>
                <w:rFonts w:ascii="Times New Roman" w:eastAsia="Times New Roman" w:hAnsi="Times New Roman"/>
                <w:color w:val="000000"/>
              </w:rPr>
              <w:t>5,4</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1882683"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1046,9</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F3A4528"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1,6</w:t>
            </w:r>
          </w:p>
        </w:tc>
      </w:tr>
      <w:tr w14:paraId="30E32A62"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32D68D" w14:textId="77777777">
            <w:pPr>
              <w:ind w:left="-57" w:right="-57"/>
              <w:rPr>
                <w:rFonts w:ascii="Times New Roman" w:eastAsia="Times New Roman" w:hAnsi="Times New Roman"/>
              </w:rPr>
            </w:pPr>
            <w:r w:rsidRPr="003755F0">
              <w:rPr>
                <w:rFonts w:ascii="Times New Roman" w:eastAsia="Times New Roman" w:hAnsi="Times New Roman"/>
              </w:rPr>
              <w:t>Оптова та роздрібна торгівля; ремонт автотранспортних засобів і мотоциклів</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D5D9F0F" w14:textId="77777777">
            <w:pPr>
              <w:ind w:left="-57" w:right="-57"/>
              <w:jc w:val="center"/>
              <w:rPr>
                <w:rFonts w:ascii="Times New Roman" w:eastAsia="Times New Roman" w:hAnsi="Times New Roman"/>
              </w:rPr>
            </w:pPr>
            <w:r w:rsidRPr="003755F0">
              <w:rPr>
                <w:rFonts w:ascii="Times New Roman" w:eastAsia="Times New Roman" w:hAnsi="Times New Roman"/>
              </w:rPr>
              <w:t>G</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BABF95D" w14:textId="77777777">
            <w:pPr>
              <w:ind w:left="-57" w:right="-57"/>
              <w:jc w:val="right"/>
              <w:rPr>
                <w:rFonts w:ascii="Times New Roman" w:eastAsia="Times New Roman" w:hAnsi="Times New Roman"/>
              </w:rPr>
            </w:pPr>
            <w:r w:rsidRPr="003755F0">
              <w:rPr>
                <w:rFonts w:ascii="Times New Roman" w:eastAsia="Times New Roman" w:hAnsi="Times New Roman"/>
                <w:color w:val="000000"/>
              </w:rPr>
              <w:t>4420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F8A2273"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25,6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158826C"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63042</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B90519C"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21,9</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97A87B"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14509,6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277C95"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22,1</w:t>
            </w:r>
          </w:p>
        </w:tc>
      </w:tr>
      <w:tr w14:paraId="048EBFE3"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5DDCBAB" w14:textId="77777777">
            <w:pPr>
              <w:ind w:left="-57" w:right="-57"/>
              <w:rPr>
                <w:rFonts w:ascii="Times New Roman" w:eastAsia="Times New Roman" w:hAnsi="Times New Roman"/>
              </w:rPr>
            </w:pPr>
            <w:r w:rsidRPr="003755F0">
              <w:rPr>
                <w:rFonts w:ascii="Times New Roman" w:eastAsia="Times New Roman" w:hAnsi="Times New Roman"/>
              </w:rPr>
              <w:t>Транспорт, складське господарство, поштова та кур’єрська діяльність</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DB1F55" w14:textId="77777777">
            <w:pPr>
              <w:ind w:left="-57" w:right="-57"/>
              <w:jc w:val="center"/>
              <w:rPr>
                <w:rFonts w:ascii="Times New Roman" w:eastAsia="Times New Roman" w:hAnsi="Times New Roman"/>
              </w:rPr>
            </w:pPr>
            <w:r w:rsidRPr="003755F0">
              <w:rPr>
                <w:rFonts w:ascii="Times New Roman" w:eastAsia="Times New Roman" w:hAnsi="Times New Roman"/>
              </w:rPr>
              <w:t>H</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4DF346" w14:textId="77777777">
            <w:pPr>
              <w:ind w:left="-57" w:right="-57"/>
              <w:jc w:val="right"/>
              <w:rPr>
                <w:rFonts w:ascii="Times New Roman" w:eastAsia="Times New Roman" w:hAnsi="Times New Roman"/>
              </w:rPr>
            </w:pPr>
            <w:r w:rsidRPr="003755F0">
              <w:rPr>
                <w:rFonts w:ascii="Times New Roman" w:eastAsia="Times New Roman" w:hAnsi="Times New Roman"/>
                <w:color w:val="000000"/>
              </w:rPr>
              <w:t>990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E7A6D6B" w14:textId="77777777">
            <w:pPr>
              <w:ind w:left="-57" w:right="-57"/>
              <w:jc w:val="right"/>
              <w:rPr>
                <w:rFonts w:ascii="Times New Roman" w:eastAsia="Times New Roman" w:hAnsi="Times New Roman"/>
              </w:rPr>
            </w:pPr>
            <w:r w:rsidRPr="003755F0">
              <w:rPr>
                <w:rFonts w:ascii="Times New Roman" w:eastAsia="Times New Roman" w:hAnsi="Times New Roman"/>
                <w:color w:val="000000"/>
              </w:rPr>
              <w:t>5,7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C46310"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21504</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191156" w14:textId="77777777">
            <w:pPr>
              <w:ind w:left="-57" w:right="-57"/>
              <w:jc w:val="right"/>
              <w:rPr>
                <w:rFonts w:ascii="Times New Roman" w:eastAsia="Times New Roman" w:hAnsi="Times New Roman"/>
              </w:rPr>
            </w:pPr>
            <w:r w:rsidRPr="003755F0">
              <w:rPr>
                <w:rFonts w:ascii="Times New Roman" w:eastAsia="Times New Roman" w:hAnsi="Times New Roman"/>
                <w:color w:val="000000"/>
              </w:rPr>
              <w:t>7,5</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2BAF6BF"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-1084,6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98C372"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-1,7</w:t>
            </w:r>
          </w:p>
        </w:tc>
      </w:tr>
      <w:tr w14:paraId="741BD600"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642846" w14:textId="77777777">
            <w:pPr>
              <w:ind w:left="-57" w:right="-57"/>
              <w:rPr>
                <w:rFonts w:ascii="Times New Roman" w:eastAsia="Times New Roman" w:hAnsi="Times New Roman"/>
              </w:rPr>
            </w:pPr>
            <w:r w:rsidRPr="003755F0">
              <w:rPr>
                <w:rFonts w:ascii="Times New Roman" w:eastAsia="Times New Roman" w:hAnsi="Times New Roman"/>
              </w:rPr>
              <w:t>Тимчасове розміщування й організація харчування</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46A0A33" w14:textId="77777777">
            <w:pPr>
              <w:ind w:left="-57" w:right="-57"/>
              <w:jc w:val="center"/>
              <w:rPr>
                <w:rFonts w:ascii="Times New Roman" w:eastAsia="Times New Roman" w:hAnsi="Times New Roman"/>
              </w:rPr>
            </w:pPr>
            <w:r w:rsidRPr="003755F0">
              <w:rPr>
                <w:rFonts w:ascii="Times New Roman" w:eastAsia="Times New Roman" w:hAnsi="Times New Roman"/>
              </w:rPr>
              <w:t>I</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1641A2" w14:textId="77777777">
            <w:pPr>
              <w:ind w:left="-57" w:right="-57"/>
              <w:jc w:val="right"/>
              <w:rPr>
                <w:rFonts w:ascii="Times New Roman" w:eastAsia="Times New Roman" w:hAnsi="Times New Roman"/>
              </w:rPr>
            </w:pPr>
            <w:r w:rsidRPr="003755F0">
              <w:rPr>
                <w:rFonts w:ascii="Times New Roman" w:eastAsia="Times New Roman" w:hAnsi="Times New Roman"/>
                <w:color w:val="000000"/>
              </w:rPr>
              <w:t>348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E0CE67"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65B0423"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2772</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BA6778"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201546"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-276,7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7DCFE7C"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-0,4</w:t>
            </w:r>
          </w:p>
        </w:tc>
      </w:tr>
      <w:tr w14:paraId="160DCC86"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AEDC10C" w14:textId="77777777">
            <w:pPr>
              <w:ind w:left="-57" w:right="-57"/>
              <w:rPr>
                <w:rFonts w:ascii="Times New Roman" w:eastAsia="Times New Roman" w:hAnsi="Times New Roman"/>
              </w:rPr>
            </w:pPr>
            <w:r w:rsidRPr="003755F0">
              <w:rPr>
                <w:rFonts w:ascii="Times New Roman" w:eastAsia="Times New Roman" w:hAnsi="Times New Roman"/>
              </w:rPr>
              <w:t>Інформація та телекомунікації</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E13DDB9" w14:textId="77777777">
            <w:pPr>
              <w:ind w:left="-57" w:right="-57"/>
              <w:jc w:val="center"/>
              <w:rPr>
                <w:rFonts w:ascii="Times New Roman" w:eastAsia="Times New Roman" w:hAnsi="Times New Roman"/>
              </w:rPr>
            </w:pPr>
            <w:r w:rsidRPr="003755F0">
              <w:rPr>
                <w:rFonts w:ascii="Times New Roman" w:eastAsia="Times New Roman" w:hAnsi="Times New Roman"/>
              </w:rPr>
              <w:t>J</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2DDF7F" w14:textId="77777777">
            <w:pPr>
              <w:ind w:left="-57" w:right="-57"/>
              <w:jc w:val="right"/>
              <w:rPr>
                <w:rFonts w:ascii="Times New Roman" w:eastAsia="Times New Roman" w:hAnsi="Times New Roman"/>
              </w:rPr>
            </w:pPr>
            <w:r w:rsidRPr="003755F0">
              <w:rPr>
                <w:rFonts w:ascii="Times New Roman" w:eastAsia="Times New Roman" w:hAnsi="Times New Roman"/>
                <w:color w:val="000000"/>
              </w:rPr>
              <w:t>432</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E3C415"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2,5</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1E63544"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2272</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96512A"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CB47B79" w14:textId="77777777">
            <w:pPr>
              <w:ind w:left="-57" w:right="-57"/>
              <w:jc w:val="right"/>
              <w:rPr>
                <w:rFonts w:ascii="Times New Roman" w:eastAsia="Times New Roman" w:hAnsi="Times New Roman"/>
              </w:rPr>
            </w:pPr>
            <w:r w:rsidRPr="003755F0">
              <w:rPr>
                <w:rFonts w:ascii="Times New Roman" w:eastAsia="Times New Roman" w:hAnsi="Times New Roman"/>
                <w:color w:val="000000"/>
              </w:rPr>
              <w:t>402,9</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2F181CF"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0,6</w:t>
            </w:r>
          </w:p>
        </w:tc>
      </w:tr>
      <w:tr w14:paraId="2F9417E9"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6C00DB" w14:textId="77777777">
            <w:pPr>
              <w:ind w:left="-57" w:right="-57"/>
              <w:rPr>
                <w:rFonts w:ascii="Times New Roman" w:eastAsia="Times New Roman" w:hAnsi="Times New Roman"/>
              </w:rPr>
            </w:pPr>
            <w:r w:rsidRPr="003755F0">
              <w:rPr>
                <w:rFonts w:ascii="Times New Roman" w:eastAsia="Times New Roman" w:hAnsi="Times New Roman"/>
              </w:rPr>
              <w:t>Фінансова та страхова діяльність</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6992AD" w14:textId="77777777">
            <w:pPr>
              <w:ind w:left="-57" w:right="-57"/>
              <w:jc w:val="center"/>
              <w:rPr>
                <w:rFonts w:ascii="Times New Roman" w:eastAsia="Times New Roman" w:hAnsi="Times New Roman"/>
              </w:rPr>
            </w:pPr>
            <w:r w:rsidRPr="003755F0">
              <w:rPr>
                <w:rFonts w:ascii="Times New Roman" w:eastAsia="Times New Roman" w:hAnsi="Times New Roman"/>
              </w:rPr>
              <w:t>K</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2CA467" w14:textId="77777777">
            <w:pPr>
              <w:ind w:left="-57" w:right="-57"/>
              <w:jc w:val="right"/>
              <w:rPr>
                <w:rFonts w:ascii="Times New Roman" w:eastAsia="Times New Roman" w:hAnsi="Times New Roman"/>
              </w:rPr>
            </w:pPr>
            <w:r w:rsidRPr="003755F0">
              <w:rPr>
                <w:rFonts w:ascii="Times New Roman" w:eastAsia="Times New Roman" w:hAnsi="Times New Roman"/>
                <w:color w:val="000000"/>
              </w:rPr>
              <w:t>54</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ABEE0A"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0,3</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ED7E1AD"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534</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AF9A733"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0,2</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904B63" w14:textId="77777777">
            <w:pPr>
              <w:ind w:left="-57" w:right="-57"/>
              <w:jc w:val="right"/>
              <w:rPr>
                <w:rFonts w:ascii="Times New Roman" w:eastAsia="Times New Roman" w:hAnsi="Times New Roman"/>
              </w:rPr>
            </w:pPr>
            <w:r w:rsidRPr="003755F0">
              <w:rPr>
                <w:rFonts w:ascii="Times New Roman" w:eastAsia="Times New Roman" w:hAnsi="Times New Roman"/>
                <w:color w:val="000000"/>
              </w:rPr>
              <w:t>318,7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8A8D22E"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0,5</w:t>
            </w:r>
          </w:p>
        </w:tc>
      </w:tr>
      <w:tr w14:paraId="7AB239E3"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F662062" w14:textId="77777777">
            <w:pPr>
              <w:ind w:left="-57" w:right="-57"/>
              <w:rPr>
                <w:rFonts w:ascii="Times New Roman" w:eastAsia="Times New Roman" w:hAnsi="Times New Roman"/>
              </w:rPr>
            </w:pPr>
            <w:r w:rsidRPr="003755F0">
              <w:rPr>
                <w:rFonts w:ascii="Times New Roman" w:eastAsia="Times New Roman" w:hAnsi="Times New Roman"/>
              </w:rPr>
              <w:t>Операції з нерухомим майном</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F5282A" w14:textId="77777777">
            <w:pPr>
              <w:ind w:left="-57" w:right="-57"/>
              <w:jc w:val="center"/>
              <w:rPr>
                <w:rFonts w:ascii="Times New Roman" w:eastAsia="Times New Roman" w:hAnsi="Times New Roman"/>
              </w:rPr>
            </w:pPr>
            <w:r w:rsidRPr="003755F0">
              <w:rPr>
                <w:rFonts w:ascii="Times New Roman" w:eastAsia="Times New Roman" w:hAnsi="Times New Roman"/>
              </w:rPr>
              <w:t>L</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12C7EC"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1696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8C7B87" w14:textId="77777777">
            <w:pPr>
              <w:ind w:left="-57" w:right="-57"/>
              <w:jc w:val="right"/>
              <w:rPr>
                <w:rFonts w:ascii="Times New Roman" w:eastAsia="Times New Roman" w:hAnsi="Times New Roman"/>
              </w:rPr>
            </w:pPr>
            <w:r w:rsidRPr="003755F0">
              <w:rPr>
                <w:rFonts w:ascii="Times New Roman" w:eastAsia="Times New Roman" w:hAnsi="Times New Roman"/>
                <w:color w:val="000000"/>
              </w:rPr>
              <w:t>9,8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6BDF3B"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12739</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5FB791" w14:textId="77777777">
            <w:pPr>
              <w:ind w:left="-57" w:right="-57"/>
              <w:jc w:val="right"/>
              <w:rPr>
                <w:rFonts w:ascii="Times New Roman" w:eastAsia="Times New Roman" w:hAnsi="Times New Roman"/>
              </w:rPr>
            </w:pPr>
            <w:r w:rsidRPr="003755F0">
              <w:rPr>
                <w:rFonts w:ascii="Times New Roman" w:eastAsia="Times New Roman" w:hAnsi="Times New Roman"/>
                <w:color w:val="000000"/>
              </w:rPr>
              <w:t>4,4</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A122D69"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200,9</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664F906"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0,3</w:t>
            </w:r>
          </w:p>
        </w:tc>
      </w:tr>
      <w:tr w14:paraId="7472C7F0"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263AA16" w14:textId="77777777">
            <w:pPr>
              <w:ind w:left="-57" w:right="-57"/>
              <w:rPr>
                <w:rFonts w:ascii="Times New Roman" w:eastAsia="Times New Roman" w:hAnsi="Times New Roman"/>
              </w:rPr>
            </w:pPr>
            <w:r w:rsidRPr="003755F0">
              <w:rPr>
                <w:rFonts w:ascii="Times New Roman" w:eastAsia="Times New Roman" w:hAnsi="Times New Roman"/>
              </w:rPr>
              <w:t>Професійна, наукова та технічна діяльність</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480C1C4" w14:textId="77777777">
            <w:pPr>
              <w:ind w:left="-57" w:right="-57"/>
              <w:jc w:val="center"/>
              <w:rPr>
                <w:rFonts w:ascii="Times New Roman" w:eastAsia="Times New Roman" w:hAnsi="Times New Roman"/>
              </w:rPr>
            </w:pPr>
            <w:r w:rsidRPr="003755F0">
              <w:rPr>
                <w:rFonts w:ascii="Times New Roman" w:eastAsia="Times New Roman" w:hAnsi="Times New Roman"/>
              </w:rPr>
              <w:t>M</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A9669C0" w14:textId="77777777">
            <w:pPr>
              <w:ind w:left="-57" w:right="-57"/>
              <w:jc w:val="right"/>
              <w:rPr>
                <w:rFonts w:ascii="Times New Roman" w:eastAsia="Times New Roman" w:hAnsi="Times New Roman"/>
              </w:rPr>
            </w:pPr>
            <w:r w:rsidRPr="003755F0">
              <w:rPr>
                <w:rFonts w:ascii="Times New Roman" w:eastAsia="Times New Roman" w:hAnsi="Times New Roman"/>
                <w:color w:val="000000"/>
              </w:rPr>
              <w:t>971</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63B3A8" w14:textId="77777777">
            <w:pPr>
              <w:ind w:left="-57" w:right="-57"/>
              <w:jc w:val="right"/>
              <w:rPr>
                <w:rFonts w:ascii="Times New Roman" w:eastAsia="Times New Roman" w:hAnsi="Times New Roman"/>
              </w:rPr>
            </w:pPr>
            <w:r w:rsidRPr="003755F0">
              <w:rPr>
                <w:rFonts w:ascii="Times New Roman" w:eastAsia="Times New Roman" w:hAnsi="Times New Roman"/>
                <w:color w:val="000000"/>
              </w:rPr>
              <w:t>5,6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F003C2"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4895</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0CCE725"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CC3CBA"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260,2</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9426D95"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0,4</w:t>
            </w:r>
          </w:p>
        </w:tc>
      </w:tr>
      <w:tr w14:paraId="47428B07"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26D4815" w14:textId="77777777">
            <w:pPr>
              <w:ind w:left="-57" w:right="-57"/>
              <w:rPr>
                <w:rFonts w:ascii="Times New Roman" w:eastAsia="Times New Roman" w:hAnsi="Times New Roman"/>
              </w:rPr>
            </w:pPr>
            <w:r w:rsidRPr="003755F0">
              <w:rPr>
                <w:rFonts w:ascii="Times New Roman" w:eastAsia="Times New Roman" w:hAnsi="Times New Roman"/>
              </w:rPr>
              <w:t>Діяльність у сфері адміністративного та допоміжного обслуговування</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733E3F" w14:textId="77777777">
            <w:pPr>
              <w:ind w:left="-57" w:right="-57"/>
              <w:jc w:val="center"/>
              <w:rPr>
                <w:rFonts w:ascii="Times New Roman" w:eastAsia="Times New Roman" w:hAnsi="Times New Roman"/>
              </w:rPr>
            </w:pPr>
            <w:r w:rsidRPr="003755F0">
              <w:rPr>
                <w:rFonts w:ascii="Times New Roman" w:eastAsia="Times New Roman" w:hAnsi="Times New Roman"/>
              </w:rPr>
              <w:t>N</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127D107" w14:textId="77777777">
            <w:pPr>
              <w:ind w:left="-57" w:right="-57"/>
              <w:jc w:val="right"/>
              <w:rPr>
                <w:rFonts w:ascii="Times New Roman" w:eastAsia="Times New Roman" w:hAnsi="Times New Roman"/>
              </w:rPr>
            </w:pPr>
            <w:r w:rsidRPr="003755F0">
              <w:rPr>
                <w:rFonts w:ascii="Times New Roman" w:eastAsia="Times New Roman" w:hAnsi="Times New Roman"/>
                <w:color w:val="000000"/>
              </w:rPr>
              <w:t>914</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F8AC0BA" w14:textId="77777777">
            <w:pPr>
              <w:ind w:left="-57" w:right="-57"/>
              <w:jc w:val="right"/>
              <w:rPr>
                <w:rFonts w:ascii="Times New Roman" w:eastAsia="Times New Roman" w:hAnsi="Times New Roman"/>
              </w:rPr>
            </w:pPr>
            <w:r w:rsidRPr="003755F0">
              <w:rPr>
                <w:rFonts w:ascii="Times New Roman" w:eastAsia="Times New Roman" w:hAnsi="Times New Roman"/>
                <w:color w:val="000000"/>
              </w:rPr>
              <w:t>5,3</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10687A"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10416</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584E00C" w14:textId="77777777">
            <w:pPr>
              <w:ind w:left="-57" w:right="-57"/>
              <w:jc w:val="right"/>
              <w:rPr>
                <w:rFonts w:ascii="Times New Roman" w:eastAsia="Times New Roman" w:hAnsi="Times New Roman"/>
              </w:rPr>
            </w:pPr>
            <w:r w:rsidRPr="003755F0">
              <w:rPr>
                <w:rFonts w:ascii="Times New Roman" w:eastAsia="Times New Roman" w:hAnsi="Times New Roman"/>
                <w:color w:val="000000"/>
              </w:rPr>
              <w:t>3,6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93EA07"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240,2</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85D4D4"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0,4</w:t>
            </w:r>
          </w:p>
        </w:tc>
      </w:tr>
      <w:tr w14:paraId="65FAEDEC"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EDC665B" w14:textId="77777777">
            <w:pPr>
              <w:ind w:left="-57" w:right="-57"/>
              <w:rPr>
                <w:rFonts w:ascii="Times New Roman" w:eastAsia="Times New Roman" w:hAnsi="Times New Roman"/>
              </w:rPr>
            </w:pPr>
            <w:r w:rsidRPr="003755F0">
              <w:rPr>
                <w:rFonts w:ascii="Times New Roman" w:eastAsia="Times New Roman" w:hAnsi="Times New Roman"/>
              </w:rPr>
              <w:t>Освіта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84F9098" w14:textId="77777777">
            <w:pPr>
              <w:ind w:left="-57" w:right="-57"/>
              <w:jc w:val="center"/>
              <w:rPr>
                <w:rFonts w:ascii="Times New Roman" w:eastAsia="Times New Roman" w:hAnsi="Times New Roman"/>
              </w:rPr>
            </w:pPr>
            <w:r w:rsidRPr="003755F0">
              <w:rPr>
                <w:rFonts w:ascii="Times New Roman" w:eastAsia="Times New Roman" w:hAnsi="Times New Roman"/>
              </w:rPr>
              <w:t>P</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F6AE166"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136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255D927"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2787181"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1538</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A72E85"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5B050D4"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24,9</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198472"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0,0</w:t>
            </w:r>
          </w:p>
        </w:tc>
      </w:tr>
      <w:tr w14:paraId="70860F9E"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8675E3" w14:textId="77777777">
            <w:pPr>
              <w:ind w:left="-57" w:right="-57"/>
              <w:rPr>
                <w:rFonts w:ascii="Times New Roman" w:eastAsia="Times New Roman" w:hAnsi="Times New Roman"/>
              </w:rPr>
            </w:pPr>
            <w:r w:rsidRPr="003755F0">
              <w:rPr>
                <w:rFonts w:ascii="Times New Roman" w:eastAsia="Times New Roman" w:hAnsi="Times New Roman"/>
              </w:rPr>
              <w:t>Охорона здоров’я та надання соціальної допомоги</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6568AB" w14:textId="77777777">
            <w:pPr>
              <w:ind w:left="-57" w:right="-57"/>
              <w:jc w:val="center"/>
              <w:rPr>
                <w:rFonts w:ascii="Times New Roman" w:eastAsia="Times New Roman" w:hAnsi="Times New Roman"/>
              </w:rPr>
            </w:pPr>
            <w:r w:rsidRPr="003755F0">
              <w:rPr>
                <w:rFonts w:ascii="Times New Roman" w:eastAsia="Times New Roman" w:hAnsi="Times New Roman"/>
              </w:rPr>
              <w:t>Q</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06D54D9" w14:textId="77777777">
            <w:pPr>
              <w:ind w:left="-57" w:right="-57"/>
              <w:jc w:val="right"/>
              <w:rPr>
                <w:rFonts w:ascii="Times New Roman" w:eastAsia="Times New Roman" w:hAnsi="Times New Roman"/>
              </w:rPr>
            </w:pPr>
            <w:r w:rsidRPr="003755F0">
              <w:rPr>
                <w:rFonts w:ascii="Times New Roman" w:eastAsia="Times New Roman" w:hAnsi="Times New Roman"/>
                <w:color w:val="000000"/>
              </w:rPr>
              <w:t>348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D5CAB72"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72A3178"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27917</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B8B41D" w14:textId="77777777">
            <w:pPr>
              <w:ind w:left="-57" w:right="-57"/>
              <w:jc w:val="right"/>
              <w:rPr>
                <w:rFonts w:ascii="Times New Roman" w:eastAsia="Times New Roman" w:hAnsi="Times New Roman"/>
              </w:rPr>
            </w:pPr>
            <w:r w:rsidRPr="003755F0">
              <w:rPr>
                <w:rFonts w:ascii="Times New Roman" w:eastAsia="Times New Roman" w:hAnsi="Times New Roman"/>
                <w:color w:val="000000"/>
              </w:rPr>
              <w:t>9,7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0E2AF7A" w14:textId="77777777">
            <w:pPr>
              <w:ind w:left="-57" w:right="-57"/>
              <w:jc w:val="right"/>
              <w:rPr>
                <w:rFonts w:ascii="Times New Roman" w:eastAsia="Times New Roman" w:hAnsi="Times New Roman"/>
              </w:rPr>
            </w:pPr>
            <w:r w:rsidRPr="003755F0">
              <w:rPr>
                <w:rFonts w:ascii="Times New Roman" w:eastAsia="Times New Roman" w:hAnsi="Times New Roman"/>
                <w:color w:val="000000"/>
              </w:rPr>
              <w:t>37,8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72A739"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0,1</w:t>
            </w:r>
          </w:p>
        </w:tc>
      </w:tr>
      <w:tr w14:paraId="388B0B3F"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2121F66" w14:textId="77777777">
            <w:pPr>
              <w:ind w:left="-57" w:right="-57"/>
              <w:rPr>
                <w:rFonts w:ascii="Times New Roman" w:eastAsia="Times New Roman" w:hAnsi="Times New Roman"/>
              </w:rPr>
            </w:pPr>
            <w:r w:rsidRPr="003755F0">
              <w:rPr>
                <w:rFonts w:ascii="Times New Roman" w:eastAsia="Times New Roman" w:hAnsi="Times New Roman"/>
              </w:rPr>
              <w:t>Мистецтво, спорт, розваги та відпочинок</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4B87C2" w14:textId="77777777">
            <w:pPr>
              <w:ind w:left="-57" w:right="-57"/>
              <w:jc w:val="center"/>
              <w:rPr>
                <w:rFonts w:ascii="Times New Roman" w:eastAsia="Times New Roman" w:hAnsi="Times New Roman"/>
              </w:rPr>
            </w:pPr>
            <w:r w:rsidRPr="003755F0">
              <w:rPr>
                <w:rFonts w:ascii="Times New Roman" w:eastAsia="Times New Roman" w:hAnsi="Times New Roman"/>
              </w:rPr>
              <w:t>R</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8A41969" w14:textId="77777777">
            <w:pPr>
              <w:ind w:left="-57" w:right="-57"/>
              <w:jc w:val="right"/>
              <w:rPr>
                <w:rFonts w:ascii="Times New Roman" w:eastAsia="Times New Roman" w:hAnsi="Times New Roman"/>
              </w:rPr>
            </w:pPr>
            <w:r w:rsidRPr="003755F0">
              <w:rPr>
                <w:rFonts w:ascii="Times New Roman" w:eastAsia="Times New Roman" w:hAnsi="Times New Roman"/>
                <w:color w:val="000000"/>
              </w:rPr>
              <w:t>90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A6F9568"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C37C76"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1451</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8AB83A"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FCA3820"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-1822,1</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BD80029" w14:textId="77777777">
            <w:pPr>
              <w:ind w:left="-57" w:right="-57"/>
              <w:jc w:val="right"/>
              <w:rPr>
                <w:rFonts w:ascii="Times New Roman" w:eastAsia="Times New Roman" w:hAnsi="Times New Roman"/>
              </w:rPr>
            </w:pPr>
            <w:r w:rsidRPr="003755F0">
              <w:rPr>
                <w:rFonts w:ascii="Times New Roman" w:eastAsia="Times New Roman" w:hAnsi="Times New Roman"/>
                <w:color w:val="000000"/>
              </w:rPr>
              <w:t>-2,8</w:t>
            </w:r>
          </w:p>
        </w:tc>
      </w:tr>
      <w:tr w14:paraId="0A35D7AC" w14:textId="77777777" w:rsidTr="003755F0">
        <w:tblPrEx>
          <w:tblW w:w="0" w:type="auto"/>
          <w:tblInd w:w="0" w:type="dxa"/>
          <w:tblLayout w:type="fixed"/>
          <w:tblLook w:val="04A0"/>
        </w:tblPrEx>
        <w:tc>
          <w:tcPr>
            <w:tcW w:w="348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3B4E5F" w14:textId="77777777">
            <w:pPr>
              <w:ind w:left="-57" w:right="-57"/>
              <w:rPr>
                <w:rFonts w:ascii="Times New Roman" w:eastAsia="Times New Roman" w:hAnsi="Times New Roman"/>
              </w:rPr>
            </w:pPr>
            <w:r w:rsidRPr="003755F0">
              <w:rPr>
                <w:rFonts w:ascii="Times New Roman" w:eastAsia="Times New Roman" w:hAnsi="Times New Roman"/>
              </w:rPr>
              <w:t>Надання інших видів послуг</w:t>
            </w:r>
          </w:p>
        </w:tc>
        <w:tc>
          <w:tcPr>
            <w:tcW w:w="8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3A6E3A" w14:textId="77777777">
            <w:pPr>
              <w:ind w:left="-57" w:right="-57"/>
              <w:jc w:val="center"/>
              <w:rPr>
                <w:rFonts w:ascii="Times New Roman" w:eastAsia="Times New Roman" w:hAnsi="Times New Roman"/>
              </w:rPr>
            </w:pPr>
            <w:r w:rsidRPr="003755F0">
              <w:rPr>
                <w:rFonts w:ascii="Times New Roman" w:eastAsia="Times New Roman" w:hAnsi="Times New Roman"/>
              </w:rPr>
              <w:t>S</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A36722" w14:textId="77777777">
            <w:pPr>
              <w:ind w:left="-57" w:right="-57"/>
              <w:jc w:val="right"/>
              <w:rPr>
                <w:rFonts w:ascii="Times New Roman" w:eastAsia="Times New Roman" w:hAnsi="Times New Roman"/>
              </w:rPr>
            </w:pPr>
            <w:r w:rsidRPr="003755F0">
              <w:rPr>
                <w:rFonts w:ascii="Times New Roman" w:eastAsia="Times New Roman" w:hAnsi="Times New Roman"/>
                <w:color w:val="000000"/>
              </w:rPr>
              <w:t>78</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EB868CE"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0,5</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999581" w14:textId="77777777">
            <w:pPr>
              <w:ind w:left="-57" w:right="-57"/>
              <w:jc w:val="right"/>
              <w:rPr>
                <w:rFonts w:ascii="Times New Roman" w:eastAsia="Times New Roman" w:hAnsi="Times New Roman"/>
                <w:color w:val="000000"/>
              </w:rPr>
            </w:pPr>
            <w:r w:rsidRPr="003755F0">
              <w:rPr>
                <w:rFonts w:ascii="Times New Roman" w:eastAsia="Times New Roman" w:hAnsi="Times New Roman"/>
                <w:color w:val="000000"/>
              </w:rPr>
              <w:t>499</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6095A92"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0,2</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FE44B4E" w14:textId="77777777">
            <w:pPr>
              <w:ind w:left="-57" w:right="-57"/>
              <w:jc w:val="right"/>
              <w:rPr>
                <w:rFonts w:ascii="Times New Roman" w:eastAsia="Times New Roman" w:hAnsi="Times New Roman"/>
              </w:rPr>
            </w:pPr>
            <w:r w:rsidRPr="003755F0">
              <w:rPr>
                <w:rFonts w:ascii="Times New Roman" w:eastAsia="Times New Roman" w:hAnsi="Times New Roman"/>
                <w:color w:val="000000"/>
              </w:rPr>
              <w:t>18,7</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29FF58" w14:textId="77777777">
            <w:pPr>
              <w:ind w:left="-57" w:right="-57"/>
              <w:jc w:val="right"/>
              <w:rPr>
                <w:rFonts w:ascii="Times New Roman" w:eastAsia="Times New Roman" w:hAnsi="Times New Roman"/>
              </w:rPr>
            </w:pPr>
            <w:r w:rsidRPr="003755F0">
              <w:rPr>
                <w:rFonts w:ascii="Times New Roman" w:eastAsia="Times New Roman" w:hAnsi="Times New Roman"/>
                <w:color w:val="000000"/>
              </w:rPr>
              <w:t>0,0</w:t>
            </w:r>
          </w:p>
        </w:tc>
      </w:tr>
      <w:tr w14:paraId="03333BE5" w14:textId="77777777" w:rsidTr="003755F0">
        <w:tblPrEx>
          <w:tblW w:w="0" w:type="auto"/>
          <w:tblInd w:w="0" w:type="dxa"/>
          <w:tblLayout w:type="fixed"/>
          <w:tblLook w:val="04A0"/>
        </w:tblPrEx>
        <w:trPr>
          <w:trHeight w:val="58"/>
        </w:trPr>
        <w:tc>
          <w:tcPr>
            <w:tcW w:w="4379" w:type="dxa"/>
            <w:gridSpan w:val="2"/>
            <w:tcBorders>
              <w:top w:val="single" w:sz="4" w:space="0" w:color="auto"/>
              <w:left w:val="single" w:sz="4" w:space="0" w:color="auto"/>
              <w:bottom w:val="single" w:sz="4" w:space="0" w:color="auto"/>
              <w:right w:val="single" w:sz="4" w:space="0" w:color="auto"/>
            </w:tcBorders>
            <w:hideMark/>
          </w:tcPr>
          <w:p w:rsidR="003755F0" w:rsidRPr="003755F0" w:rsidP="003755F0" w14:paraId="4E9F88F9" w14:textId="77777777">
            <w:pPr>
              <w:ind w:left="-57" w:right="-57"/>
              <w:rPr>
                <w:rFonts w:ascii="Times New Roman" w:eastAsia="Times New Roman" w:hAnsi="Times New Roman"/>
              </w:rPr>
            </w:pPr>
            <w:r w:rsidRPr="003755F0">
              <w:rPr>
                <w:rFonts w:ascii="Times New Roman" w:eastAsia="Times New Roman" w:hAnsi="Times New Roman"/>
                <w:b/>
                <w:bCs/>
              </w:rPr>
              <w:t>Усього</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95687BB" w14:textId="77777777">
            <w:pPr>
              <w:ind w:left="-57" w:right="-57"/>
              <w:jc w:val="right"/>
              <w:rPr>
                <w:rFonts w:ascii="Times New Roman" w:eastAsia="Times New Roman" w:hAnsi="Times New Roman"/>
              </w:rPr>
            </w:pPr>
            <w:r w:rsidRPr="003755F0">
              <w:rPr>
                <w:rFonts w:ascii="Times New Roman" w:eastAsia="Times New Roman" w:hAnsi="Times New Roman"/>
                <w:b/>
                <w:bCs/>
                <w:color w:val="000000"/>
              </w:rPr>
              <w:t>17232</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7A1F184" w14:textId="77777777">
            <w:pPr>
              <w:ind w:left="-57" w:right="-57"/>
              <w:jc w:val="right"/>
              <w:rPr>
                <w:rFonts w:ascii="Times New Roman" w:eastAsia="Times New Roman" w:hAnsi="Times New Roman"/>
              </w:rPr>
            </w:pPr>
            <w:r w:rsidRPr="003755F0">
              <w:rPr>
                <w:rFonts w:ascii="Times New Roman" w:eastAsia="Times New Roman" w:hAnsi="Times New Roman"/>
                <w:b/>
                <w:bCs/>
                <w:color w:val="000000"/>
              </w:rPr>
              <w:t>100,0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ABB33F6" w14:textId="77777777">
            <w:pPr>
              <w:ind w:left="-57" w:right="-57"/>
              <w:jc w:val="right"/>
              <w:rPr>
                <w:rFonts w:ascii="Times New Roman" w:eastAsia="Times New Roman" w:hAnsi="Times New Roman"/>
                <w:b/>
                <w:bCs/>
                <w:color w:val="000000"/>
              </w:rPr>
            </w:pPr>
            <w:r w:rsidRPr="003755F0">
              <w:rPr>
                <w:rFonts w:ascii="Times New Roman" w:eastAsia="Times New Roman" w:hAnsi="Times New Roman"/>
                <w:b/>
                <w:bCs/>
                <w:color w:val="000000"/>
              </w:rPr>
              <w:t>288288</w:t>
            </w:r>
          </w:p>
        </w:tc>
        <w:tc>
          <w:tcPr>
            <w:tcW w:w="87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C54A7F" w14:textId="77777777">
            <w:pPr>
              <w:ind w:left="-57" w:right="-57"/>
              <w:jc w:val="right"/>
              <w:rPr>
                <w:rFonts w:ascii="Times New Roman" w:eastAsia="Times New Roman" w:hAnsi="Times New Roman"/>
                <w:color w:val="000000"/>
              </w:rPr>
            </w:pPr>
            <w:r w:rsidRPr="003755F0">
              <w:rPr>
                <w:rFonts w:ascii="Times New Roman" w:eastAsia="Times New Roman" w:hAnsi="Times New Roman"/>
                <w:b/>
                <w:bCs/>
                <w:color w:val="000000"/>
              </w:rPr>
              <w:t>100,0</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DC7B3B7" w14:textId="77777777">
            <w:pPr>
              <w:ind w:left="-57" w:right="-57"/>
              <w:jc w:val="right"/>
              <w:rPr>
                <w:rFonts w:ascii="Times New Roman" w:eastAsia="Times New Roman" w:hAnsi="Times New Roman"/>
              </w:rPr>
            </w:pPr>
            <w:r w:rsidRPr="003755F0">
              <w:rPr>
                <w:rFonts w:ascii="Times New Roman" w:eastAsia="Times New Roman" w:hAnsi="Times New Roman"/>
                <w:b/>
                <w:bCs/>
                <w:color w:val="000000"/>
              </w:rPr>
              <w:t>65549,6</w:t>
            </w:r>
          </w:p>
        </w:tc>
        <w:tc>
          <w:tcPr>
            <w:tcW w:w="8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465B8F" w14:textId="77777777">
            <w:pPr>
              <w:ind w:left="-57" w:right="-57"/>
              <w:jc w:val="right"/>
              <w:rPr>
                <w:rFonts w:ascii="Times New Roman" w:eastAsia="Times New Roman" w:hAnsi="Times New Roman"/>
              </w:rPr>
            </w:pPr>
            <w:r w:rsidRPr="003755F0">
              <w:rPr>
                <w:rFonts w:ascii="Times New Roman" w:eastAsia="Times New Roman" w:hAnsi="Times New Roman"/>
                <w:b/>
                <w:bCs/>
                <w:color w:val="000000"/>
              </w:rPr>
              <w:t>100,0</w:t>
            </w:r>
          </w:p>
        </w:tc>
      </w:tr>
    </w:tbl>
    <w:p w:rsidR="003755F0" w:rsidRPr="003755F0" w:rsidP="003755F0" w14:paraId="5F8D637B" w14:textId="77777777">
      <w:pPr>
        <w:spacing w:after="0" w:line="240" w:lineRule="auto"/>
        <w:jc w:val="both"/>
        <w:rPr>
          <w:rFonts w:ascii="Times New Roman" w:eastAsia="Calibri" w:hAnsi="Times New Roman" w:cs="Times New Roman"/>
          <w:kern w:val="2"/>
          <w:sz w:val="24"/>
          <w:szCs w:val="24"/>
          <w:lang w:eastAsia="en-US"/>
          <w14:ligatures w14:val="standardContextual"/>
        </w:rPr>
      </w:pPr>
      <w:r w:rsidRPr="003755F0">
        <w:rPr>
          <w:rFonts w:ascii="Times New Roman" w:eastAsia="Calibri" w:hAnsi="Times New Roman" w:cs="Times New Roman"/>
          <w:i/>
          <w:iCs/>
          <w:kern w:val="2"/>
          <w:sz w:val="24"/>
          <w:szCs w:val="24"/>
          <w:lang w:eastAsia="en-US"/>
          <w14:ligatures w14:val="standardContextual"/>
        </w:rPr>
        <w:t>Джерело:</w:t>
      </w:r>
      <w:r w:rsidRPr="003755F0">
        <w:rPr>
          <w:rFonts w:ascii="Times New Roman" w:eastAsia="Calibri" w:hAnsi="Times New Roman" w:cs="Times New Roman"/>
          <w:kern w:val="2"/>
          <w:sz w:val="24"/>
          <w:szCs w:val="24"/>
          <w:lang w:eastAsia="en-US"/>
          <w14:ligatures w14:val="standardContextual"/>
        </w:rPr>
        <w:t xml:space="preserve"> Головне управління статистики у Київській області – Діяльність підприємств.</w:t>
      </w:r>
    </w:p>
    <w:p w:rsidR="003755F0" w:rsidRPr="003755F0" w:rsidP="003755F0" w14:paraId="4E2E603A" w14:textId="77777777">
      <w:pPr>
        <w:spacing w:after="0" w:line="360" w:lineRule="auto"/>
        <w:jc w:val="both"/>
        <w:rPr>
          <w:rFonts w:ascii="Times New Roman" w:eastAsia="Calibri" w:hAnsi="Times New Roman" w:cs="Times New Roman"/>
          <w:color w:val="809EC2"/>
          <w:kern w:val="2"/>
          <w:sz w:val="24"/>
          <w:szCs w:val="24"/>
          <w:lang w:eastAsia="en-US"/>
          <w14:ligatures w14:val="standardContextual"/>
        </w:rPr>
      </w:pPr>
      <w:hyperlink r:id="rId10" w:history="1">
        <w:r w:rsidRPr="003755F0">
          <w:rPr>
            <w:rFonts w:ascii="Times New Roman" w:eastAsia="Calibri" w:hAnsi="Times New Roman" w:cs="Times New Roman"/>
            <w:color w:val="0000FF" w:themeColor="hyperlink"/>
            <w:kern w:val="2"/>
            <w:sz w:val="24"/>
            <w:szCs w:val="24"/>
            <w:u w:val="single"/>
            <w:lang w:eastAsia="en-US"/>
            <w14:ligatures w14:val="standardContextual"/>
          </w:rPr>
          <w:t>http://kyivobl.ukrstat.gov.ua/p.php3?c=88&amp;lang=1</w:t>
        </w:r>
      </w:hyperlink>
      <w:r w:rsidRPr="003755F0">
        <w:rPr>
          <w:rFonts w:ascii="Times New Roman" w:eastAsia="Calibri" w:hAnsi="Times New Roman" w:cs="Times New Roman"/>
          <w:color w:val="809EC2"/>
          <w:kern w:val="2"/>
          <w:sz w:val="24"/>
          <w:szCs w:val="24"/>
          <w:lang w:eastAsia="en-US"/>
          <w14:ligatures w14:val="standardContextual"/>
        </w:rPr>
        <w:t xml:space="preserve"> </w:t>
      </w:r>
    </w:p>
    <w:p w:rsidR="003755F0" w:rsidRPr="003755F0" w:rsidP="003755F0" w14:paraId="642E69E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Загалом у регіоні в 2024 р. діяло понад 17,2 тис. підприємств, з яких 25,6% функціонують у сфері торгівлі, 16,8% – у промисловості, 11,6% – у сільському господарстві, 10,8% – у секторі будівництва, 9,8% – у сфері операцій з нерухомим майном. Порівняно з 2021 р. кількість діючих підприємств у Київській області скоротилась на 3 тис. одиниць (майже на 15%). Найбільше це скорочення торкнулося будівельних і торгових підприємств, однак у промисловому секторі теж припинили діяльність 304 підприємства. З діючих станом на 2024 р. промислових підприємств на Київщині 22 (або 0,7%) належали до великих суб’єктів господарювання, 320 (11,1%) – до середніх, 2546 (88,2%) до малих.</w:t>
      </w:r>
    </w:p>
    <w:p w:rsidR="003755F0" w:rsidRPr="003755F0" w:rsidP="003755F0" w14:paraId="63A2DFF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Таким чином, повномасштабне вторгнення у 2022 році призвело до скорочення обсягів ділової активності, істотно посиливши виклики для виживання і розвитку економіки України: низка підприємств зачинилися, різко зросла кількість безробітного населення. Водночас відтік кадрів за кордон через втечу від війни актуалізував проблему дефіциту кваліфікованої робочої сили у </w:t>
      </w:r>
      <w:r w:rsidRPr="003755F0">
        <w:rPr>
          <w:rFonts w:ascii="Times New Roman" w:eastAsia="Calibri" w:hAnsi="Times New Roman" w:cs="Times New Roman"/>
          <w:kern w:val="2"/>
          <w:sz w:val="28"/>
          <w:szCs w:val="28"/>
          <w:lang w:eastAsia="en-US"/>
          <w14:ligatures w14:val="standardContextual"/>
        </w:rPr>
        <w:t>низці галузей і, з огляду на безпекові виклики, зумовив низькі темпи відновлення розвитку економіки, починаючи з 2023 року. В умовах різкого зростання цін на сировину та комплектуючі погіршилися фінансові результати підприємницької діяльності в регіоні, проте стрімко зросла роль промислового сектора, який у 2024 році забезпечив 56,4% усіх прибутків підприємств Київської області до оподаткування.</w:t>
      </w:r>
    </w:p>
    <w:p w:rsidR="003755F0" w:rsidRPr="003755F0" w:rsidP="003755F0" w14:paraId="7A78223C"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Промисловий комплекс регіону</w:t>
      </w:r>
    </w:p>
    <w:p w:rsidR="003755F0" w:rsidRPr="003755F0" w:rsidP="003755F0" w14:paraId="6DC6478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Незважаючи на складнощі воєнного періоду Київська область продовжує залишатися важливим промисловим регіоном, що спеціалізується на виготовленні продукції з високою доданою вартістю, має розвинену інфраструктуру та потенціал до подальшої індустріалізації на засадах інноваційного розвитку. У загальній структурі виготовленої промислової продукції в області у 2023 р. частка продукції переробної промисловості сягає 76,7%. Основною галуззю промисловості регіону залишається харчова промисловість із часткою 27,9% у промисловому виробництві. Однак вагому роль відіграють також машинобудування (13,5%), виробництво гумових і пластмасових виробів, іншої неметалевої мінеральної продукції (11,2%), виробів з деревини і паперу (8,3%). Важливу роль у розвитку Київщини відіграє енергетичний сектор з часткою 21,4% у структурі виготовленої промислової продукції (табл. 2).</w:t>
      </w:r>
    </w:p>
    <w:p w:rsidR="003755F0" w:rsidRPr="003755F0" w:rsidP="003755F0" w14:paraId="6AB26632"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2.</w:t>
      </w:r>
      <w:r w:rsidRPr="003755F0">
        <w:rPr>
          <w:rFonts w:ascii="Times New Roman" w:eastAsia="Calibri" w:hAnsi="Times New Roman" w:cs="Times New Roman"/>
          <w:kern w:val="2"/>
          <w:sz w:val="28"/>
          <w:szCs w:val="28"/>
          <w:lang w:eastAsia="en-US"/>
          <w14:ligatures w14:val="standardContextual"/>
        </w:rPr>
        <w:t xml:space="preserve"> Структура промисловості Київщини за обсягами реалізованої продукції у 2023 році</w:t>
      </w:r>
    </w:p>
    <w:tbl>
      <w:tblPr>
        <w:tblStyle w:val="4"/>
        <w:tblW w:w="0" w:type="auto"/>
        <w:tblInd w:w="0" w:type="dxa"/>
        <w:tblLook w:val="04A0"/>
      </w:tblPr>
      <w:tblGrid>
        <w:gridCol w:w="7948"/>
        <w:gridCol w:w="1540"/>
      </w:tblGrid>
      <w:tr w14:paraId="4C03CB9D"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590784DF" w14:textId="77777777">
            <w:pPr>
              <w:spacing w:before="80" w:after="80"/>
              <w:jc w:val="center"/>
              <w:rPr>
                <w:rFonts w:ascii="Times New Roman" w:hAnsi="Times New Roman"/>
                <w:b/>
                <w:bCs/>
                <w:sz w:val="24"/>
                <w:szCs w:val="28"/>
              </w:rPr>
            </w:pPr>
            <w:r w:rsidRPr="003755F0">
              <w:rPr>
                <w:rFonts w:ascii="Times New Roman" w:eastAsia="Times New Roman" w:hAnsi="Times New Roman"/>
                <w:b/>
                <w:bCs/>
                <w:sz w:val="24"/>
                <w:szCs w:val="28"/>
              </w:rPr>
              <w:t>Види економічної діяльності промисловості</w:t>
            </w:r>
          </w:p>
        </w:tc>
        <w:tc>
          <w:tcPr>
            <w:tcW w:w="155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08150C2" w14:textId="77777777">
            <w:pPr>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Частка, %</w:t>
            </w:r>
          </w:p>
        </w:tc>
      </w:tr>
      <w:tr w14:paraId="525FCD62"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48A71529" w14:textId="77777777">
            <w:pPr>
              <w:jc w:val="both"/>
              <w:rPr>
                <w:rFonts w:ascii="Times New Roman" w:eastAsia="Times New Roman" w:hAnsi="Times New Roman"/>
                <w:caps/>
                <w:sz w:val="24"/>
                <w:szCs w:val="28"/>
              </w:rPr>
            </w:pPr>
            <w:r w:rsidRPr="003755F0">
              <w:rPr>
                <w:rFonts w:ascii="Times New Roman" w:eastAsia="Times New Roman" w:hAnsi="Times New Roman"/>
                <w:caps/>
                <w:sz w:val="24"/>
                <w:szCs w:val="28"/>
              </w:rPr>
              <w:t>Добувна та переробна промисловість</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E3988A"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77,3</w:t>
            </w:r>
          </w:p>
        </w:tc>
      </w:tr>
      <w:tr w14:paraId="749D97C1"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40570DFB" w14:textId="77777777">
            <w:pPr>
              <w:ind w:firstLine="57"/>
              <w:jc w:val="both"/>
              <w:rPr>
                <w:rFonts w:ascii="Times New Roman" w:eastAsia="Times New Roman" w:hAnsi="Times New Roman"/>
                <w:sz w:val="24"/>
                <w:szCs w:val="28"/>
              </w:rPr>
            </w:pPr>
            <w:r w:rsidRPr="003755F0">
              <w:rPr>
                <w:rFonts w:ascii="Times New Roman" w:eastAsia="Times New Roman" w:hAnsi="Times New Roman"/>
                <w:sz w:val="24"/>
                <w:szCs w:val="28"/>
              </w:rPr>
              <w:t>Добувна промисловість і розроблення кар'єрів</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C026CE"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0,6</w:t>
            </w:r>
          </w:p>
        </w:tc>
      </w:tr>
      <w:tr w14:paraId="3B0C32F4"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5CD3CF08" w14:textId="77777777">
            <w:pPr>
              <w:ind w:firstLine="57"/>
              <w:jc w:val="both"/>
              <w:rPr>
                <w:rFonts w:ascii="Times New Roman" w:eastAsia="Times New Roman" w:hAnsi="Times New Roman"/>
                <w:sz w:val="24"/>
                <w:szCs w:val="28"/>
              </w:rPr>
            </w:pPr>
            <w:r w:rsidRPr="003755F0">
              <w:rPr>
                <w:rFonts w:ascii="Times New Roman" w:eastAsia="Times New Roman" w:hAnsi="Times New Roman"/>
                <w:sz w:val="24"/>
                <w:szCs w:val="28"/>
              </w:rPr>
              <w:t>Переробна промисловість</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BA52ED"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76,7</w:t>
            </w:r>
          </w:p>
        </w:tc>
      </w:tr>
      <w:tr w14:paraId="0C3F9119"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5E0B80D9" w14:textId="77777777">
            <w:pPr>
              <w:ind w:firstLine="170"/>
              <w:jc w:val="both"/>
              <w:rPr>
                <w:rFonts w:ascii="Times New Roman" w:eastAsia="Times New Roman" w:hAnsi="Times New Roman"/>
                <w:sz w:val="24"/>
                <w:szCs w:val="28"/>
              </w:rPr>
            </w:pPr>
            <w:r w:rsidRPr="003755F0">
              <w:rPr>
                <w:rFonts w:ascii="Times New Roman" w:eastAsia="Times New Roman" w:hAnsi="Times New Roman"/>
                <w:sz w:val="24"/>
                <w:szCs w:val="28"/>
              </w:rPr>
              <w:t>виробництво харчових продуктів, напоїв і тютюнових виробів</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5AE63C"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27,9</w:t>
            </w:r>
          </w:p>
        </w:tc>
      </w:tr>
      <w:tr w14:paraId="6B56AF6D"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7DAE24F3" w14:textId="77777777">
            <w:pPr>
              <w:ind w:left="176" w:hanging="6"/>
              <w:rPr>
                <w:rFonts w:ascii="Times New Roman" w:eastAsia="Times New Roman" w:hAnsi="Times New Roman"/>
                <w:sz w:val="24"/>
                <w:szCs w:val="28"/>
              </w:rPr>
            </w:pPr>
            <w:r w:rsidRPr="003755F0">
              <w:rPr>
                <w:rFonts w:ascii="Times New Roman" w:eastAsia="Times New Roman" w:hAnsi="Times New Roman"/>
                <w:sz w:val="24"/>
                <w:szCs w:val="28"/>
              </w:rPr>
              <w:t>текстильне виробництво, виробництво одягу, шкіри, виробів зі шкіри та інших матеріалів</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CCC7950"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1,3</w:t>
            </w:r>
          </w:p>
        </w:tc>
      </w:tr>
      <w:tr w14:paraId="3C4F61E1"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7794DFBB" w14:textId="77777777">
            <w:pPr>
              <w:ind w:firstLine="170"/>
              <w:jc w:val="both"/>
              <w:rPr>
                <w:rFonts w:ascii="Times New Roman" w:eastAsia="Times New Roman" w:hAnsi="Times New Roman"/>
                <w:sz w:val="24"/>
                <w:szCs w:val="28"/>
              </w:rPr>
            </w:pPr>
            <w:r w:rsidRPr="003755F0">
              <w:rPr>
                <w:rFonts w:ascii="Times New Roman" w:eastAsia="Times New Roman" w:hAnsi="Times New Roman"/>
                <w:sz w:val="24"/>
                <w:szCs w:val="28"/>
              </w:rPr>
              <w:t>виготовлення виробів з деревини, паперу та поліграфічна діяльність</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5801F2"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8,3</w:t>
            </w:r>
          </w:p>
        </w:tc>
      </w:tr>
      <w:tr w14:paraId="0DBC660E"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4C6ABAB9" w14:textId="77777777">
            <w:pPr>
              <w:ind w:firstLine="170"/>
              <w:jc w:val="both"/>
              <w:rPr>
                <w:rFonts w:ascii="Times New Roman" w:eastAsia="Times New Roman" w:hAnsi="Times New Roman"/>
                <w:sz w:val="24"/>
                <w:szCs w:val="28"/>
              </w:rPr>
            </w:pPr>
            <w:r w:rsidRPr="003755F0">
              <w:rPr>
                <w:rFonts w:ascii="Times New Roman" w:eastAsia="Times New Roman" w:hAnsi="Times New Roman"/>
                <w:sz w:val="24"/>
                <w:szCs w:val="28"/>
              </w:rPr>
              <w:t>виробництво коксу та продуктів нафтопереробки</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8A17B6" w14:textId="77777777">
            <w:pPr>
              <w:jc w:val="center"/>
              <w:rPr>
                <w:rFonts w:ascii="Times New Roman" w:eastAsia="Times New Roman" w:hAnsi="Times New Roman"/>
                <w:i/>
                <w:iCs/>
                <w:sz w:val="24"/>
                <w:szCs w:val="28"/>
              </w:rPr>
            </w:pPr>
            <w:r w:rsidRPr="003755F0">
              <w:rPr>
                <w:rFonts w:ascii="Times New Roman" w:eastAsia="Times New Roman" w:hAnsi="Times New Roman"/>
                <w:i/>
                <w:iCs/>
                <w:sz w:val="24"/>
                <w:szCs w:val="28"/>
              </w:rPr>
              <w:t>К</w:t>
            </w:r>
          </w:p>
        </w:tc>
      </w:tr>
      <w:tr w14:paraId="16AEA1D1"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0FA3DEC3" w14:textId="77777777">
            <w:pPr>
              <w:ind w:firstLine="170"/>
              <w:jc w:val="both"/>
              <w:rPr>
                <w:rFonts w:ascii="Times New Roman" w:eastAsia="Times New Roman" w:hAnsi="Times New Roman"/>
                <w:sz w:val="24"/>
                <w:szCs w:val="28"/>
              </w:rPr>
            </w:pPr>
            <w:r w:rsidRPr="003755F0">
              <w:rPr>
                <w:rFonts w:ascii="Times New Roman" w:eastAsia="Times New Roman" w:hAnsi="Times New Roman"/>
                <w:sz w:val="24"/>
                <w:szCs w:val="28"/>
              </w:rPr>
              <w:t xml:space="preserve">виробництво хімічних речовин і хімічної продукції </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CA590BF"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2,4</w:t>
            </w:r>
          </w:p>
        </w:tc>
      </w:tr>
      <w:tr w14:paraId="20CDAF14"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44828BC5" w14:textId="77777777">
            <w:pPr>
              <w:ind w:firstLine="170"/>
              <w:jc w:val="both"/>
              <w:rPr>
                <w:rFonts w:ascii="Times New Roman" w:eastAsia="Times New Roman" w:hAnsi="Times New Roman"/>
                <w:sz w:val="24"/>
                <w:szCs w:val="28"/>
              </w:rPr>
            </w:pPr>
            <w:r w:rsidRPr="003755F0">
              <w:rPr>
                <w:rFonts w:ascii="Times New Roman" w:eastAsia="Times New Roman" w:hAnsi="Times New Roman"/>
                <w:sz w:val="24"/>
                <w:szCs w:val="28"/>
              </w:rPr>
              <w:t>виробництво основних фармацевтичних продуктів і фармацевтичних препаратів</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F38CAEC" w14:textId="77777777">
            <w:pPr>
              <w:jc w:val="center"/>
              <w:rPr>
                <w:rFonts w:ascii="Times New Roman" w:eastAsia="Times New Roman" w:hAnsi="Times New Roman"/>
                <w:sz w:val="24"/>
                <w:szCs w:val="28"/>
              </w:rPr>
            </w:pPr>
            <w:r w:rsidRPr="003755F0">
              <w:rPr>
                <w:rFonts w:ascii="Times New Roman" w:eastAsia="Times New Roman" w:hAnsi="Times New Roman"/>
                <w:i/>
                <w:iCs/>
                <w:sz w:val="24"/>
                <w:szCs w:val="28"/>
              </w:rPr>
              <w:t>К</w:t>
            </w:r>
          </w:p>
        </w:tc>
      </w:tr>
      <w:tr w14:paraId="44E2FDAA"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0DC268F6" w14:textId="77777777">
            <w:pPr>
              <w:ind w:left="176" w:hanging="6"/>
              <w:rPr>
                <w:rFonts w:ascii="Times New Roman" w:eastAsia="Times New Roman" w:hAnsi="Times New Roman"/>
                <w:sz w:val="24"/>
                <w:szCs w:val="28"/>
              </w:rPr>
            </w:pPr>
            <w:r w:rsidRPr="003755F0">
              <w:rPr>
                <w:rFonts w:ascii="Times New Roman" w:eastAsia="Times New Roman" w:hAnsi="Times New Roman"/>
                <w:sz w:val="24"/>
                <w:szCs w:val="28"/>
              </w:rPr>
              <w:t>виробництво гумових і пластмасових виробів, іншої неметалевої мінеральної продукції</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415EE9"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11,2</w:t>
            </w:r>
          </w:p>
        </w:tc>
      </w:tr>
      <w:tr w14:paraId="44974DD2"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532A47AF" w14:textId="77777777">
            <w:pPr>
              <w:ind w:left="176" w:hanging="6"/>
              <w:rPr>
                <w:rFonts w:ascii="Times New Roman" w:eastAsia="Times New Roman" w:hAnsi="Times New Roman"/>
                <w:sz w:val="24"/>
                <w:szCs w:val="28"/>
              </w:rPr>
            </w:pPr>
            <w:r w:rsidRPr="003755F0">
              <w:rPr>
                <w:rFonts w:ascii="Times New Roman" w:eastAsia="Times New Roman" w:hAnsi="Times New Roman"/>
                <w:sz w:val="24"/>
                <w:szCs w:val="28"/>
              </w:rPr>
              <w:t>металургійне виробництво, виробництво готових металевих виробів, крім виробництва машин та устаткування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80CF81E"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7,5</w:t>
            </w:r>
          </w:p>
        </w:tc>
      </w:tr>
      <w:tr w14:paraId="441318E1"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7B915098" w14:textId="77777777">
            <w:pPr>
              <w:ind w:firstLine="170"/>
              <w:jc w:val="both"/>
              <w:rPr>
                <w:rFonts w:ascii="Times New Roman" w:eastAsia="Times New Roman" w:hAnsi="Times New Roman"/>
                <w:sz w:val="24"/>
                <w:szCs w:val="28"/>
              </w:rPr>
            </w:pPr>
            <w:r w:rsidRPr="003755F0">
              <w:rPr>
                <w:rFonts w:ascii="Times New Roman" w:eastAsia="Times New Roman" w:hAnsi="Times New Roman"/>
                <w:sz w:val="24"/>
                <w:szCs w:val="28"/>
              </w:rPr>
              <w:t>машинобудування: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0CDD939"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13,5</w:t>
            </w:r>
          </w:p>
        </w:tc>
      </w:tr>
      <w:tr w14:paraId="0FEE22EE"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2BAE39EB" w14:textId="77777777">
            <w:pPr>
              <w:ind w:firstLine="318"/>
              <w:jc w:val="both"/>
              <w:rPr>
                <w:rFonts w:ascii="Times New Roman" w:eastAsia="Times New Roman" w:hAnsi="Times New Roman"/>
                <w:sz w:val="24"/>
                <w:szCs w:val="28"/>
              </w:rPr>
            </w:pPr>
            <w:r w:rsidRPr="003755F0">
              <w:rPr>
                <w:rFonts w:ascii="Times New Roman" w:eastAsia="Times New Roman" w:hAnsi="Times New Roman"/>
                <w:sz w:val="24"/>
                <w:szCs w:val="28"/>
              </w:rPr>
              <w:t>виробництво комп'ютерів, електронної та оптичної продукції</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F0BF77"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0,7</w:t>
            </w:r>
          </w:p>
        </w:tc>
      </w:tr>
      <w:tr w14:paraId="46DA2393"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3DBED11D" w14:textId="77777777">
            <w:pPr>
              <w:ind w:firstLine="318"/>
              <w:jc w:val="both"/>
              <w:rPr>
                <w:rFonts w:ascii="Times New Roman" w:eastAsia="Times New Roman" w:hAnsi="Times New Roman"/>
                <w:sz w:val="24"/>
                <w:szCs w:val="28"/>
              </w:rPr>
            </w:pPr>
            <w:r w:rsidRPr="003755F0">
              <w:rPr>
                <w:rFonts w:ascii="Times New Roman" w:eastAsia="Times New Roman" w:hAnsi="Times New Roman"/>
                <w:sz w:val="24"/>
                <w:szCs w:val="28"/>
              </w:rPr>
              <w:t>виробництво електричного устаткування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C691868"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1,5</w:t>
            </w:r>
          </w:p>
        </w:tc>
      </w:tr>
      <w:tr w14:paraId="11584EC2"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3993976B" w14:textId="77777777">
            <w:pPr>
              <w:ind w:firstLine="318"/>
              <w:jc w:val="both"/>
              <w:rPr>
                <w:rFonts w:ascii="Times New Roman" w:eastAsia="Times New Roman" w:hAnsi="Times New Roman"/>
                <w:sz w:val="24"/>
                <w:szCs w:val="28"/>
              </w:rPr>
            </w:pPr>
            <w:r w:rsidRPr="003755F0">
              <w:rPr>
                <w:rFonts w:ascii="Times New Roman" w:eastAsia="Times New Roman" w:hAnsi="Times New Roman"/>
                <w:sz w:val="24"/>
                <w:szCs w:val="28"/>
              </w:rPr>
              <w:t>виробництво машин і устаткування, не віднесених до інших угруповань</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E24B59E"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3,3</w:t>
            </w:r>
          </w:p>
        </w:tc>
      </w:tr>
      <w:tr w14:paraId="07196238"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03D232BC" w14:textId="77777777">
            <w:pPr>
              <w:ind w:left="318"/>
              <w:rPr>
                <w:rFonts w:ascii="Times New Roman" w:eastAsia="Times New Roman" w:hAnsi="Times New Roman"/>
                <w:sz w:val="24"/>
                <w:szCs w:val="28"/>
              </w:rPr>
            </w:pPr>
            <w:r w:rsidRPr="003755F0">
              <w:rPr>
                <w:rFonts w:ascii="Times New Roman" w:eastAsia="Times New Roman" w:hAnsi="Times New Roman"/>
                <w:sz w:val="24"/>
                <w:szCs w:val="28"/>
              </w:rPr>
              <w:t>виробництво автотранспортних засобів, причепів і напівпричепів та інших транспортних засобів</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F10A00"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8,0</w:t>
            </w:r>
          </w:p>
        </w:tc>
      </w:tr>
      <w:tr w14:paraId="20AE7988"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73D9A501" w14:textId="77777777">
            <w:pPr>
              <w:ind w:firstLine="170"/>
              <w:jc w:val="both"/>
              <w:rPr>
                <w:rFonts w:ascii="Times New Roman" w:eastAsia="Times New Roman" w:hAnsi="Times New Roman"/>
                <w:sz w:val="24"/>
                <w:szCs w:val="28"/>
              </w:rPr>
            </w:pPr>
            <w:r w:rsidRPr="003755F0">
              <w:rPr>
                <w:rFonts w:ascii="Times New Roman" w:eastAsia="Times New Roman" w:hAnsi="Times New Roman"/>
                <w:sz w:val="24"/>
                <w:szCs w:val="28"/>
              </w:rPr>
              <w:t>виробництво меблів, іншої продукції; ремонт і монтаж машин і устаткування</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F9C0D12"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2,5</w:t>
            </w:r>
          </w:p>
        </w:tc>
      </w:tr>
      <w:tr w14:paraId="407BD583"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607911F9" w14:textId="77777777">
            <w:pPr>
              <w:jc w:val="both"/>
              <w:rPr>
                <w:rFonts w:ascii="Times New Roman" w:eastAsia="Times New Roman" w:hAnsi="Times New Roman"/>
                <w:caps/>
                <w:sz w:val="24"/>
                <w:szCs w:val="28"/>
              </w:rPr>
            </w:pPr>
            <w:r w:rsidRPr="003755F0">
              <w:rPr>
                <w:rFonts w:ascii="Times New Roman" w:eastAsia="Times New Roman" w:hAnsi="Times New Roman"/>
                <w:caps/>
                <w:sz w:val="24"/>
                <w:szCs w:val="28"/>
              </w:rPr>
              <w:t>Постачання електроенергії, газу, пари та кондиційованого повітря</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B366CF"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21,4</w:t>
            </w:r>
          </w:p>
        </w:tc>
      </w:tr>
      <w:tr w14:paraId="356C4D21" w14:textId="77777777" w:rsidTr="003755F0">
        <w:tblPrEx>
          <w:tblW w:w="0" w:type="auto"/>
          <w:tblInd w:w="0" w:type="dxa"/>
          <w:tblLook w:val="04A0"/>
        </w:tblPrEx>
        <w:tc>
          <w:tcPr>
            <w:tcW w:w="8075" w:type="dxa"/>
            <w:tcBorders>
              <w:top w:val="single" w:sz="4" w:space="0" w:color="auto"/>
              <w:left w:val="single" w:sz="4" w:space="0" w:color="auto"/>
              <w:bottom w:val="single" w:sz="4" w:space="0" w:color="auto"/>
              <w:right w:val="single" w:sz="4" w:space="0" w:color="auto"/>
            </w:tcBorders>
            <w:hideMark/>
          </w:tcPr>
          <w:p w:rsidR="003755F0" w:rsidRPr="003755F0" w:rsidP="003755F0" w14:paraId="69BAD2E9" w14:textId="77777777">
            <w:pPr>
              <w:jc w:val="both"/>
              <w:rPr>
                <w:rFonts w:ascii="Times New Roman" w:eastAsia="Times New Roman" w:hAnsi="Times New Roman"/>
                <w:caps/>
                <w:sz w:val="24"/>
                <w:szCs w:val="28"/>
              </w:rPr>
            </w:pPr>
            <w:r w:rsidRPr="003755F0">
              <w:rPr>
                <w:rFonts w:ascii="Times New Roman" w:eastAsia="Times New Roman" w:hAnsi="Times New Roman"/>
                <w:caps/>
                <w:sz w:val="24"/>
                <w:szCs w:val="28"/>
              </w:rPr>
              <w:t>Водопостачання; каналізація, поводження з відходами</w:t>
            </w:r>
          </w:p>
        </w:tc>
        <w:tc>
          <w:tcPr>
            <w:tcW w:w="155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F3A2A0F"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1,3</w:t>
            </w:r>
          </w:p>
        </w:tc>
      </w:tr>
    </w:tbl>
    <w:p w:rsidR="003755F0" w:rsidRPr="003755F0" w:rsidP="003755F0" w14:paraId="16D7B000" w14:textId="77777777">
      <w:pPr>
        <w:spacing w:after="0" w:line="240" w:lineRule="auto"/>
        <w:ind w:firstLine="567"/>
        <w:jc w:val="both"/>
        <w:rPr>
          <w:rFonts w:ascii="Times New Roman" w:eastAsia="Calibri" w:hAnsi="Times New Roman" w:cs="Times New Roman"/>
          <w:color w:val="809EC2"/>
          <w:kern w:val="2"/>
          <w:sz w:val="24"/>
          <w:szCs w:val="28"/>
          <w:lang w:eastAsia="en-US"/>
          <w14:ligatures w14:val="standardContextual"/>
        </w:rPr>
      </w:pPr>
      <w:r w:rsidRPr="003755F0">
        <w:rPr>
          <w:rFonts w:ascii="Times New Roman" w:eastAsia="Calibri" w:hAnsi="Times New Roman" w:cs="Times New Roman"/>
          <w:i/>
          <w:iCs/>
          <w:kern w:val="2"/>
          <w:sz w:val="24"/>
          <w:szCs w:val="28"/>
          <w:lang w:eastAsia="en-US"/>
          <w14:ligatures w14:val="standardContextual"/>
        </w:rPr>
        <w:t>Джерело:</w:t>
      </w:r>
      <w:r w:rsidRPr="003755F0">
        <w:rPr>
          <w:rFonts w:ascii="Times New Roman" w:eastAsia="Calibri" w:hAnsi="Times New Roman" w:cs="Times New Roman"/>
          <w:kern w:val="2"/>
          <w:sz w:val="24"/>
          <w:szCs w:val="28"/>
          <w:lang w:eastAsia="en-US"/>
          <w14:ligatures w14:val="standardContextual"/>
        </w:rPr>
        <w:t xml:space="preserve"> Головне управління статистики у Київській області – Промисловість. </w:t>
      </w:r>
      <w:hyperlink r:id="rId11" w:history="1">
        <w:r w:rsidRPr="003755F0">
          <w:rPr>
            <w:rFonts w:ascii="Times New Roman" w:eastAsia="Calibri" w:hAnsi="Times New Roman" w:cs="Times New Roman"/>
            <w:color w:val="0000FF" w:themeColor="hyperlink"/>
            <w:kern w:val="2"/>
            <w:sz w:val="24"/>
            <w:szCs w:val="28"/>
            <w:u w:val="single"/>
            <w:lang w:eastAsia="en-US"/>
            <w14:ligatures w14:val="standardContextual"/>
          </w:rPr>
          <w:t>http://kyivobl.ukrstat.gov.ua/p.php3?c=82&amp;lang=1</w:t>
        </w:r>
      </w:hyperlink>
      <w:r w:rsidRPr="003755F0">
        <w:rPr>
          <w:rFonts w:ascii="Times New Roman" w:eastAsia="Calibri" w:hAnsi="Times New Roman" w:cs="Times New Roman"/>
          <w:color w:val="809EC2"/>
          <w:kern w:val="2"/>
          <w:sz w:val="24"/>
          <w:szCs w:val="28"/>
          <w:lang w:eastAsia="en-US"/>
          <w14:ligatures w14:val="standardContextual"/>
        </w:rPr>
        <w:t xml:space="preserve"> </w:t>
      </w:r>
    </w:p>
    <w:p w:rsidR="003755F0" w:rsidRPr="003755F0" w:rsidP="003755F0" w14:paraId="6B87AEA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Поряд з цим, Київська область відзначається значним притоком капітальних інвестицій (КІ).  Тоді як у 2022 р. обсяг капітальних інвестицій в економіку області зменшився з 44,3 млрд.  до 31,2 млрд. грн, за підсумками 2024 р. економіка області залучила майже 62,6 млрд. грн. Характерно, що за підсумками 2024 р. притік  капітальних інвестицій в промисловість Київської області  зріс на майже 10 млрд. грн. при загальному зростанні номінального обсягу капітальних інвестицій в регіоні на 11,4 млрд грн (табл. 3). </w:t>
      </w:r>
    </w:p>
    <w:p w:rsidR="003755F0" w:rsidRPr="003755F0" w:rsidP="003755F0" w14:paraId="4F439DB9"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3.</w:t>
      </w:r>
      <w:r w:rsidRPr="003755F0">
        <w:rPr>
          <w:rFonts w:ascii="Times New Roman" w:eastAsia="Calibri" w:hAnsi="Times New Roman" w:cs="Times New Roman"/>
          <w:kern w:val="2"/>
          <w:sz w:val="28"/>
          <w:szCs w:val="28"/>
          <w:lang w:eastAsia="en-US"/>
          <w14:ligatures w14:val="standardContextual"/>
        </w:rPr>
        <w:t xml:space="preserve"> Динаміка капітальних інвестицій у Київської області за видами економічної діяльності у період 2022–2024 рр.</w:t>
      </w:r>
    </w:p>
    <w:tbl>
      <w:tblPr>
        <w:tblStyle w:val="5"/>
        <w:tblW w:w="9630" w:type="dxa"/>
        <w:tblInd w:w="0" w:type="dxa"/>
        <w:tblLayout w:type="fixed"/>
        <w:tblLook w:val="04A0"/>
      </w:tblPr>
      <w:tblGrid>
        <w:gridCol w:w="3482"/>
        <w:gridCol w:w="893"/>
        <w:gridCol w:w="1007"/>
        <w:gridCol w:w="744"/>
        <w:gridCol w:w="957"/>
        <w:gridCol w:w="795"/>
        <w:gridCol w:w="906"/>
        <w:gridCol w:w="846"/>
      </w:tblGrid>
      <w:tr w14:paraId="4DA1C544" w14:textId="77777777" w:rsidTr="003755F0">
        <w:tblPrEx>
          <w:tblW w:w="9630" w:type="dxa"/>
          <w:tblInd w:w="0" w:type="dxa"/>
          <w:tblLayout w:type="fixed"/>
          <w:tblLook w:val="04A0"/>
        </w:tblPrEx>
        <w:trPr>
          <w:trHeight w:val="244"/>
        </w:trPr>
        <w:tc>
          <w:tcPr>
            <w:tcW w:w="3482"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0069B72" w14:textId="77777777">
            <w:pPr>
              <w:ind w:left="-57" w:right="-57"/>
              <w:jc w:val="center"/>
              <w:rPr>
                <w:rFonts w:ascii="Times New Roman" w:hAnsi="Times New Roman"/>
                <w:b/>
                <w:bCs/>
                <w:caps/>
                <w:sz w:val="24"/>
                <w:szCs w:val="24"/>
              </w:rPr>
            </w:pPr>
            <w:r w:rsidRPr="003755F0">
              <w:rPr>
                <w:rFonts w:ascii="Times New Roman" w:eastAsia="Times New Roman" w:hAnsi="Times New Roman"/>
                <w:b/>
                <w:bCs/>
                <w:caps/>
                <w:sz w:val="24"/>
                <w:szCs w:val="24"/>
              </w:rPr>
              <w:t>Вид господарської діяльності</w:t>
            </w:r>
          </w:p>
        </w:tc>
        <w:tc>
          <w:tcPr>
            <w:tcW w:w="893"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8864B11"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КВЕД</w:t>
            </w:r>
          </w:p>
        </w:tc>
        <w:tc>
          <w:tcPr>
            <w:tcW w:w="1751" w:type="dxa"/>
            <w:gridSpan w:val="2"/>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62FA9F52"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2022</w:t>
            </w:r>
          </w:p>
        </w:tc>
        <w:tc>
          <w:tcPr>
            <w:tcW w:w="1752" w:type="dxa"/>
            <w:gridSpan w:val="2"/>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43BEE5F4"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2023</w:t>
            </w:r>
          </w:p>
        </w:tc>
        <w:tc>
          <w:tcPr>
            <w:tcW w:w="1752" w:type="dxa"/>
            <w:gridSpan w:val="2"/>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0D88A154"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2024</w:t>
            </w:r>
          </w:p>
        </w:tc>
      </w:tr>
      <w:tr w14:paraId="44F0CFA3" w14:textId="77777777" w:rsidTr="003755F0">
        <w:tblPrEx>
          <w:tblW w:w="9630" w:type="dxa"/>
          <w:tblInd w:w="0" w:type="dxa"/>
          <w:tblLayout w:type="fixed"/>
          <w:tblLook w:val="04A0"/>
        </w:tblPrEx>
        <w:trPr>
          <w:trHeight w:val="244"/>
        </w:trPr>
        <w:tc>
          <w:tcPr>
            <w:tcW w:w="4375" w:type="dxa"/>
            <w:vMerge/>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219B2EB" w14:textId="77777777">
            <w:pPr>
              <w:rPr>
                <w:rFonts w:ascii="Times New Roman" w:hAnsi="Times New Roman"/>
                <w:b/>
                <w:bCs/>
                <w:caps/>
                <w:sz w:val="24"/>
                <w:szCs w:val="24"/>
              </w:rPr>
            </w:pPr>
          </w:p>
        </w:tc>
        <w:tc>
          <w:tcPr>
            <w:tcW w:w="893" w:type="dxa"/>
            <w:vMerge/>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EF1CCD2" w14:textId="77777777">
            <w:pPr>
              <w:rPr>
                <w:rFonts w:ascii="Times New Roman" w:hAnsi="Times New Roman"/>
                <w:b/>
                <w:bCs/>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5D4B59E5"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млн грн</w:t>
            </w:r>
          </w:p>
        </w:tc>
        <w:tc>
          <w:tcPr>
            <w:tcW w:w="744"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2EC49C94"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w:t>
            </w:r>
          </w:p>
        </w:tc>
        <w:tc>
          <w:tcPr>
            <w:tcW w:w="957"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47B7B34E"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млн грн</w:t>
            </w:r>
          </w:p>
        </w:tc>
        <w:tc>
          <w:tcPr>
            <w:tcW w:w="795"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6D66937F"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w:t>
            </w:r>
          </w:p>
        </w:tc>
        <w:tc>
          <w:tcPr>
            <w:tcW w:w="906"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13355903"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млн грн</w:t>
            </w:r>
          </w:p>
        </w:tc>
        <w:tc>
          <w:tcPr>
            <w:tcW w:w="846"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00A494E5" w14:textId="77777777">
            <w:pPr>
              <w:ind w:left="-57" w:right="-57"/>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w:t>
            </w:r>
          </w:p>
        </w:tc>
      </w:tr>
      <w:tr w14:paraId="64A6799E"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5A6DC4"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Сільське, лісове та рибне господарство</w:t>
            </w:r>
          </w:p>
        </w:tc>
        <w:tc>
          <w:tcPr>
            <w:tcW w:w="893" w:type="dxa"/>
            <w:tcBorders>
              <w:top w:val="single" w:sz="4" w:space="0" w:color="auto"/>
              <w:left w:val="single" w:sz="4" w:space="0" w:color="auto"/>
              <w:bottom w:val="single" w:sz="4" w:space="0" w:color="auto"/>
              <w:right w:val="single" w:sz="4" w:space="0" w:color="auto"/>
            </w:tcBorders>
            <w:hideMark/>
          </w:tcPr>
          <w:p w:rsidR="003755F0" w:rsidRPr="003755F0" w:rsidP="003755F0" w14:paraId="5931DD6E"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A</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08AE02"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6294,9</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D0875E5"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20,2</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89F8CA3"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6887,0</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E316C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13,5</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1ED36F8"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6828,7</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46292C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10,9</w:t>
            </w:r>
          </w:p>
        </w:tc>
      </w:tr>
      <w:tr w14:paraId="293157A0"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194969C"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Промисловість</w:t>
            </w:r>
          </w:p>
        </w:tc>
        <w:tc>
          <w:tcPr>
            <w:tcW w:w="893" w:type="dxa"/>
            <w:tcBorders>
              <w:top w:val="single" w:sz="4" w:space="0" w:color="auto"/>
              <w:left w:val="single" w:sz="4" w:space="0" w:color="auto"/>
              <w:bottom w:val="single" w:sz="4" w:space="0" w:color="auto"/>
              <w:right w:val="single" w:sz="4" w:space="0" w:color="auto"/>
            </w:tcBorders>
            <w:hideMark/>
          </w:tcPr>
          <w:p w:rsidR="003755F0" w:rsidRPr="003755F0" w:rsidP="003755F0" w14:paraId="1C62D450"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B+C+D+E</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677BB4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10675,0</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58982B"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34,2</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D2696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17476,0</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A21C48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34,1</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C7DF092"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27400,6</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82F658"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43,8</w:t>
            </w:r>
          </w:p>
        </w:tc>
      </w:tr>
      <w:tr w14:paraId="47916610"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4FB5DCE"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Будівництво</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4A8905"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F</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8774ED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6070,6</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4189FF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19,5</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BE9FD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8970,9</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F073A1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17,5</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34CAAFF"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10016,1</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48D147"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16,0</w:t>
            </w:r>
          </w:p>
        </w:tc>
      </w:tr>
      <w:tr w14:paraId="0C88BCBA"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005426A"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Оптова та роздрібна торгівля; ремонт автотранспортних засобів і мотоциклів</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4D1A4BD"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G</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A9C466"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3386,6</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E03972"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10,9</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08B3B0"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7811,5</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E248A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15,3</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09B662"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8263,8</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4A6C2B8"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13,2</w:t>
            </w:r>
          </w:p>
        </w:tc>
      </w:tr>
      <w:tr w14:paraId="03F9560E"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BCE1AA"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Транспорт, складське господарство, поштова та кур’єрська діяльність</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D2A3C82"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H</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860038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1209,1</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74CDCE"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3,9</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A08174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1391,7</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372B90B"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2,7</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31AD31"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1862,3</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3CE149B"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3,0</w:t>
            </w:r>
          </w:p>
        </w:tc>
      </w:tr>
      <w:tr w14:paraId="1B4C91EC"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66FF1A"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Тимчасове розміщування й організація харчування</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D553BC5"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I</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E2DEAA"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84,5</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85016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0,3</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9326CE"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22,6</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447FA2"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0,0</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2E138AE"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65,2</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4821FB"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0,1</w:t>
            </w:r>
          </w:p>
        </w:tc>
      </w:tr>
      <w:tr w14:paraId="251EB598"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86C840"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Інформація та телекомунікації</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BD1DF6"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J</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633309F"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30,2</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DD1DD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0,1</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CE0E3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45,7</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904BA75"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0,1</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721038"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91,0</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3E50C8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0,1</w:t>
            </w:r>
          </w:p>
        </w:tc>
      </w:tr>
      <w:tr w14:paraId="288B12FB"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629492F"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Фінансова та страхова діяльність</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8E9560F"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K</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A9749F3"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0,7</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8FCDA9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0,0</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75A1771"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753,9</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641FBF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1,5</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6B986E"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315,7</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6C3972A"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0,5</w:t>
            </w:r>
          </w:p>
        </w:tc>
      </w:tr>
      <w:tr w14:paraId="6E5140D7"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63F029"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Операції з нерухомим майном</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70151F3"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L</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8B1B743"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515,7</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D052F8"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1,7</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0BAE77"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1672,7</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30D1D0"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3,3</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EDF67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2102,9</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14641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3,4</w:t>
            </w:r>
          </w:p>
        </w:tc>
      </w:tr>
      <w:tr w14:paraId="01D0E997"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E315A90"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Професійна, наукова та технічна діяльність</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6C13DE"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M</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B42DF0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95,9</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73C06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0,3</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6A9F32F"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570,8</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E326E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1,1</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557EA5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330,9</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8C612EE"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0,5</w:t>
            </w:r>
          </w:p>
        </w:tc>
      </w:tr>
      <w:tr w14:paraId="285E8F0A"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9DF104"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Діяльність у сфері адміністративного та допоміжного обслуговування</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433F1E9"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N</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D43EC0"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300,2</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478340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1,0</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271AA92"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778,0</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DA9605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1,5</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E166B0"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902,3</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2D3531"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1,4</w:t>
            </w:r>
          </w:p>
        </w:tc>
      </w:tr>
      <w:tr w14:paraId="2EC782CF"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A23E62"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Державне управління й оборона; обов'язкове соціальне страхування</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14027F1"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О</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49296F"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1085,5</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2C75BD7"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3,5</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1B431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2816,0</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1EA7AB0"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5,5</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B7192E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2126,0</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1D36AE"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3,4</w:t>
            </w:r>
          </w:p>
        </w:tc>
      </w:tr>
      <w:tr w14:paraId="576A52C8"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F2119F"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Освіта</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F9AD31B"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P</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1A1A48C"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95,7</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13284DF"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0,3</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A203C25"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126,4</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1B04F2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0,2</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3DA553B"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321,6</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A0470DB"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0,5</w:t>
            </w:r>
          </w:p>
        </w:tc>
      </w:tr>
      <w:tr w14:paraId="1AC2FB03"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4F6989A"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Охорона здоров’я та надання соціальної допомоги</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3490C89"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Q</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72AD46"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549,4</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E6E378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1,8</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556C31"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1046,8</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9248386"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2,0</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8D6587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711,6</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20D7EB7"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1,1</w:t>
            </w:r>
          </w:p>
        </w:tc>
      </w:tr>
      <w:tr w14:paraId="3A5F66C4"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247556"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Мистецтво, спорт, розваги та відпочинок</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2B63684"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R</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3562A5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772,4</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BA40567"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2,5</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E703588"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808,2</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1C27892"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1,6</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9874E5"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1248,5</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C958C6"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2,0</w:t>
            </w:r>
          </w:p>
        </w:tc>
      </w:tr>
      <w:tr w14:paraId="6F360039" w14:textId="77777777" w:rsidTr="003755F0">
        <w:tblPrEx>
          <w:tblW w:w="9630" w:type="dxa"/>
          <w:tblInd w:w="0" w:type="dxa"/>
          <w:tblLayout w:type="fixed"/>
          <w:tblLook w:val="04A0"/>
        </w:tblPrEx>
        <w:tc>
          <w:tcPr>
            <w:tcW w:w="348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F647F0" w14:textId="77777777">
            <w:pPr>
              <w:ind w:left="-57" w:right="-57"/>
              <w:rPr>
                <w:rFonts w:ascii="Times New Roman" w:eastAsia="Times New Roman" w:hAnsi="Times New Roman"/>
                <w:sz w:val="24"/>
                <w:szCs w:val="24"/>
              </w:rPr>
            </w:pPr>
            <w:r w:rsidRPr="003755F0">
              <w:rPr>
                <w:rFonts w:ascii="Times New Roman" w:eastAsia="Times New Roman" w:hAnsi="Times New Roman"/>
                <w:sz w:val="24"/>
                <w:szCs w:val="24"/>
              </w:rPr>
              <w:t>Надання інших видів послуг</w:t>
            </w:r>
          </w:p>
        </w:tc>
        <w:tc>
          <w:tcPr>
            <w:tcW w:w="893"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32C11E" w14:textId="77777777">
            <w:pPr>
              <w:ind w:left="-57" w:right="-57"/>
              <w:jc w:val="center"/>
              <w:rPr>
                <w:rFonts w:ascii="Times New Roman" w:eastAsia="Times New Roman" w:hAnsi="Times New Roman"/>
                <w:sz w:val="24"/>
                <w:szCs w:val="24"/>
              </w:rPr>
            </w:pPr>
            <w:r w:rsidRPr="003755F0">
              <w:rPr>
                <w:rFonts w:ascii="Times New Roman" w:eastAsia="Times New Roman" w:hAnsi="Times New Roman"/>
                <w:sz w:val="24"/>
                <w:szCs w:val="24"/>
              </w:rPr>
              <w:t>S</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5276A5A"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2,2</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427B8FD"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0,0</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2F0A7E4"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6,2</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659179"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0,0</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8A98EA"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12,4</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4190733" w14:textId="77777777">
            <w:pPr>
              <w:ind w:left="-57" w:right="-57"/>
              <w:jc w:val="right"/>
              <w:rPr>
                <w:rFonts w:ascii="Times New Roman" w:eastAsia="Times New Roman" w:hAnsi="Times New Roman"/>
                <w:sz w:val="24"/>
                <w:szCs w:val="24"/>
              </w:rPr>
            </w:pPr>
            <w:r w:rsidRPr="003755F0">
              <w:rPr>
                <w:rFonts w:ascii="Times New Roman" w:eastAsia="Times New Roman" w:hAnsi="Times New Roman"/>
                <w:color w:val="000000"/>
                <w:sz w:val="24"/>
                <w:szCs w:val="24"/>
              </w:rPr>
              <w:t>0,0</w:t>
            </w:r>
          </w:p>
        </w:tc>
      </w:tr>
      <w:tr w14:paraId="7E567534" w14:textId="77777777" w:rsidTr="003755F0">
        <w:tblPrEx>
          <w:tblW w:w="9630" w:type="dxa"/>
          <w:tblInd w:w="0" w:type="dxa"/>
          <w:tblLayout w:type="fixed"/>
          <w:tblLook w:val="04A0"/>
        </w:tblPrEx>
        <w:trPr>
          <w:trHeight w:val="58"/>
        </w:trPr>
        <w:tc>
          <w:tcPr>
            <w:tcW w:w="4375" w:type="dxa"/>
            <w:gridSpan w:val="2"/>
            <w:tcBorders>
              <w:top w:val="single" w:sz="4" w:space="0" w:color="auto"/>
              <w:left w:val="single" w:sz="4" w:space="0" w:color="auto"/>
              <w:bottom w:val="single" w:sz="4" w:space="0" w:color="auto"/>
              <w:right w:val="single" w:sz="4" w:space="0" w:color="auto"/>
            </w:tcBorders>
            <w:hideMark/>
          </w:tcPr>
          <w:p w:rsidR="003755F0" w:rsidRPr="003755F0" w:rsidP="003755F0" w14:paraId="05B37C9A" w14:textId="77777777">
            <w:pPr>
              <w:ind w:left="-57" w:right="-57"/>
              <w:rPr>
                <w:rFonts w:ascii="Times New Roman" w:eastAsia="Times New Roman" w:hAnsi="Times New Roman"/>
                <w:sz w:val="24"/>
                <w:szCs w:val="24"/>
              </w:rPr>
            </w:pPr>
            <w:r w:rsidRPr="003755F0">
              <w:rPr>
                <w:rFonts w:ascii="Times New Roman" w:eastAsia="Times New Roman" w:hAnsi="Times New Roman"/>
                <w:b/>
                <w:bCs/>
                <w:sz w:val="24"/>
                <w:szCs w:val="24"/>
              </w:rPr>
              <w:t>Усього</w:t>
            </w:r>
          </w:p>
        </w:tc>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1BFD704" w14:textId="77777777">
            <w:pPr>
              <w:ind w:left="-57" w:right="-57"/>
              <w:jc w:val="right"/>
              <w:rPr>
                <w:rFonts w:ascii="Times New Roman" w:eastAsia="Times New Roman" w:hAnsi="Times New Roman"/>
                <w:b/>
                <w:bCs/>
                <w:sz w:val="24"/>
                <w:szCs w:val="24"/>
              </w:rPr>
            </w:pPr>
            <w:r w:rsidRPr="003755F0">
              <w:rPr>
                <w:rFonts w:ascii="Times New Roman" w:eastAsia="Times New Roman" w:hAnsi="Times New Roman"/>
                <w:b/>
                <w:bCs/>
                <w:color w:val="000000"/>
                <w:sz w:val="24"/>
                <w:szCs w:val="24"/>
              </w:rPr>
              <w:t>31168,6</w:t>
            </w:r>
          </w:p>
        </w:tc>
        <w:tc>
          <w:tcPr>
            <w:tcW w:w="74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A8A1B3" w14:textId="77777777">
            <w:pPr>
              <w:ind w:left="-57" w:right="-57"/>
              <w:jc w:val="right"/>
              <w:rPr>
                <w:rFonts w:ascii="Times New Roman" w:eastAsia="Times New Roman" w:hAnsi="Times New Roman"/>
                <w:b/>
                <w:bCs/>
                <w:sz w:val="24"/>
                <w:szCs w:val="24"/>
              </w:rPr>
            </w:pPr>
            <w:r w:rsidRPr="003755F0">
              <w:rPr>
                <w:rFonts w:ascii="Times New Roman" w:eastAsia="Times New Roman" w:hAnsi="Times New Roman"/>
                <w:b/>
                <w:bCs/>
                <w:color w:val="000000"/>
                <w:sz w:val="24"/>
                <w:szCs w:val="24"/>
              </w:rPr>
              <w:t>100,0</w:t>
            </w:r>
          </w:p>
        </w:tc>
        <w:tc>
          <w:tcPr>
            <w:tcW w:w="9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B50236D" w14:textId="77777777">
            <w:pPr>
              <w:ind w:left="-57" w:right="-57"/>
              <w:jc w:val="right"/>
              <w:rPr>
                <w:rFonts w:ascii="Times New Roman" w:eastAsia="Times New Roman" w:hAnsi="Times New Roman"/>
                <w:b/>
                <w:bCs/>
                <w:sz w:val="24"/>
                <w:szCs w:val="24"/>
              </w:rPr>
            </w:pPr>
            <w:r w:rsidRPr="003755F0">
              <w:rPr>
                <w:rFonts w:ascii="Times New Roman" w:eastAsia="Times New Roman" w:hAnsi="Times New Roman"/>
                <w:b/>
                <w:bCs/>
                <w:color w:val="000000"/>
                <w:sz w:val="24"/>
                <w:szCs w:val="24"/>
              </w:rPr>
              <w:t>51184,4</w:t>
            </w:r>
          </w:p>
        </w:tc>
        <w:tc>
          <w:tcPr>
            <w:tcW w:w="79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C6BC671" w14:textId="77777777">
            <w:pPr>
              <w:ind w:left="-57" w:right="-57"/>
              <w:jc w:val="right"/>
              <w:rPr>
                <w:rFonts w:ascii="Times New Roman" w:eastAsia="Times New Roman" w:hAnsi="Times New Roman"/>
                <w:b/>
                <w:bCs/>
                <w:sz w:val="24"/>
                <w:szCs w:val="24"/>
              </w:rPr>
            </w:pPr>
            <w:r w:rsidRPr="003755F0">
              <w:rPr>
                <w:rFonts w:ascii="Times New Roman" w:eastAsia="Times New Roman" w:hAnsi="Times New Roman"/>
                <w:b/>
                <w:bCs/>
                <w:color w:val="000000"/>
                <w:sz w:val="24"/>
                <w:szCs w:val="24"/>
              </w:rPr>
              <w:t>100,0</w:t>
            </w:r>
          </w:p>
        </w:tc>
        <w:tc>
          <w:tcPr>
            <w:tcW w:w="9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DA8BF96" w14:textId="77777777">
            <w:pPr>
              <w:ind w:left="-57" w:right="-57"/>
              <w:jc w:val="right"/>
              <w:rPr>
                <w:rFonts w:ascii="Times New Roman" w:eastAsia="Times New Roman" w:hAnsi="Times New Roman"/>
                <w:b/>
                <w:bCs/>
                <w:sz w:val="24"/>
                <w:szCs w:val="24"/>
              </w:rPr>
            </w:pPr>
            <w:r w:rsidRPr="003755F0">
              <w:rPr>
                <w:rFonts w:ascii="Times New Roman" w:eastAsia="Times New Roman" w:hAnsi="Times New Roman"/>
                <w:b/>
                <w:bCs/>
                <w:color w:val="000000"/>
                <w:sz w:val="24"/>
                <w:szCs w:val="24"/>
              </w:rPr>
              <w:t>62599,6</w:t>
            </w:r>
          </w:p>
        </w:tc>
        <w:tc>
          <w:tcPr>
            <w:tcW w:w="8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DCA8B80" w14:textId="77777777">
            <w:pPr>
              <w:ind w:left="-57" w:right="-57"/>
              <w:jc w:val="right"/>
              <w:rPr>
                <w:rFonts w:ascii="Times New Roman" w:eastAsia="Times New Roman" w:hAnsi="Times New Roman"/>
                <w:b/>
                <w:bCs/>
                <w:sz w:val="24"/>
                <w:szCs w:val="24"/>
              </w:rPr>
            </w:pPr>
            <w:r w:rsidRPr="003755F0">
              <w:rPr>
                <w:rFonts w:ascii="Times New Roman" w:eastAsia="Times New Roman" w:hAnsi="Times New Roman"/>
                <w:b/>
                <w:bCs/>
                <w:color w:val="000000"/>
                <w:sz w:val="24"/>
                <w:szCs w:val="24"/>
              </w:rPr>
              <w:t>100,0</w:t>
            </w:r>
          </w:p>
        </w:tc>
      </w:tr>
    </w:tbl>
    <w:p w:rsidR="003755F0" w:rsidRPr="003755F0" w:rsidP="003755F0" w14:paraId="55DB4593" w14:textId="77777777">
      <w:pPr>
        <w:spacing w:after="0" w:line="240" w:lineRule="auto"/>
        <w:ind w:firstLine="567"/>
        <w:jc w:val="both"/>
        <w:rPr>
          <w:rFonts w:ascii="Times New Roman" w:eastAsia="Calibri" w:hAnsi="Times New Roman" w:cs="Times New Roman"/>
          <w:color w:val="809EC2"/>
          <w:kern w:val="2"/>
          <w:sz w:val="24"/>
          <w:szCs w:val="28"/>
          <w:lang w:eastAsia="en-US"/>
          <w14:ligatures w14:val="standardContextual"/>
        </w:rPr>
      </w:pPr>
      <w:r w:rsidRPr="003755F0">
        <w:rPr>
          <w:rFonts w:ascii="Times New Roman" w:eastAsia="Calibri" w:hAnsi="Times New Roman" w:cs="Times New Roman"/>
          <w:i/>
          <w:iCs/>
          <w:kern w:val="2"/>
          <w:sz w:val="24"/>
          <w:szCs w:val="28"/>
          <w:lang w:eastAsia="en-US"/>
          <w14:ligatures w14:val="standardContextual"/>
        </w:rPr>
        <w:t>Джерело:</w:t>
      </w:r>
      <w:r w:rsidRPr="003755F0">
        <w:rPr>
          <w:rFonts w:ascii="Times New Roman" w:eastAsia="Calibri" w:hAnsi="Times New Roman" w:cs="Times New Roman"/>
          <w:kern w:val="2"/>
          <w:sz w:val="24"/>
          <w:szCs w:val="28"/>
          <w:lang w:eastAsia="en-US"/>
          <w14:ligatures w14:val="standardContextual"/>
        </w:rPr>
        <w:t xml:space="preserve"> Головне управління статистики у Київській області – Капітальні інвестиції. </w:t>
      </w:r>
      <w:hyperlink r:id="rId12" w:history="1">
        <w:r w:rsidRPr="003755F0">
          <w:rPr>
            <w:rFonts w:ascii="Times New Roman" w:eastAsia="Calibri" w:hAnsi="Times New Roman" w:cs="Times New Roman"/>
            <w:color w:val="0000FF" w:themeColor="hyperlink"/>
            <w:kern w:val="2"/>
            <w:sz w:val="24"/>
            <w:szCs w:val="28"/>
            <w:u w:val="single"/>
            <w:lang w:eastAsia="en-US"/>
            <w14:ligatures w14:val="standardContextual"/>
          </w:rPr>
          <w:t>http://kyivobl.ukrstat.gov.ua/p.php3?c=1109&amp;lang=1</w:t>
        </w:r>
      </w:hyperlink>
      <w:r w:rsidRPr="003755F0">
        <w:rPr>
          <w:rFonts w:ascii="Times New Roman" w:eastAsia="Calibri" w:hAnsi="Times New Roman" w:cs="Times New Roman"/>
          <w:color w:val="809EC2"/>
          <w:kern w:val="2"/>
          <w:sz w:val="24"/>
          <w:szCs w:val="28"/>
          <w:lang w:eastAsia="en-US"/>
          <w14:ligatures w14:val="standardContextual"/>
        </w:rPr>
        <w:t xml:space="preserve"> </w:t>
      </w:r>
    </w:p>
    <w:p w:rsidR="003755F0" w:rsidRPr="003755F0" w:rsidP="003755F0" w14:paraId="5808F1A4" w14:textId="77777777">
      <w:pPr>
        <w:spacing w:after="0" w:line="240" w:lineRule="auto"/>
        <w:ind w:firstLine="567"/>
        <w:jc w:val="both"/>
        <w:rPr>
          <w:rFonts w:ascii="Times New Roman" w:eastAsia="Calibri" w:hAnsi="Times New Roman" w:cs="Times New Roman"/>
          <w:kern w:val="2"/>
          <w:sz w:val="24"/>
          <w:szCs w:val="28"/>
          <w:lang w:eastAsia="en-US"/>
          <w14:ligatures w14:val="standardContextual"/>
        </w:rPr>
      </w:pPr>
    </w:p>
    <w:p w:rsidR="003755F0" w:rsidRPr="003755F0" w:rsidP="003755F0" w14:paraId="6A2B073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Вказана тенденція є результатом системної промислової політики регіональної влади, що зосереджена на:</w:t>
      </w:r>
    </w:p>
    <w:p w:rsidR="003755F0" w:rsidRPr="003755F0" w:rsidP="003755F0" w14:paraId="0FC1366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збереженні та розвитку виробничого потенціалу регіону,</w:t>
      </w:r>
    </w:p>
    <w:p w:rsidR="003755F0" w:rsidRPr="003755F0" w:rsidP="003755F0" w14:paraId="0251E53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адаптації структури виробництва до вимог воєнного часу,</w:t>
      </w:r>
    </w:p>
    <w:p w:rsidR="003755F0" w:rsidRPr="003755F0" w:rsidP="003755F0" w14:paraId="1AD24A5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розміщенні та відновленні роботи </w:t>
      </w:r>
      <w:r w:rsidRPr="003755F0">
        <w:rPr>
          <w:rFonts w:ascii="Times New Roman" w:eastAsia="Calibri" w:hAnsi="Times New Roman" w:cs="Times New Roman"/>
          <w:kern w:val="2"/>
          <w:sz w:val="28"/>
          <w:szCs w:val="28"/>
          <w:lang w:eastAsia="en-US"/>
          <w14:ligatures w14:val="standardContextual"/>
        </w:rPr>
        <w:t>релокованих</w:t>
      </w:r>
      <w:r w:rsidRPr="003755F0">
        <w:rPr>
          <w:rFonts w:ascii="Times New Roman" w:eastAsia="Calibri" w:hAnsi="Times New Roman" w:cs="Times New Roman"/>
          <w:kern w:val="2"/>
          <w:sz w:val="28"/>
          <w:szCs w:val="28"/>
          <w:lang w:eastAsia="en-US"/>
          <w14:ligatures w14:val="standardContextual"/>
        </w:rPr>
        <w:t xml:space="preserve"> підприємств,</w:t>
      </w:r>
    </w:p>
    <w:p w:rsidR="003755F0" w:rsidRPr="003755F0" w:rsidP="003755F0" w14:paraId="107BA92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розширенні мережі індустріальних парків — ключових майданчиків для залучення інвестицій та створення нових робочих місць.</w:t>
      </w:r>
    </w:p>
    <w:p w:rsidR="003755F0" w:rsidRPr="003755F0" w:rsidP="003755F0" w14:paraId="7315261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Від початку повномасштабного вторгнення і до травня 2025 р. на територію Київщини за урядовою програмою </w:t>
      </w:r>
      <w:r w:rsidRPr="003755F0">
        <w:rPr>
          <w:rFonts w:ascii="Times New Roman" w:eastAsia="Calibri" w:hAnsi="Times New Roman" w:cs="Times New Roman"/>
          <w:kern w:val="2"/>
          <w:sz w:val="28"/>
          <w:szCs w:val="28"/>
          <w:lang w:eastAsia="en-US"/>
          <w14:ligatures w14:val="standardContextual"/>
        </w:rPr>
        <w:t>релокації</w:t>
      </w:r>
      <w:r w:rsidRPr="003755F0">
        <w:rPr>
          <w:rFonts w:ascii="Times New Roman" w:eastAsia="Calibri" w:hAnsi="Times New Roman" w:cs="Times New Roman"/>
          <w:kern w:val="2"/>
          <w:sz w:val="28"/>
          <w:szCs w:val="28"/>
          <w:lang w:eastAsia="en-US"/>
          <w14:ligatures w14:val="standardContextual"/>
        </w:rPr>
        <w:t xml:space="preserve"> підприємств перебазувалися 77 компаній, які створили понад 1500 якісних робочих місць. Важливим інструментом </w:t>
      </w:r>
      <w:r w:rsidRPr="003755F0">
        <w:rPr>
          <w:rFonts w:ascii="Times New Roman" w:eastAsia="Calibri" w:hAnsi="Times New Roman" w:cs="Times New Roman"/>
          <w:kern w:val="2"/>
          <w:sz w:val="28"/>
          <w:szCs w:val="28"/>
          <w:lang w:eastAsia="en-US"/>
          <w14:ligatures w14:val="standardContextual"/>
        </w:rPr>
        <w:t>релокації</w:t>
      </w:r>
      <w:r w:rsidRPr="003755F0">
        <w:rPr>
          <w:rFonts w:ascii="Times New Roman" w:eastAsia="Calibri" w:hAnsi="Times New Roman" w:cs="Times New Roman"/>
          <w:kern w:val="2"/>
          <w:sz w:val="28"/>
          <w:szCs w:val="28"/>
          <w:lang w:eastAsia="en-US"/>
          <w14:ligatures w14:val="standardContextual"/>
        </w:rPr>
        <w:t xml:space="preserve"> промислових підприємств на територію Київської області виступає створення індустріальних парків. На початок 2025 року в Україні було зареєстровано 100 індустріальних парків, з яких 13 у Київській області, що робить її другим регіоном в країні за кількістю індустріальних парків після Львівщини. </w:t>
      </w:r>
    </w:p>
    <w:p w:rsidR="003755F0" w:rsidRPr="003755F0" w:rsidP="003755F0" w14:paraId="0D623F6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0D273B8C" w14:textId="77777777">
      <w:pPr>
        <w:spacing w:after="0" w:line="240" w:lineRule="auto"/>
        <w:jc w:val="center"/>
        <w:rPr>
          <w:rFonts w:ascii="Times New Roman" w:eastAsia="Calibri" w:hAnsi="Times New Roman" w:cs="Times New Roman"/>
          <w:b/>
          <w:bCs/>
          <w:caps/>
          <w:kern w:val="2"/>
          <w:sz w:val="28"/>
          <w:szCs w:val="28"/>
          <w:lang w:eastAsia="en-US"/>
          <w14:ligatures w14:val="standardContextual"/>
        </w:rPr>
      </w:pPr>
      <w:r w:rsidRPr="003755F0">
        <w:rPr>
          <w:rFonts w:ascii="Times New Roman" w:eastAsia="Calibri" w:hAnsi="Times New Roman" w:cs="Times New Roman"/>
          <w:b/>
          <w:bCs/>
          <w:caps/>
          <w:kern w:val="2"/>
          <w:sz w:val="28"/>
          <w:szCs w:val="28"/>
          <w:lang w:eastAsia="en-US"/>
          <w14:ligatures w14:val="standardContextual"/>
        </w:rPr>
        <w:t>Броварська міська територіальна громада</w:t>
      </w:r>
    </w:p>
    <w:p w:rsidR="003755F0" w:rsidRPr="003755F0" w:rsidP="003755F0" w14:paraId="35241744" w14:textId="77777777">
      <w:pPr>
        <w:spacing w:after="0" w:line="240" w:lineRule="auto"/>
        <w:jc w:val="center"/>
        <w:rPr>
          <w:rFonts w:ascii="Times New Roman" w:eastAsia="Calibri" w:hAnsi="Times New Roman" w:cs="Times New Roman"/>
          <w:color w:val="0070C0"/>
          <w:kern w:val="2"/>
          <w:sz w:val="28"/>
          <w:szCs w:val="28"/>
          <w:lang w:eastAsia="en-US"/>
          <w14:ligatures w14:val="standardContextual"/>
        </w:rPr>
      </w:pPr>
    </w:p>
    <w:p w:rsidR="003755F0" w:rsidRPr="003755F0" w:rsidP="003755F0" w14:paraId="449D6864" w14:textId="77777777">
      <w:pPr>
        <w:spacing w:after="0" w:line="240" w:lineRule="auto"/>
        <w:ind w:firstLine="567"/>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Броварська міська територіальна громада складається з 4 населених пунктів, з яких місто Бровари і 3 села (Княжичі, Требухів, Сотницьке), та має загальну чисельність населення 116,4 тис. осіб, з яких 105,6 тис. мешкають у Броварах. Площа територіальної громади становить 125,2 км2.</w:t>
      </w:r>
    </w:p>
    <w:p w:rsidR="003755F0" w:rsidRPr="003755F0" w:rsidP="003755F0" w14:paraId="65BA9240" w14:textId="77777777">
      <w:pPr>
        <w:spacing w:after="0" w:line="240" w:lineRule="auto"/>
        <w:ind w:firstLine="567"/>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Основу промислового комплексу територіальної громади складають підприємства переробної промисловості. У структурі цієї промисловості домінують:</w:t>
      </w:r>
    </w:p>
    <w:p w:rsidR="003755F0" w:rsidRPr="003755F0" w:rsidP="003755F0" w14:paraId="41899DDB" w14:textId="77777777">
      <w:pPr>
        <w:numPr>
          <w:ilvl w:val="0"/>
          <w:numId w:val="7"/>
        </w:numPr>
        <w:spacing w:after="0" w:line="240" w:lineRule="auto"/>
        <w:contextualSpacing/>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виробництво гумових і пластмасових виробів (33,4%);</w:t>
      </w:r>
    </w:p>
    <w:p w:rsidR="003755F0" w:rsidRPr="003755F0" w:rsidP="003755F0" w14:paraId="5779B705" w14:textId="77777777">
      <w:pPr>
        <w:numPr>
          <w:ilvl w:val="0"/>
          <w:numId w:val="7"/>
        </w:numPr>
        <w:spacing w:after="0" w:line="240" w:lineRule="auto"/>
        <w:contextualSpacing/>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виробництво харчових продуктів, напоїв і тютюнових виробів (14,8%);</w:t>
      </w:r>
    </w:p>
    <w:p w:rsidR="003755F0" w:rsidRPr="003755F0" w:rsidP="003755F0" w14:paraId="736F1A33" w14:textId="77777777">
      <w:pPr>
        <w:numPr>
          <w:ilvl w:val="0"/>
          <w:numId w:val="7"/>
        </w:numPr>
        <w:spacing w:after="0" w:line="240" w:lineRule="auto"/>
        <w:contextualSpacing/>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текстильне виробництво, виробництво одягу (14,8%);</w:t>
      </w:r>
    </w:p>
    <w:p w:rsidR="003755F0" w:rsidRPr="003755F0" w:rsidP="003755F0" w14:paraId="084CF923" w14:textId="77777777">
      <w:pPr>
        <w:numPr>
          <w:ilvl w:val="0"/>
          <w:numId w:val="7"/>
        </w:numPr>
        <w:spacing w:after="0" w:line="240" w:lineRule="auto"/>
        <w:contextualSpacing/>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металургійне виробництво і виробництво готових металевих виробів (14,8%);</w:t>
      </w:r>
    </w:p>
    <w:p w:rsidR="003755F0" w:rsidRPr="003755F0" w:rsidP="003755F0" w14:paraId="0BFE68B1" w14:textId="77777777">
      <w:pPr>
        <w:numPr>
          <w:ilvl w:val="0"/>
          <w:numId w:val="7"/>
        </w:numPr>
        <w:spacing w:after="0" w:line="240" w:lineRule="auto"/>
        <w:contextualSpacing/>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машинобудування (11,1%);</w:t>
      </w:r>
    </w:p>
    <w:p w:rsidR="003755F0" w:rsidRPr="003755F0" w:rsidP="003755F0" w14:paraId="3A0311E3" w14:textId="77777777">
      <w:pPr>
        <w:numPr>
          <w:ilvl w:val="0"/>
          <w:numId w:val="7"/>
        </w:numPr>
        <w:spacing w:after="0" w:line="240" w:lineRule="auto"/>
        <w:contextualSpacing/>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 xml:space="preserve">виробництво хімічних речовин і фармацевтичних продуктів </w:t>
      </w:r>
      <m:oMath>
        <m:sSup>
          <m:sSupPr>
            <m:ctrlPr>
              <w:rPr>
                <w:rFonts w:ascii="Cambria Math" w:eastAsia="Calibri" w:hAnsi="Cambria Math" w:cs="Times New Roman"/>
                <w:i/>
                <w:sz w:val="28"/>
                <w:szCs w:val="28"/>
                <w:lang w:eastAsia="en-US"/>
              </w:rPr>
            </m:ctrlPr>
          </m:sSupPr>
          <m:e>
            <m:r>
              <w:rPr>
                <w:rFonts w:ascii="Cambria Math" w:eastAsia="Calibri" w:hAnsi="Cambria Math" w:cs="Times New Roman"/>
                <w:sz w:val="28"/>
                <w:szCs w:val="28"/>
                <w:lang w:eastAsia="en-US"/>
              </w:rPr>
              <m:t>(7,4%)</m:t>
            </m:r>
          </m:e>
          <m:sup>
            <m:r>
              <w:rPr>
                <w:rFonts w:ascii="Cambria Math" w:eastAsia="Calibri" w:hAnsi="Cambria Math" w:cs="Times New Roman"/>
                <w:sz w:val="28"/>
                <w:szCs w:val="28"/>
                <w:lang w:eastAsia="en-US"/>
              </w:rPr>
              <m:t>1</m:t>
            </m:r>
          </m:sup>
        </m:sSup>
      </m:oMath>
      <w:r w:rsidRPr="003755F0">
        <w:rPr>
          <w:rFonts w:ascii="Times New Roman" w:eastAsia="Calibri" w:hAnsi="Times New Roman" w:cs="Times New Roman"/>
          <w:sz w:val="28"/>
          <w:szCs w:val="28"/>
          <w:lang w:eastAsia="en-US"/>
        </w:rPr>
        <w:t xml:space="preserve"> .</w:t>
      </w:r>
    </w:p>
    <w:p w:rsidR="003755F0" w:rsidRPr="003755F0" w:rsidP="003755F0" w14:paraId="22D20529" w14:textId="77777777">
      <w:pPr>
        <w:spacing w:after="0" w:line="240" w:lineRule="auto"/>
        <w:ind w:firstLine="567"/>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Найпотужнішими виробничими підприємствами громади залишаються:</w:t>
      </w:r>
    </w:p>
    <w:p w:rsidR="003755F0" w:rsidRPr="003755F0" w:rsidP="003755F0" w14:paraId="6E1CCB9C" w14:textId="77777777">
      <w:pPr>
        <w:spacing w:after="0" w:line="240" w:lineRule="auto"/>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w:t>
      </w:r>
      <w:r w:rsidRPr="003755F0">
        <w:rPr>
          <w:rFonts w:ascii="Times New Roman" w:eastAsia="Calibri" w:hAnsi="Times New Roman" w:cs="Times New Roman"/>
          <w:sz w:val="28"/>
          <w:szCs w:val="28"/>
          <w:lang w:eastAsia="en-US"/>
        </w:rPr>
        <w:tab/>
        <w:t>ТОВ «</w:t>
      </w:r>
      <w:r w:rsidRPr="003755F0">
        <w:rPr>
          <w:rFonts w:ascii="Times New Roman" w:eastAsia="Calibri" w:hAnsi="Times New Roman" w:cs="Times New Roman"/>
          <w:sz w:val="28"/>
          <w:szCs w:val="28"/>
          <w:lang w:eastAsia="en-US"/>
        </w:rPr>
        <w:t>Спецбудмаш</w:t>
      </w:r>
      <w:r w:rsidRPr="003755F0">
        <w:rPr>
          <w:rFonts w:ascii="Times New Roman" w:eastAsia="Calibri" w:hAnsi="Times New Roman" w:cs="Times New Roman"/>
          <w:sz w:val="28"/>
          <w:szCs w:val="28"/>
          <w:lang w:eastAsia="en-US"/>
        </w:rPr>
        <w:t>» – виробляє комунальну, дорожню, будівельну і спеціальну техніку; забезпечує роботою понад 400 висококваліфікованих працівників;</w:t>
      </w:r>
    </w:p>
    <w:p w:rsidR="003755F0" w:rsidRPr="003755F0" w:rsidP="003755F0" w14:paraId="61BC1814" w14:textId="77777777">
      <w:pPr>
        <w:spacing w:after="0" w:line="240" w:lineRule="auto"/>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w:t>
      </w:r>
      <w:r w:rsidRPr="003755F0">
        <w:rPr>
          <w:rFonts w:ascii="Times New Roman" w:eastAsia="Calibri" w:hAnsi="Times New Roman" w:cs="Times New Roman"/>
          <w:sz w:val="28"/>
          <w:szCs w:val="28"/>
          <w:lang w:eastAsia="en-US"/>
        </w:rPr>
        <w:tab/>
        <w:t>ТОВ «Орієнтир-</w:t>
      </w:r>
      <w:r w:rsidRPr="003755F0">
        <w:rPr>
          <w:rFonts w:ascii="Times New Roman" w:eastAsia="Calibri" w:hAnsi="Times New Roman" w:cs="Times New Roman"/>
          <w:sz w:val="28"/>
          <w:szCs w:val="28"/>
          <w:lang w:eastAsia="en-US"/>
        </w:rPr>
        <w:t>Буделемент</w:t>
      </w:r>
      <w:r w:rsidRPr="003755F0">
        <w:rPr>
          <w:rFonts w:ascii="Times New Roman" w:eastAsia="Calibri" w:hAnsi="Times New Roman" w:cs="Times New Roman"/>
          <w:sz w:val="28"/>
          <w:szCs w:val="28"/>
          <w:lang w:eastAsia="en-US"/>
        </w:rPr>
        <w:t xml:space="preserve">» – виробляє </w:t>
      </w:r>
      <w:r w:rsidRPr="003755F0">
        <w:rPr>
          <w:rFonts w:ascii="Times New Roman" w:eastAsia="Calibri" w:hAnsi="Times New Roman" w:cs="Times New Roman"/>
          <w:sz w:val="28"/>
          <w:szCs w:val="28"/>
          <w:lang w:eastAsia="en-US"/>
        </w:rPr>
        <w:t>газобетонні</w:t>
      </w:r>
      <w:r w:rsidRPr="003755F0">
        <w:rPr>
          <w:rFonts w:ascii="Times New Roman" w:eastAsia="Calibri" w:hAnsi="Times New Roman" w:cs="Times New Roman"/>
          <w:sz w:val="28"/>
          <w:szCs w:val="28"/>
          <w:lang w:eastAsia="en-US"/>
        </w:rPr>
        <w:t xml:space="preserve"> блоки, зокрема найбільший у Європі виробник </w:t>
      </w:r>
      <w:r w:rsidRPr="003755F0">
        <w:rPr>
          <w:rFonts w:ascii="Times New Roman" w:eastAsia="Calibri" w:hAnsi="Times New Roman" w:cs="Times New Roman"/>
          <w:sz w:val="28"/>
          <w:szCs w:val="28"/>
          <w:lang w:eastAsia="en-US"/>
        </w:rPr>
        <w:t>автоклавного</w:t>
      </w:r>
      <w:r w:rsidRPr="003755F0">
        <w:rPr>
          <w:rFonts w:ascii="Times New Roman" w:eastAsia="Calibri" w:hAnsi="Times New Roman" w:cs="Times New Roman"/>
          <w:sz w:val="28"/>
          <w:szCs w:val="28"/>
          <w:lang w:eastAsia="en-US"/>
        </w:rPr>
        <w:t xml:space="preserve"> газобетону;</w:t>
      </w:r>
    </w:p>
    <w:p w:rsidR="003755F0" w:rsidRPr="003755F0" w:rsidP="003755F0" w14:paraId="07F4B393" w14:textId="77777777">
      <w:pPr>
        <w:spacing w:after="0" w:line="240" w:lineRule="auto"/>
        <w:jc w:val="both"/>
        <w:rPr>
          <w:rFonts w:ascii="Times New Roman" w:eastAsia="Calibri" w:hAnsi="Times New Roman" w:cs="Times New Roman"/>
          <w:sz w:val="28"/>
          <w:szCs w:val="28"/>
          <w:lang w:eastAsia="en-US"/>
        </w:rPr>
      </w:pPr>
    </w:p>
    <w:p w:rsidR="003755F0" w:rsidRPr="003755F0" w:rsidP="003755F0" w14:paraId="5199CEFD" w14:textId="77777777">
      <w:pPr>
        <w:spacing w:after="0" w:line="240" w:lineRule="auto"/>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_____________________</w:t>
      </w:r>
    </w:p>
    <w:p w:rsidR="003755F0" w:rsidRPr="003755F0" w:rsidP="003755F0" w14:paraId="14A6AFC8" w14:textId="77777777">
      <w:pPr>
        <w:spacing w:after="0" w:line="240" w:lineRule="auto"/>
        <w:rPr>
          <w:rFonts w:ascii="Times New Roman" w:eastAsia="Calibri" w:hAnsi="Times New Roman" w:cs="Times New Roman"/>
          <w:kern w:val="2"/>
          <w:lang w:val="ru-RU" w:eastAsia="en-US"/>
          <w14:ligatures w14:val="standardContextual"/>
        </w:rPr>
      </w:pPr>
      <w:r w:rsidRPr="003755F0">
        <w:rPr>
          <w:rFonts w:ascii="Times New Roman" w:eastAsia="Calibri" w:hAnsi="Times New Roman" w:cs="Times New Roman"/>
          <w:kern w:val="2"/>
          <w:vertAlign w:val="superscript"/>
          <w:lang w:eastAsia="en-US"/>
          <w14:ligatures w14:val="standardContextual"/>
        </w:rPr>
        <w:footnoteRef/>
      </w:r>
      <w:r w:rsidRPr="003755F0">
        <w:rPr>
          <w:rFonts w:ascii="Times New Roman" w:eastAsia="Calibri" w:hAnsi="Times New Roman" w:cs="Times New Roman"/>
          <w:kern w:val="2"/>
          <w:lang w:eastAsia="en-US"/>
          <w14:ligatures w14:val="standardContextual"/>
        </w:rPr>
        <w:t xml:space="preserve"> Інвестиційний паспорт Броварської громади (2023)</w:t>
      </w:r>
      <w:r w:rsidRPr="003755F0">
        <w:rPr>
          <w:rFonts w:ascii="Times New Roman" w:eastAsia="Calibri" w:hAnsi="Times New Roman" w:cs="Times New Roman"/>
          <w:kern w:val="2"/>
          <w:lang w:val="ru-RU" w:eastAsia="en-US"/>
          <w14:ligatures w14:val="standardContextual"/>
        </w:rPr>
        <w:t>.</w:t>
      </w:r>
    </w:p>
    <w:p w:rsidR="003755F0" w:rsidRPr="003755F0" w:rsidP="003755F0" w14:paraId="59B24666" w14:textId="77777777">
      <w:pPr>
        <w:spacing w:after="0" w:line="240" w:lineRule="auto"/>
        <w:jc w:val="both"/>
        <w:rPr>
          <w:rFonts w:ascii="Times New Roman" w:eastAsia="Calibri" w:hAnsi="Times New Roman" w:cs="Times New Roman"/>
          <w:lang w:val="ru-RU" w:eastAsia="en-US"/>
        </w:rPr>
      </w:pPr>
      <w:hyperlink r:id="rId13" w:history="1">
        <w:r w:rsidRPr="003755F0">
          <w:rPr>
            <w:rFonts w:ascii="Times New Roman" w:eastAsia="Calibri" w:hAnsi="Times New Roman" w:cs="Times New Roman"/>
            <w:color w:val="8E58B6"/>
            <w:u w:val="single"/>
            <w:lang w:eastAsia="en-US"/>
          </w:rPr>
          <w:t>https://profix.brovary-rada.gov.ua/storage/app/media/Про%20місто/Інвестиційний%20паспорт.</w:t>
        </w:r>
        <w:r w:rsidRPr="003755F0">
          <w:rPr>
            <w:rFonts w:ascii="Times New Roman" w:eastAsia="Calibri" w:hAnsi="Times New Roman" w:cs="Times New Roman"/>
            <w:color w:val="8E58B6"/>
            <w:u w:val="single"/>
            <w:lang w:val="en-US" w:eastAsia="en-US"/>
          </w:rPr>
          <w:t>pdf</w:t>
        </w:r>
      </w:hyperlink>
      <w:r w:rsidRPr="003755F0">
        <w:rPr>
          <w:rFonts w:ascii="Times New Roman" w:eastAsia="Calibri" w:hAnsi="Times New Roman" w:cs="Times New Roman"/>
          <w:lang w:val="ru-RU" w:eastAsia="en-US"/>
        </w:rPr>
        <w:t xml:space="preserve">  </w:t>
      </w:r>
    </w:p>
    <w:p w:rsidR="003755F0" w:rsidRPr="003755F0" w:rsidP="003755F0" w14:paraId="2743A07B" w14:textId="77777777">
      <w:pPr>
        <w:spacing w:after="0" w:line="240" w:lineRule="auto"/>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w:t>
      </w:r>
      <w:r w:rsidRPr="003755F0">
        <w:rPr>
          <w:rFonts w:ascii="Times New Roman" w:eastAsia="Calibri" w:hAnsi="Times New Roman" w:cs="Times New Roman"/>
          <w:sz w:val="28"/>
          <w:szCs w:val="28"/>
          <w:lang w:eastAsia="en-US"/>
        </w:rPr>
        <w:tab/>
        <w:t>ТОВ «PERI-Україна» – виробник опалубки та будівельних риштувань;</w:t>
      </w:r>
    </w:p>
    <w:p w:rsidR="003755F0" w:rsidRPr="003755F0" w:rsidP="003755F0" w14:paraId="687057F6" w14:textId="77777777">
      <w:pPr>
        <w:spacing w:after="0" w:line="240" w:lineRule="auto"/>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w:t>
      </w:r>
      <w:r w:rsidRPr="003755F0">
        <w:rPr>
          <w:rFonts w:ascii="Times New Roman" w:eastAsia="Calibri" w:hAnsi="Times New Roman" w:cs="Times New Roman"/>
          <w:sz w:val="28"/>
          <w:szCs w:val="28"/>
          <w:lang w:eastAsia="en-US"/>
        </w:rPr>
        <w:tab/>
        <w:t>ТОВ «КИЇВГУМА» – здійснює виробництво понад 4 тис. найменувань продукції з гуми, латексу,  силікону, ПВХ, ТЕП.</w:t>
      </w:r>
    </w:p>
    <w:p w:rsidR="003755F0" w:rsidRPr="003755F0" w:rsidP="003755F0" w14:paraId="38EB6AEF" w14:textId="77777777">
      <w:pPr>
        <w:spacing w:after="0" w:line="240" w:lineRule="auto"/>
        <w:ind w:firstLine="567"/>
        <w:jc w:val="both"/>
        <w:rPr>
          <w:rFonts w:ascii="Times New Roman" w:eastAsia="Calibri" w:hAnsi="Times New Roman" w:cs="Times New Roman"/>
          <w:sz w:val="28"/>
          <w:szCs w:val="28"/>
          <w:lang w:eastAsia="en-US"/>
        </w:rPr>
      </w:pPr>
      <w:r w:rsidRPr="003755F0">
        <w:rPr>
          <w:rFonts w:ascii="Times New Roman" w:eastAsia="Calibri" w:hAnsi="Times New Roman" w:cs="Times New Roman"/>
          <w:sz w:val="28"/>
          <w:szCs w:val="28"/>
          <w:lang w:eastAsia="en-US"/>
        </w:rPr>
        <w:t xml:space="preserve">У межах територіальної громади функціонують 20 загальноосвітніх, 1 </w:t>
      </w:r>
      <w:r w:rsidRPr="003755F0">
        <w:rPr>
          <w:rFonts w:ascii="Times New Roman" w:eastAsia="Calibri" w:hAnsi="Times New Roman" w:cs="Times New Roman"/>
          <w:sz w:val="28"/>
          <w:szCs w:val="28"/>
          <w:lang w:eastAsia="en-US"/>
        </w:rPr>
        <w:t>передвищий</w:t>
      </w:r>
      <w:r w:rsidRPr="003755F0">
        <w:rPr>
          <w:rFonts w:ascii="Times New Roman" w:eastAsia="Calibri" w:hAnsi="Times New Roman" w:cs="Times New Roman"/>
          <w:sz w:val="28"/>
          <w:szCs w:val="28"/>
          <w:lang w:eastAsia="en-US"/>
        </w:rPr>
        <w:t xml:space="preserve"> та 1 професійно-технічний заклад освіти. Зокрема, Державний професійно-технічний навчальний заклад «Броварський професійний ліцей» щороку випускає 235 фахівців у робітничій сфері: слюсар з ремонту колісних транспортних засобів, електрозварник, монтажник санітарно технічних систем і устаткування, маляр, штукатур, монтажник систем утеплення, кухар-кондитер тощо. </w:t>
      </w:r>
    </w:p>
    <w:p w:rsidR="003755F0" w:rsidRPr="003755F0" w:rsidP="003755F0" w14:paraId="3A722240" w14:textId="77777777">
      <w:pPr>
        <w:spacing w:after="0" w:line="240" w:lineRule="auto"/>
        <w:ind w:firstLine="567"/>
        <w:jc w:val="both"/>
        <w:rPr>
          <w:rFonts w:ascii="Times New Roman" w:eastAsia="Calibri" w:hAnsi="Times New Roman" w:cs="Times New Roman"/>
          <w:color w:val="809EC2"/>
          <w:kern w:val="2"/>
          <w:sz w:val="28"/>
          <w:szCs w:val="28"/>
          <w:lang w:eastAsia="en-US"/>
          <w14:ligatures w14:val="standardContextual"/>
        </w:rPr>
      </w:pPr>
      <w:r w:rsidRPr="003755F0">
        <w:rPr>
          <w:rFonts w:ascii="Times New Roman" w:eastAsia="Calibri" w:hAnsi="Times New Roman" w:cs="Times New Roman"/>
          <w:sz w:val="28"/>
          <w:szCs w:val="28"/>
          <w:lang w:eastAsia="en-US"/>
        </w:rPr>
        <w:t>У першому півріччі 2023 року від роботодавців громади налічувалося 1263 вакансії, з яких 540 було укомплектовано за сприяння центру зайнятості. Кількість зареєстрованих безробітних склала 813 осіб, з них 46 були направлені на стажування, професійне навчання і підвищення кваліфікації.</w:t>
      </w:r>
    </w:p>
    <w:p w:rsidR="003755F0" w:rsidRPr="003755F0" w:rsidP="003755F0" w14:paraId="4798B968" w14:textId="77777777">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10" w:name="_Toc194054628"/>
      <w:r w:rsidRPr="003755F0">
        <w:rPr>
          <w:rFonts w:ascii="Times New Roman" w:eastAsia="Times New Roman" w:hAnsi="Times New Roman" w:cs="Times New Roman"/>
          <w:b/>
          <w:kern w:val="2"/>
          <w:sz w:val="28"/>
          <w:szCs w:val="28"/>
          <w:lang w:eastAsia="en-US"/>
          <w14:ligatures w14:val="standardContextual"/>
        </w:rPr>
        <w:t>Строк, на який створюється індустріальний парк</w:t>
      </w:r>
      <w:bookmarkEnd w:id="10"/>
    </w:p>
    <w:p w:rsidR="003755F0" w:rsidRPr="003755F0" w:rsidP="003755F0" w14:paraId="490DA18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Індустріальний парк «БУДШЛЯХМАШ» створюється на строк 34 роки із дати прийняття рішення ініціатором про створення індустріального парку.</w:t>
      </w:r>
    </w:p>
    <w:p w:rsidR="003755F0" w:rsidRPr="003755F0" w:rsidP="003755F0" w14:paraId="2AFB5EBD" w14:textId="77777777">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11" w:name="_Toc194054629"/>
      <w:r w:rsidRPr="003755F0">
        <w:rPr>
          <w:rFonts w:ascii="Times New Roman" w:eastAsia="Times New Roman" w:hAnsi="Times New Roman" w:cs="Times New Roman"/>
          <w:b/>
          <w:kern w:val="2"/>
          <w:sz w:val="28"/>
          <w:szCs w:val="28"/>
          <w:lang w:eastAsia="en-US"/>
          <w14:ligatures w14:val="standardContextual"/>
        </w:rPr>
        <w:t>Вимоги до учасників індустріального парку</w:t>
      </w:r>
      <w:bookmarkEnd w:id="11"/>
    </w:p>
    <w:p w:rsidR="003755F0" w:rsidRPr="003755F0" w:rsidP="003755F0" w14:paraId="086E3B3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Відповідно до пункту 8 частини 1 статті 1 Закону України «Про індустріальні парки», учасник індустріального парку – це суб’єкт господарювання будь-якої форми власності, зареєстрований на території (в межах) індустріального парку, який згідно із законодавством:</w:t>
      </w:r>
    </w:p>
    <w:p w:rsidR="003755F0" w:rsidRPr="003755F0" w:rsidP="003755F0" w14:paraId="07E1D265"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набув право на земельну ділянку та/або інший об’єкт (частину об’єкта) нерухомого майна у межах індустріального парку;</w:t>
      </w:r>
    </w:p>
    <w:p w:rsidR="003755F0" w:rsidRPr="003755F0" w:rsidP="003755F0" w14:paraId="7D512F60"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w:t>
      </w:r>
    </w:p>
    <w:p w:rsidR="003755F0" w:rsidRPr="003755F0" w:rsidP="003755F0" w14:paraId="2E93690B"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здійснює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на території (в межах) індустріального парку.</w:t>
      </w:r>
    </w:p>
    <w:p w:rsidR="003755F0" w:rsidRPr="003755F0" w:rsidP="003755F0" w14:paraId="6831858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Перелік об’єктів, які допускаються до розміщення в межах індустріального парку: </w:t>
      </w:r>
    </w:p>
    <w:p w:rsidR="003755F0" w:rsidRPr="003755F0" w:rsidP="003755F0" w14:paraId="4EDBED79"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виробничі об’єкти;</w:t>
      </w:r>
    </w:p>
    <w:p w:rsidR="003755F0" w:rsidRPr="003755F0" w:rsidP="003755F0" w14:paraId="66321099"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складські об’єкти;</w:t>
      </w:r>
    </w:p>
    <w:p w:rsidR="003755F0" w:rsidRPr="003755F0" w:rsidP="003755F0" w14:paraId="29B3AF06"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інженерні будівлі та споруди; </w:t>
      </w:r>
    </w:p>
    <w:p w:rsidR="003755F0" w:rsidRPr="003755F0" w:rsidP="003755F0" w14:paraId="6D4E532B"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об’єкти логістичної інфраструктури;</w:t>
      </w:r>
    </w:p>
    <w:p w:rsidR="003755F0" w:rsidRPr="003755F0" w:rsidP="003755F0" w14:paraId="70D9783A"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офіси, фінансові установи, об’єкти маркетингу та реклами; </w:t>
      </w:r>
    </w:p>
    <w:p w:rsidR="003755F0" w:rsidRPr="003755F0" w:rsidP="003755F0" w14:paraId="61E64094"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наукові парки, акселератори, лабораторії з розвитку інноваційних технологій; </w:t>
      </w:r>
    </w:p>
    <w:p w:rsidR="003755F0" w:rsidRPr="003755F0" w:rsidP="003755F0" w14:paraId="5948632D"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багатоцільові зали для презентації продукції та проведення офіційних заходів;</w:t>
      </w:r>
    </w:p>
    <w:p w:rsidR="003755F0" w:rsidRPr="003755F0" w:rsidP="003755F0" w14:paraId="4911A763" w14:textId="77777777">
      <w:pPr>
        <w:numPr>
          <w:ilvl w:val="0"/>
          <w:numId w:val="5"/>
        </w:numPr>
        <w:tabs>
          <w:tab w:val="num" w:pos="1276"/>
        </w:tabs>
        <w:spacing w:after="0" w:line="240" w:lineRule="auto"/>
        <w:ind w:left="1134"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об’єкти поводження з відходами.</w:t>
      </w:r>
    </w:p>
    <w:p w:rsidR="003755F0" w:rsidRPr="003755F0" w:rsidP="003755F0" w14:paraId="454F6C5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Суб’єкт господарювання набуває статусу учасника при дотриманні наступних умов:</w:t>
      </w:r>
    </w:p>
    <w:p w:rsidR="003755F0" w:rsidRPr="003755F0" w:rsidP="003755F0" w14:paraId="12FC0440"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укладений договір із керуючою компанією про здійснення господарської діяльності в межах індустріального парку; </w:t>
      </w:r>
    </w:p>
    <w:p w:rsidR="003755F0" w:rsidRPr="003755F0" w:rsidP="003755F0" w14:paraId="693BB907"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набуття права на земельну ділянку на підставах та в порядку, встановленому земельним законодавством України, та/або на інший об’єкт (частину об’єкта) нерухомого майна у межах індустріального парку; </w:t>
      </w:r>
    </w:p>
    <w:p w:rsidR="003755F0" w:rsidRPr="003755F0" w:rsidP="003755F0" w14:paraId="33364112"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підприємство учасника індустріального парку обов’язково повинно бути зареєстровано на території (в межах) індустріального парку.</w:t>
      </w:r>
    </w:p>
    <w:p w:rsidR="003755F0" w:rsidRPr="003755F0" w:rsidP="003755F0" w14:paraId="436B2F39"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Основним критерієм відбору учасників індустріального парку є відповідність вимогам його функціонального призначення. Зокрема, пріоритет надаватиметься підприємствам, які:</w:t>
      </w:r>
    </w:p>
    <w:p w:rsidR="003755F0" w:rsidRPr="003755F0" w:rsidP="003755F0" w14:paraId="01FF75D4"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працюють у секторі машинобудування та споріднених напрямках,</w:t>
      </w:r>
    </w:p>
    <w:p w:rsidR="003755F0" w:rsidRPr="003755F0" w:rsidP="003755F0" w14:paraId="4057EA82" w14:textId="77777777">
      <w:pPr>
        <w:numPr>
          <w:ilvl w:val="0"/>
          <w:numId w:val="9"/>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впроваджують інноваційні рішення.</w:t>
      </w:r>
    </w:p>
    <w:p w:rsidR="003755F0" w:rsidRPr="003755F0" w:rsidP="003755F0" w14:paraId="07CC425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Перевага при розміщенні надаватиметься компаніям, що спеціалізуються на таких видах діяльності:</w:t>
      </w:r>
    </w:p>
    <w:p w:rsidR="003755F0" w:rsidRPr="003755F0" w:rsidP="003755F0" w14:paraId="4218D3AD" w14:textId="77777777">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виробництво машин і устаткування загального призначення;</w:t>
      </w:r>
    </w:p>
    <w:p w:rsidR="003755F0" w:rsidRPr="003755F0" w:rsidP="003755F0" w14:paraId="4D7D5ACE" w14:textId="77777777">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надання послуг з ремонту і технічного обслуговування машин і устаткування;</w:t>
      </w:r>
    </w:p>
    <w:p w:rsidR="003755F0" w:rsidRPr="003755F0" w:rsidP="003755F0" w14:paraId="5D116B33" w14:textId="77777777">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виробництво автотранспортних засобів, кузовів, вузлів, деталей і приладдя до них;</w:t>
      </w:r>
    </w:p>
    <w:p w:rsidR="003755F0" w:rsidRPr="003755F0" w:rsidP="003755F0" w14:paraId="004A5F9E" w14:textId="77777777">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транспортно-логістичні послуги;</w:t>
      </w:r>
    </w:p>
    <w:p w:rsidR="003755F0" w:rsidRPr="003755F0" w:rsidP="003755F0" w14:paraId="4042ECF1" w14:textId="77777777">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складське господарство;</w:t>
      </w:r>
    </w:p>
    <w:p w:rsidR="003755F0" w:rsidRPr="003755F0" w:rsidP="003755F0" w14:paraId="6288AA66" w14:textId="77777777">
      <w:pPr>
        <w:numPr>
          <w:ilvl w:val="0"/>
          <w:numId w:val="5"/>
        </w:numPr>
        <w:tabs>
          <w:tab w:val="num" w:pos="993"/>
        </w:tabs>
        <w:spacing w:after="0" w:line="240" w:lineRule="auto"/>
        <w:ind w:left="709" w:hanging="283"/>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науково-технічна діяльність.</w:t>
      </w:r>
    </w:p>
    <w:p w:rsidR="003755F0" w:rsidRPr="003755F0" w:rsidP="003755F0" w14:paraId="2FFDF2E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Вимоги до учасників індустріального парку встановлюються договором про здійснення господарської діяльності у межах парку, що укладається учасниками з керуючою компанією відповідно до ст. 28 Закону України «Про індустріальні парки».</w:t>
      </w:r>
    </w:p>
    <w:p w:rsidR="003755F0" w:rsidRPr="003755F0" w:rsidP="003755F0" w14:paraId="3C5C7EA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Крім основних вимог щодо функціонального призначення і спеціалізації індустріального парку, договори з учасниками передбачатимуть такі додаткові умови:</w:t>
      </w:r>
    </w:p>
    <w:p w:rsidR="003755F0" w:rsidRPr="003755F0" w:rsidP="003755F0" w14:paraId="4374AF3B"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надання п’ятирічного плану розвитку підприємства з обґрунтуванням соціально-економічного ефекту від реалізації інвестиційного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6E7331F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пріоритетне працевлаштування громадян України, зокрема мешканців Броварської міської територіальної громади і прилеглих районів;</w:t>
      </w:r>
    </w:p>
    <w:p w:rsidR="003755F0" w:rsidRPr="003755F0" w:rsidP="003755F0" w14:paraId="5451A2A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неухильне дотримання вимог українського законодавства у податковій, екологічній, трудовій та інших сферах;</w:t>
      </w:r>
    </w:p>
    <w:p w:rsidR="003755F0" w:rsidRPr="003755F0" w:rsidP="003755F0" w14:paraId="5AD9E8A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піврічна та річна звітність перед керуючою компанією про виконання умов договору;</w:t>
      </w:r>
    </w:p>
    <w:p w:rsidR="003755F0" w:rsidRPr="003755F0" w:rsidP="003755F0" w14:paraId="74BF8F3B"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заборона на передачу прав та обов’язків за договором третім особам.</w:t>
      </w:r>
    </w:p>
    <w:p w:rsidR="003755F0" w:rsidRPr="003755F0" w:rsidP="003755F0" w14:paraId="73E6C39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При відборі учасників пріоритет надаватиметься підприємствам, які дотримуються принципів екологічно відповідального виробництва, забезпечують безпечні умови праці, активно впроваджують інновації та систематично працюють над підвищенням продуктивності та якості продукції.</w:t>
      </w:r>
    </w:p>
    <w:p w:rsidR="003755F0" w:rsidP="003755F0" w14:paraId="76EA6D1D" w14:textId="18009DE6">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Відповідно до частини 2 статті 7 Закону України «Про індустріальні парки» зі змінами, внесеними згідно із Законом України від 21.06.2022 р. №2330-IX, учасниками або іншими суб'єктами індустріального парку не можуть бути суб'єкти господарювання будь-якої форми власності, створені фізичними особами – громадянами держави, визнаної Верховною Радою України державою-агресором або державою- 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застосовано санкції відповідно до законодавства України або міжнародного права, є юридичними особами - власниками 10 відсотків і більше акцій (часток) та/або кінцевим </w:t>
      </w:r>
      <w:r w:rsidRPr="003755F0">
        <w:rPr>
          <w:rFonts w:ascii="Times New Roman" w:eastAsia="Calibri" w:hAnsi="Times New Roman" w:cs="Times New Roman"/>
          <w:kern w:val="2"/>
          <w:sz w:val="28"/>
          <w:szCs w:val="28"/>
          <w:lang w:eastAsia="en-US"/>
          <w14:ligatures w14:val="standardContextual"/>
        </w:rPr>
        <w:t>бенефіціарним</w:t>
      </w:r>
      <w:r w:rsidRPr="003755F0">
        <w:rPr>
          <w:rFonts w:ascii="Times New Roman" w:eastAsia="Calibri" w:hAnsi="Times New Roman" w:cs="Times New Roman"/>
          <w:kern w:val="2"/>
          <w:sz w:val="28"/>
          <w:szCs w:val="28"/>
          <w:lang w:eastAsia="en-US"/>
          <w14:ligatures w14:val="standardContextual"/>
        </w:rPr>
        <w:t xml:space="preserve">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державою-агресором або державою-окупантом, та/або суб'єктами господарювання, що пов'язані економічними зв'язками з державою- агресором у розумінні Податкового кодексу України.</w:t>
      </w:r>
    </w:p>
    <w:p w:rsidR="003755F0" w:rsidRPr="003755F0" w:rsidP="003755F0" w14:paraId="6AB638A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89B5F8F" w14:textId="5CDCA707">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12" w:name="_Toc194054630"/>
      <w:r w:rsidRPr="003755F0">
        <w:rPr>
          <w:rFonts w:ascii="Times New Roman" w:eastAsia="Times New Roman" w:hAnsi="Times New Roman" w:cs="Times New Roman"/>
          <w:b/>
          <w:kern w:val="2"/>
          <w:sz w:val="28"/>
          <w:szCs w:val="28"/>
          <w:lang w:eastAsia="en-US"/>
          <w14:ligatures w14:val="standardContextual"/>
        </w:rPr>
        <w:t>Інформація про орієнтовні сумарні обсяги споживання енергоресурсів, води тощо, а також про необхідну інженерно-транспортну інфраструктуру та план забезпечення відповідними ресурсами індустріального парку</w:t>
      </w:r>
      <w:bookmarkEnd w:id="12"/>
    </w:p>
    <w:p w:rsidR="003755F0" w:rsidRPr="003755F0" w:rsidP="003755F0" w14:paraId="0BADD80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Облаштування індустріального парку вимагає створення розвиненої інфраструктури, зокрема забезпечення електропостачанням, водопостачанням, водовідведенням та газопостачанням. Для цього необхідно попередньо оцінити рівень споживання цих ресурсів. Наведені нижче показники потреб у енергоносіях базуються на узагальнених даних і є орієнтовними, оскільки остаточні обсяги споживання залежатимуть від конкретних вимог майбутніх учасників парку.</w:t>
      </w:r>
    </w:p>
    <w:p w:rsidR="003755F0" w:rsidRPr="003755F0" w:rsidP="003755F0" w14:paraId="2746422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Точні обсяги ресурсів будуть визначені на етапі розроблення </w:t>
      </w:r>
      <w:r w:rsidRPr="003755F0">
        <w:rPr>
          <w:rFonts w:ascii="Times New Roman" w:eastAsia="Calibri" w:hAnsi="Times New Roman" w:cs="Times New Roman"/>
          <w:kern w:val="2"/>
          <w:sz w:val="28"/>
          <w:szCs w:val="28"/>
          <w:lang w:eastAsia="en-US"/>
          <w14:ligatures w14:val="standardContextual"/>
        </w:rPr>
        <w:t>проєктно</w:t>
      </w:r>
      <w:r w:rsidRPr="003755F0">
        <w:rPr>
          <w:rFonts w:ascii="Times New Roman" w:eastAsia="Calibri" w:hAnsi="Times New Roman" w:cs="Times New Roman"/>
          <w:kern w:val="2"/>
          <w:sz w:val="28"/>
          <w:szCs w:val="28"/>
          <w:lang w:eastAsia="en-US"/>
          <w14:ligatures w14:val="standardContextual"/>
        </w:rPr>
        <w:t>-кошторисної документації та під час будівництва інженерних мереж та технічної інфраструктури парку.</w:t>
      </w:r>
    </w:p>
    <w:p w:rsidR="003755F0" w:rsidRPr="003755F0" w:rsidP="003755F0" w14:paraId="4D651E1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Орієнтовні показники, подані нижче, розраховано на основі попередніх оцінок з урахуванням галузевої спеціалізації парку, а також враховано наявні запити потенційних учасників та досвід функціонування аналогічних підприємств в інших індустріальних парках.</w:t>
      </w:r>
    </w:p>
    <w:p w:rsidR="003755F0" w:rsidRPr="003755F0" w:rsidP="003755F0" w14:paraId="3B41757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При оцінці орієнтовних сумарних потреб індустріального парку «БУДШЛЯХМАШ» у ресурсах використано наступний методологічний підхід:</w:t>
      </w:r>
    </w:p>
    <w:p w:rsidR="003755F0" w:rsidRPr="003755F0" w:rsidP="003755F0" w14:paraId="59430BEC" w14:textId="77777777">
      <w:pPr>
        <w:tabs>
          <w:tab w:val="left" w:pos="851"/>
        </w:tabs>
        <w:spacing w:after="0" w:line="240" w:lineRule="auto"/>
        <w:ind w:firstLine="567"/>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i/>
                <w:kern w:val="2"/>
                <w:sz w:val="28"/>
                <w:szCs w:val="28"/>
                <w:lang w:eastAsia="en-US"/>
                <w14:ligatures w14:val="standardContextual"/>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=S∙</m:t>
        </m:r>
        <m:sSub>
          <m:sSubPr>
            <m:ctrlPr>
              <w:rPr>
                <w:rFonts w:ascii="Cambria Math" w:eastAsia="Times New Roman" w:hAnsi="Cambria Math" w:cs="Times New Roman"/>
                <w:i/>
                <w:kern w:val="2"/>
                <w:sz w:val="28"/>
                <w:szCs w:val="28"/>
                <w:lang w:eastAsia="en-US"/>
                <w14:ligatures w14:val="standardContextual"/>
              </w:rPr>
            </m:ctrlPr>
          </m:sSubPr>
          <m:e>
            <m:r>
              <w:rPr>
                <w:rFonts w:ascii="Cambria Math" w:eastAsia="Times New Roman" w:hAnsi="Cambria Math" w:cs="Times New Roman"/>
                <w:sz w:val="28"/>
                <w:szCs w:val="28"/>
              </w:rPr>
              <m:t>d</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∙T∙P∙</m:t>
        </m:r>
        <m:sSub>
          <m:sSubPr>
            <m:ctrlPr>
              <w:rPr>
                <w:rFonts w:ascii="Cambria Math" w:eastAsia="Times New Roman" w:hAnsi="Cambria Math" w:cs="Times New Roman"/>
                <w:i/>
                <w:kern w:val="2"/>
                <w:sz w:val="28"/>
                <w:szCs w:val="28"/>
                <w:lang w:eastAsia="en-US"/>
                <w14:ligatures w14:val="standardContextual"/>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e</m:t>
            </m:r>
          </m:sub>
        </m:sSub>
      </m:oMath>
      <w:r w:rsidRPr="003755F0">
        <w:rPr>
          <w:rFonts w:ascii="Times New Roman" w:eastAsia="Times New Roman" w:hAnsi="Times New Roman" w:cs="Times New Roman"/>
          <w:sz w:val="28"/>
          <w:szCs w:val="28"/>
        </w:rPr>
        <w:t xml:space="preserve"> ,</w:t>
      </w:r>
    </w:p>
    <w:p w:rsidR="003755F0" w:rsidRPr="003755F0" w:rsidP="003755F0" w14:paraId="7C2D4C73" w14:textId="77777777">
      <w:p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де: </w:t>
      </w:r>
      <w:r w:rsidRPr="003755F0">
        <w:rPr>
          <w:rFonts w:ascii="Times New Roman" w:eastAsia="Times New Roman" w:hAnsi="Times New Roman" w:cs="Times New Roman"/>
          <w:sz w:val="28"/>
          <w:szCs w:val="28"/>
        </w:rPr>
        <w:t>Q</w:t>
      </w:r>
      <w:r w:rsidRPr="003755F0">
        <w:rPr>
          <w:rFonts w:ascii="Times New Roman" w:eastAsia="Times New Roman" w:hAnsi="Times New Roman" w:cs="Times New Roman"/>
          <w:sz w:val="28"/>
          <w:szCs w:val="28"/>
          <w:vertAlign w:val="subscript"/>
        </w:rPr>
        <w:t>i</w:t>
      </w:r>
      <w:r w:rsidRPr="003755F0">
        <w:rPr>
          <w:rFonts w:ascii="Times New Roman" w:eastAsia="Times New Roman" w:hAnsi="Times New Roman" w:cs="Times New Roman"/>
          <w:sz w:val="28"/>
          <w:szCs w:val="28"/>
        </w:rPr>
        <w:t xml:space="preserve"> – очікувана потреба індустріального парку в і-му ресурсі на рік;</w:t>
      </w:r>
    </w:p>
    <w:p w:rsidR="003755F0" w:rsidRPr="003755F0" w:rsidP="003755F0" w14:paraId="70DAD14F" w14:textId="77777777">
      <w:p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S – площа ділянки, га;</w:t>
      </w:r>
    </w:p>
    <w:p w:rsidR="003755F0" w:rsidRPr="003755F0" w:rsidP="003755F0" w14:paraId="159CB585" w14:textId="77777777">
      <w:p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К</w:t>
      </w:r>
      <w:r w:rsidRPr="003755F0">
        <w:rPr>
          <w:rFonts w:ascii="Times New Roman" w:eastAsia="Times New Roman" w:hAnsi="Times New Roman" w:cs="Times New Roman"/>
          <w:sz w:val="28"/>
          <w:szCs w:val="28"/>
          <w:vertAlign w:val="subscript"/>
        </w:rPr>
        <w:t>е</w:t>
      </w:r>
      <w:r w:rsidRPr="003755F0">
        <w:rPr>
          <w:rFonts w:ascii="Times New Roman" w:eastAsia="Times New Roman" w:hAnsi="Times New Roman" w:cs="Times New Roman"/>
          <w:sz w:val="28"/>
          <w:szCs w:val="28"/>
        </w:rPr>
        <w:t xml:space="preserve"> – коефіцієнт корекції гнучкості (витрати на непередбачувані потреби).</w:t>
      </w:r>
    </w:p>
    <w:p w:rsidR="003755F0" w:rsidRPr="003755F0" w:rsidP="003755F0" w14:paraId="37EC5F7F" w14:textId="77777777">
      <w:p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d</w:t>
      </w:r>
      <w:r w:rsidRPr="003755F0">
        <w:rPr>
          <w:rFonts w:ascii="Times New Roman" w:eastAsia="Times New Roman" w:hAnsi="Times New Roman" w:cs="Times New Roman"/>
          <w:sz w:val="28"/>
          <w:szCs w:val="28"/>
          <w:vertAlign w:val="subscript"/>
        </w:rPr>
        <w:t>і</w:t>
      </w:r>
      <w:r w:rsidRPr="003755F0">
        <w:rPr>
          <w:rFonts w:ascii="Times New Roman" w:eastAsia="Times New Roman" w:hAnsi="Times New Roman" w:cs="Times New Roman"/>
          <w:sz w:val="28"/>
          <w:szCs w:val="28"/>
        </w:rPr>
        <w:t xml:space="preserve"> – середнє очікуване споживання ресурсу на 1 га в годину;</w:t>
      </w:r>
    </w:p>
    <w:p w:rsidR="003755F0" w:rsidRPr="003755F0" w:rsidP="003755F0" w14:paraId="02185D1D" w14:textId="77777777">
      <w:p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Т – кількість робочих годин;</w:t>
      </w:r>
    </w:p>
    <w:p w:rsidR="003755F0" w:rsidRPr="003755F0" w:rsidP="003755F0" w14:paraId="7BB8CA11" w14:textId="77777777">
      <w:pPr>
        <w:tabs>
          <w:tab w:val="left" w:pos="851"/>
        </w:tabs>
        <w:spacing w:after="12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Р – кількість робочих днів.</w:t>
      </w:r>
    </w:p>
    <w:p w:rsidR="003755F0" w:rsidRPr="003755F0" w:rsidP="003755F0" w14:paraId="7B2CF8A4" w14:textId="77777777">
      <w:pPr>
        <w:spacing w:after="0" w:line="240" w:lineRule="auto"/>
        <w:rPr>
          <w:rFonts w:ascii="Times New Roman" w:eastAsia="Times New Roman" w:hAnsi="Times New Roman" w:cs="Times New Roman"/>
          <w:b/>
          <w:sz w:val="28"/>
          <w:szCs w:val="28"/>
        </w:rPr>
      </w:pPr>
    </w:p>
    <w:p w:rsidR="003755F0" w:rsidRPr="003755F0" w:rsidP="003755F0" w14:paraId="074BB646" w14:textId="77777777">
      <w:pPr>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Електропостачання</w:t>
      </w:r>
    </w:p>
    <w:p w:rsidR="003755F0" w:rsidRPr="003755F0" w:rsidP="003755F0" w14:paraId="7E9C574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Електропостачання індустріального парку планується здійснювати від існуючих мереж середньої напруги (6–10 кВ) із подальшим розподілом електроенергії на рівні 380/220 В через трансформаторні підстанції. Для забезпечення стабільної роботи виробничих </w:t>
      </w:r>
      <w:r w:rsidRPr="003755F0">
        <w:rPr>
          <w:rFonts w:ascii="Times New Roman" w:eastAsia="Calibri" w:hAnsi="Times New Roman" w:cs="Times New Roman"/>
          <w:kern w:val="2"/>
          <w:sz w:val="28"/>
          <w:szCs w:val="28"/>
          <w:lang w:eastAsia="en-US"/>
          <w14:ligatures w14:val="standardContextual"/>
        </w:rPr>
        <w:t>потужностей</w:t>
      </w:r>
      <w:r w:rsidRPr="003755F0">
        <w:rPr>
          <w:rFonts w:ascii="Times New Roman" w:eastAsia="Calibri" w:hAnsi="Times New Roman" w:cs="Times New Roman"/>
          <w:kern w:val="2"/>
          <w:sz w:val="28"/>
          <w:szCs w:val="28"/>
          <w:lang w:eastAsia="en-US"/>
          <w14:ligatures w14:val="standardContextual"/>
        </w:rPr>
        <w:t xml:space="preserve"> передбачено будівництво трансформаторної підстанції. Таке технічне рішення дозволить покрити всі потреби учасників парку, враховуючи, що кожне підприємство матиме індивідуальні вимоги до електроспоживання.</w:t>
      </w:r>
    </w:p>
    <w:p w:rsidR="003755F0" w:rsidRPr="003755F0" w:rsidP="003755F0" w14:paraId="4ECDDD7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Обсяги споживання електроенергії можуть суттєво відрізнятися залежно від типу виробництва: від 200 кВт*год. встановленої потужності для малих і середніх підприємств до 920 кВт*год. для більших промислових об’єктів. Пікові навантаження також змінюватимуться залежно від специфіки діяльності та застосовуваних технологічних процесів.</w:t>
      </w:r>
    </w:p>
    <w:p w:rsidR="003755F0" w:rsidRPr="003755F0" w:rsidP="003755F0" w14:paraId="4AB61CE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Проєктування</w:t>
      </w:r>
      <w:r w:rsidRPr="003755F0">
        <w:rPr>
          <w:rFonts w:ascii="Times New Roman" w:eastAsia="Calibri" w:hAnsi="Times New Roman" w:cs="Times New Roman"/>
          <w:kern w:val="2"/>
          <w:sz w:val="28"/>
          <w:szCs w:val="28"/>
          <w:lang w:eastAsia="en-US"/>
          <w14:ligatures w14:val="standardContextual"/>
        </w:rPr>
        <w:t xml:space="preserve"> та підключення трансформаторних підстанцій здійснюватиметься згідно з технічними умовами, які надаватиме електропередавальна організація, і завдань на розробку </w:t>
      </w:r>
      <w:r w:rsidRPr="003755F0">
        <w:rPr>
          <w:rFonts w:ascii="Times New Roman" w:eastAsia="Calibri" w:hAnsi="Times New Roman" w:cs="Times New Roman"/>
          <w:kern w:val="2"/>
          <w:sz w:val="28"/>
          <w:szCs w:val="28"/>
          <w:lang w:eastAsia="en-US"/>
          <w14:ligatures w14:val="standardContextual"/>
        </w:rPr>
        <w:t>проєктної</w:t>
      </w:r>
      <w:r w:rsidRPr="003755F0">
        <w:rPr>
          <w:rFonts w:ascii="Times New Roman" w:eastAsia="Calibri" w:hAnsi="Times New Roman" w:cs="Times New Roman"/>
          <w:kern w:val="2"/>
          <w:sz w:val="28"/>
          <w:szCs w:val="28"/>
          <w:lang w:eastAsia="en-US"/>
          <w14:ligatures w14:val="standardContextual"/>
        </w:rPr>
        <w:t xml:space="preserve"> документації. Виконання цих робіт передбачено на наступних етапах </w:t>
      </w:r>
      <w:r w:rsidRPr="003755F0">
        <w:rPr>
          <w:rFonts w:ascii="Times New Roman" w:eastAsia="Calibri" w:hAnsi="Times New Roman" w:cs="Times New Roman"/>
          <w:kern w:val="2"/>
          <w:sz w:val="28"/>
          <w:szCs w:val="28"/>
          <w:lang w:eastAsia="en-US"/>
          <w14:ligatures w14:val="standardContextual"/>
        </w:rPr>
        <w:t>проєктування</w:t>
      </w:r>
      <w:r w:rsidRPr="003755F0">
        <w:rPr>
          <w:rFonts w:ascii="Times New Roman" w:eastAsia="Calibri" w:hAnsi="Times New Roman" w:cs="Times New Roman"/>
          <w:kern w:val="2"/>
          <w:sz w:val="28"/>
          <w:szCs w:val="28"/>
          <w:lang w:eastAsia="en-US"/>
          <w14:ligatures w14:val="standardContextual"/>
        </w:rPr>
        <w:t xml:space="preserve"> з урахуванням конкретних вимог кожного учасника парку.</w:t>
      </w:r>
    </w:p>
    <w:p w:rsidR="003755F0" w:rsidRPr="003755F0" w:rsidP="003755F0" w14:paraId="4780DC95"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 попередніми розрахунками, орієнтовна потреба в електроенергії для всього індустріального парку становитиме близько 1 МВт. Крім того, для забезпечення безперебійної роботи критично важливих об’єктів передбачено резервне живлення потужністю не менше ніж 500 кВт.</w:t>
      </w:r>
    </w:p>
    <w:p w:rsidR="003755F0" w:rsidRPr="003755F0" w:rsidP="003755F0" w14:paraId="359B1F3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Додаткові питання, пов’язані з електропостачанням території ІП, включаючи оптимізацію навантажень, підвищення енергоефективності та впровадження альтернативних джерел енергії, будуть детально опрацьовані при розробленні </w:t>
      </w:r>
      <w:r w:rsidRPr="003755F0">
        <w:rPr>
          <w:rFonts w:ascii="Times New Roman" w:eastAsia="Calibri" w:hAnsi="Times New Roman" w:cs="Times New Roman"/>
          <w:kern w:val="2"/>
          <w:sz w:val="28"/>
          <w:szCs w:val="28"/>
          <w:lang w:eastAsia="en-US"/>
          <w14:ligatures w14:val="standardContextual"/>
        </w:rPr>
        <w:t>проєктно</w:t>
      </w:r>
      <w:r w:rsidRPr="003755F0">
        <w:rPr>
          <w:rFonts w:ascii="Times New Roman" w:eastAsia="Calibri" w:hAnsi="Times New Roman" w:cs="Times New Roman"/>
          <w:kern w:val="2"/>
          <w:sz w:val="28"/>
          <w:szCs w:val="28"/>
          <w:lang w:eastAsia="en-US"/>
          <w14:ligatures w14:val="standardContextual"/>
        </w:rPr>
        <w:t>-кошторисної документації. На цьому етапі також планується співпраця з енергопостачальними компаніями для узгодження технічних рішень, забезпечення надійного і безперебійного електропоста</w:t>
      </w:r>
      <w:r w:rsidRPr="003755F0">
        <w:rPr>
          <w:rFonts w:ascii="Times New Roman" w:eastAsia="Calibri" w:hAnsi="Times New Roman" w:cs="Times New Roman"/>
          <w:kern w:val="2"/>
          <w:sz w:val="28"/>
          <w:szCs w:val="28"/>
          <w:lang w:eastAsia="en-US"/>
          <w14:ligatures w14:val="standardContextual"/>
        </w:rPr>
        <w:softHyphen/>
        <w:t>чання. Це дозволить не лише задовольнити поточні потреби підприємств, але й створити умови для їх подальшого розвитку та масштабування виробництва.</w:t>
      </w:r>
    </w:p>
    <w:p w:rsidR="003755F0" w:rsidRPr="003755F0" w:rsidP="003755F0" w14:paraId="1B0947B7" w14:textId="77777777">
      <w:pPr>
        <w:spacing w:after="0" w:line="240" w:lineRule="auto"/>
        <w:jc w:val="both"/>
        <w:rPr>
          <w:rFonts w:ascii="Times New Roman" w:eastAsia="Calibri" w:hAnsi="Times New Roman" w:cs="Times New Roman"/>
          <w:kern w:val="2"/>
          <w:sz w:val="28"/>
          <w:szCs w:val="28"/>
          <w:lang w:val="ru-RU" w:eastAsia="en-US"/>
          <w14:ligatures w14:val="standardContextual"/>
        </w:rPr>
      </w:pPr>
    </w:p>
    <w:p w:rsidR="003755F0" w:rsidRPr="003755F0" w:rsidP="003755F0" w14:paraId="4E10FCF0" w14:textId="77777777">
      <w:pPr>
        <w:spacing w:after="0" w:line="240" w:lineRule="auto"/>
        <w:jc w:val="center"/>
        <w:rPr>
          <w:rFonts w:ascii="Times New Roman" w:eastAsia="Calibri" w:hAnsi="Times New Roman" w:cs="Times New Roman"/>
          <w:b/>
          <w:bCs/>
          <w:color w:val="0070C0"/>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Водопостачання</w:t>
      </w:r>
    </w:p>
    <w:p w:rsidR="003755F0" w:rsidRPr="003755F0" w:rsidP="003755F0" w14:paraId="7CC46BA2" w14:textId="77777777">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3755F0">
        <w:rPr>
          <w:rFonts w:ascii="Times New Roman" w:eastAsia="Calibri" w:hAnsi="Times New Roman" w:cs="Times New Roman"/>
          <w:color w:val="000000"/>
          <w:kern w:val="2"/>
          <w:sz w:val="28"/>
          <w:szCs w:val="28"/>
          <w:lang w:eastAsia="en-US"/>
          <w14:ligatures w14:val="standardContextual"/>
        </w:rPr>
        <w:t xml:space="preserve">Потреба у питному водопостачанні та води на промислові потреби забезпечується через підключення до </w:t>
      </w:r>
      <w:r w:rsidRPr="003755F0">
        <w:rPr>
          <w:rFonts w:ascii="Times New Roman" w:eastAsia="Calibri" w:hAnsi="Times New Roman" w:cs="Times New Roman"/>
          <w:color w:val="000000"/>
          <w:kern w:val="2"/>
          <w:sz w:val="28"/>
          <w:szCs w:val="28"/>
          <w:lang w:eastAsia="en-US"/>
          <w14:ligatures w14:val="standardContextual"/>
        </w:rPr>
        <w:t>проєктованого</w:t>
      </w:r>
      <w:r w:rsidRPr="003755F0">
        <w:rPr>
          <w:rFonts w:ascii="Times New Roman" w:eastAsia="Calibri" w:hAnsi="Times New Roman" w:cs="Times New Roman"/>
          <w:color w:val="000000"/>
          <w:kern w:val="2"/>
          <w:sz w:val="28"/>
          <w:szCs w:val="28"/>
          <w:lang w:eastAsia="en-US"/>
          <w14:ligatures w14:val="standardContextual"/>
        </w:rPr>
        <w:t xml:space="preserve"> водопроводу. </w:t>
      </w:r>
      <w:r w:rsidRPr="003755F0">
        <w:rPr>
          <w:rFonts w:ascii="Times New Roman" w:eastAsia="Calibri" w:hAnsi="Times New Roman" w:cs="Times New Roman"/>
          <w:color w:val="000000"/>
          <w:kern w:val="2"/>
          <w:sz w:val="28"/>
          <w:szCs w:val="28"/>
          <w:lang w:eastAsia="en-US"/>
          <w14:ligatures w14:val="standardContextual"/>
        </w:rPr>
        <w:t xml:space="preserve">Водопровідна мережа </w:t>
      </w:r>
      <w:r w:rsidRPr="003755F0">
        <w:rPr>
          <w:rFonts w:ascii="Times New Roman" w:eastAsia="Calibri" w:hAnsi="Times New Roman" w:cs="Times New Roman"/>
          <w:color w:val="000000"/>
          <w:kern w:val="2"/>
          <w:sz w:val="28"/>
          <w:szCs w:val="28"/>
          <w:lang w:eastAsia="en-US"/>
          <w14:ligatures w14:val="standardContextual"/>
        </w:rPr>
        <w:t>проєктується</w:t>
      </w:r>
      <w:r w:rsidRPr="003755F0">
        <w:rPr>
          <w:rFonts w:ascii="Times New Roman" w:eastAsia="Calibri" w:hAnsi="Times New Roman" w:cs="Times New Roman"/>
          <w:color w:val="000000"/>
          <w:kern w:val="2"/>
          <w:sz w:val="28"/>
          <w:szCs w:val="28"/>
          <w:lang w:eastAsia="en-US"/>
          <w14:ligatures w14:val="standardContextual"/>
        </w:rPr>
        <w:t xml:space="preserve"> з металевих і поліетиленових водопровідних труб згідно з ДСТУ Б,В,2.7-151-2008. Діаметр </w:t>
      </w:r>
      <w:r w:rsidRPr="003755F0">
        <w:rPr>
          <w:rFonts w:ascii="Times New Roman" w:eastAsia="Calibri" w:hAnsi="Times New Roman" w:cs="Times New Roman"/>
          <w:color w:val="000000"/>
          <w:kern w:val="2"/>
          <w:sz w:val="28"/>
          <w:szCs w:val="28"/>
          <w:lang w:eastAsia="en-US"/>
          <w14:ligatures w14:val="standardContextual"/>
        </w:rPr>
        <w:t>проєктованої</w:t>
      </w:r>
      <w:r w:rsidRPr="003755F0">
        <w:rPr>
          <w:rFonts w:ascii="Times New Roman" w:eastAsia="Calibri" w:hAnsi="Times New Roman" w:cs="Times New Roman"/>
          <w:color w:val="000000"/>
          <w:kern w:val="2"/>
          <w:sz w:val="28"/>
          <w:szCs w:val="28"/>
          <w:lang w:eastAsia="en-US"/>
          <w14:ligatures w14:val="standardContextual"/>
        </w:rPr>
        <w:t xml:space="preserve"> водопровідної мережі передбачається не менше 100 мм для можливості встановлення на них пожежних гідрантів. Максимальна відстань між гідрантами планується 100 м. Питна вода, що має подаватися у водопровідні мережі, за бактеріологічним та хімічним складом повинна відповідати вимогам </w:t>
      </w:r>
      <w:r w:rsidRPr="003755F0">
        <w:rPr>
          <w:rFonts w:ascii="Times New Roman" w:eastAsia="Calibri" w:hAnsi="Times New Roman" w:cs="Times New Roman"/>
          <w:color w:val="000000"/>
          <w:kern w:val="2"/>
          <w:sz w:val="28"/>
          <w:szCs w:val="28"/>
          <w:lang w:eastAsia="en-US"/>
          <w14:ligatures w14:val="standardContextual"/>
        </w:rPr>
        <w:t>СанПіН</w:t>
      </w:r>
      <w:r w:rsidRPr="003755F0">
        <w:rPr>
          <w:rFonts w:ascii="Times New Roman" w:eastAsia="Calibri" w:hAnsi="Times New Roman" w:cs="Times New Roman"/>
          <w:color w:val="000000"/>
          <w:kern w:val="2"/>
          <w:sz w:val="28"/>
          <w:szCs w:val="28"/>
          <w:lang w:eastAsia="en-US"/>
          <w14:ligatures w14:val="standardContextual"/>
        </w:rPr>
        <w:t xml:space="preserve"> 2.2.4-171-10 «Гігієнічні вимоги до води питної, призначеної для споживання людиною».</w:t>
      </w:r>
    </w:p>
    <w:p w:rsidR="003755F0" w:rsidRPr="003755F0" w:rsidP="003755F0" w14:paraId="16622E0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color w:val="000000"/>
          <w:kern w:val="2"/>
          <w:sz w:val="28"/>
          <w:szCs w:val="28"/>
          <w:lang w:eastAsia="en-US"/>
          <w14:ligatures w14:val="standardContextual"/>
        </w:rPr>
        <w:t xml:space="preserve">Розрахункова потреба індустріального парку </w:t>
      </w:r>
      <w:r w:rsidRPr="003755F0">
        <w:rPr>
          <w:rFonts w:ascii="Times New Roman" w:eastAsia="Calibri" w:hAnsi="Times New Roman" w:cs="Times New Roman"/>
          <w:kern w:val="2"/>
          <w:sz w:val="28"/>
          <w:szCs w:val="28"/>
          <w:lang w:eastAsia="en-US"/>
          <w14:ligatures w14:val="standardContextual"/>
        </w:rPr>
        <w:t>«БУДШЛЯХМАШ» у технічній воді для промислових, господарських та інших потреб наведена у табл. 4.</w:t>
      </w:r>
    </w:p>
    <w:p w:rsidR="003755F0" w:rsidRPr="003755F0" w:rsidP="003755F0" w14:paraId="4F8B6B20"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4.</w:t>
      </w:r>
      <w:r w:rsidRPr="003755F0">
        <w:rPr>
          <w:rFonts w:ascii="Times New Roman" w:eastAsia="Calibri" w:hAnsi="Times New Roman" w:cs="Times New Roman"/>
          <w:kern w:val="2"/>
          <w:sz w:val="28"/>
          <w:szCs w:val="28"/>
          <w:lang w:eastAsia="en-US"/>
          <w14:ligatures w14:val="standardContextual"/>
        </w:rPr>
        <w:t xml:space="preserve"> Розрахунок потреби </w:t>
      </w:r>
      <w:r w:rsidRPr="003755F0">
        <w:rPr>
          <w:rFonts w:ascii="Times New Roman" w:eastAsia="Calibri" w:hAnsi="Times New Roman" w:cs="Times New Roman"/>
          <w:color w:val="000000"/>
          <w:kern w:val="2"/>
          <w:sz w:val="28"/>
          <w:szCs w:val="28"/>
          <w:lang w:eastAsia="en-US"/>
          <w14:ligatures w14:val="standardContextual"/>
        </w:rPr>
        <w:t xml:space="preserve">ІП </w:t>
      </w:r>
      <w:r w:rsidRPr="003755F0">
        <w:rPr>
          <w:rFonts w:ascii="Times New Roman" w:eastAsia="Calibri" w:hAnsi="Times New Roman" w:cs="Times New Roman"/>
          <w:kern w:val="2"/>
          <w:sz w:val="28"/>
          <w:szCs w:val="28"/>
          <w:lang w:eastAsia="en-US"/>
          <w14:ligatures w14:val="standardContextual"/>
        </w:rPr>
        <w:t>«БУДШЛЯХМАШ» у водних ресурсах, м</w:t>
      </w:r>
      <w:r w:rsidRPr="003755F0">
        <w:rPr>
          <w:rFonts w:ascii="Times New Roman" w:eastAsia="Calibri" w:hAnsi="Times New Roman" w:cs="Times New Roman"/>
          <w:kern w:val="2"/>
          <w:sz w:val="28"/>
          <w:szCs w:val="28"/>
          <w:vertAlign w:val="superscript"/>
          <w:lang w:eastAsia="en-US"/>
          <w14:ligatures w14:val="standardContextual"/>
        </w:rPr>
        <w:t>3</w:t>
      </w:r>
      <w:r w:rsidRPr="003755F0">
        <w:rPr>
          <w:rFonts w:ascii="Times New Roman" w:eastAsia="Calibri" w:hAnsi="Times New Roman" w:cs="Times New Roman"/>
          <w:kern w:val="2"/>
          <w:sz w:val="28"/>
          <w:szCs w:val="28"/>
          <w:lang w:eastAsia="en-US"/>
          <w14:ligatures w14:val="standardContextual"/>
        </w:rPr>
        <w:t>/місяць</w:t>
      </w:r>
    </w:p>
    <w:tbl>
      <w:tblPr>
        <w:tblStyle w:val="6"/>
        <w:tblW w:w="9526" w:type="dxa"/>
        <w:tblInd w:w="0" w:type="dxa"/>
        <w:tblLook w:val="04A0"/>
      </w:tblPr>
      <w:tblGrid>
        <w:gridCol w:w="1006"/>
        <w:gridCol w:w="2157"/>
        <w:gridCol w:w="1519"/>
        <w:gridCol w:w="1261"/>
        <w:gridCol w:w="1537"/>
        <w:gridCol w:w="2046"/>
      </w:tblGrid>
      <w:tr w14:paraId="1F1CC9B5" w14:textId="77777777" w:rsidTr="003755F0">
        <w:tblPrEx>
          <w:tblW w:w="9526" w:type="dxa"/>
          <w:tblInd w:w="0" w:type="dxa"/>
          <w:tblLook w:val="04A0"/>
        </w:tblPrEx>
        <w:tc>
          <w:tcPr>
            <w:tcW w:w="10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2997C26"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Га</w:t>
            </w:r>
          </w:p>
          <w:p w:rsidR="003755F0" w:rsidRPr="003755F0" w:rsidP="003755F0" w14:paraId="453C8942"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(S)</w:t>
            </w:r>
          </w:p>
        </w:tc>
        <w:tc>
          <w:tcPr>
            <w:tcW w:w="21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E6A7F72"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Середнє очікуване споживання, л/хв/га (</w:t>
            </w:r>
            <w:r w:rsidRPr="003755F0">
              <w:rPr>
                <w:rFonts w:ascii="Times New Roman" w:eastAsia="Times New Roman" w:hAnsi="Times New Roman"/>
                <w:sz w:val="24"/>
                <w:szCs w:val="28"/>
              </w:rPr>
              <w:t>d</w:t>
            </w:r>
            <w:r w:rsidRPr="003755F0">
              <w:rPr>
                <w:rFonts w:ascii="Times New Roman" w:eastAsia="Times New Roman" w:hAnsi="Times New Roman"/>
                <w:sz w:val="24"/>
                <w:szCs w:val="28"/>
                <w:vertAlign w:val="subscript"/>
              </w:rPr>
              <w:t>і</w:t>
            </w:r>
            <w:r w:rsidRPr="003755F0">
              <w:rPr>
                <w:rFonts w:ascii="Times New Roman" w:eastAsia="Times New Roman" w:hAnsi="Times New Roman"/>
                <w:sz w:val="24"/>
                <w:szCs w:val="28"/>
              </w:rPr>
              <w:t>)</w:t>
            </w:r>
          </w:p>
        </w:tc>
        <w:tc>
          <w:tcPr>
            <w:tcW w:w="151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6A8036C"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Кількість робочих годин (T)</w:t>
            </w:r>
          </w:p>
        </w:tc>
        <w:tc>
          <w:tcPr>
            <w:tcW w:w="126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97F2E4"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Кількість робочих днів (P)</w:t>
            </w:r>
          </w:p>
        </w:tc>
        <w:tc>
          <w:tcPr>
            <w:tcW w:w="153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4DF88F"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Коефіцієнт корекції гнучкості (</w:t>
            </w:r>
            <w:r w:rsidRPr="003755F0">
              <w:rPr>
                <w:rFonts w:ascii="Times New Roman" w:eastAsia="Times New Roman" w:hAnsi="Times New Roman"/>
                <w:sz w:val="24"/>
                <w:szCs w:val="28"/>
              </w:rPr>
              <w:t>K</w:t>
            </w:r>
            <w:r w:rsidRPr="003755F0">
              <w:rPr>
                <w:rFonts w:ascii="Times New Roman" w:eastAsia="Times New Roman" w:hAnsi="Times New Roman"/>
                <w:sz w:val="24"/>
                <w:szCs w:val="28"/>
                <w:vertAlign w:val="subscript"/>
              </w:rPr>
              <w:t>e</w:t>
            </w:r>
            <w:r w:rsidRPr="003755F0">
              <w:rPr>
                <w:rFonts w:ascii="Times New Roman" w:eastAsia="Times New Roman" w:hAnsi="Times New Roman"/>
                <w:sz w:val="24"/>
                <w:szCs w:val="28"/>
              </w:rPr>
              <w:t>)</w:t>
            </w:r>
          </w:p>
        </w:tc>
        <w:tc>
          <w:tcPr>
            <w:tcW w:w="20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04556B9"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Очікувана потреба парку у воді, м</w:t>
            </w:r>
            <w:r w:rsidRPr="003755F0">
              <w:rPr>
                <w:rFonts w:ascii="Times New Roman" w:eastAsia="Times New Roman" w:hAnsi="Times New Roman"/>
                <w:sz w:val="24"/>
                <w:szCs w:val="28"/>
                <w:vertAlign w:val="superscript"/>
              </w:rPr>
              <w:t>3</w:t>
            </w:r>
            <w:r w:rsidRPr="003755F0">
              <w:rPr>
                <w:rFonts w:ascii="Times New Roman" w:eastAsia="Times New Roman" w:hAnsi="Times New Roman"/>
                <w:sz w:val="24"/>
                <w:szCs w:val="28"/>
              </w:rPr>
              <w:t>/місяць (Q)</w:t>
            </w:r>
          </w:p>
        </w:tc>
      </w:tr>
      <w:tr w14:paraId="01CFD4EE" w14:textId="77777777" w:rsidTr="003755F0">
        <w:tblPrEx>
          <w:tblW w:w="9526" w:type="dxa"/>
          <w:tblInd w:w="0" w:type="dxa"/>
          <w:tblLook w:val="04A0"/>
        </w:tblPrEx>
        <w:trPr>
          <w:trHeight w:val="162"/>
        </w:trPr>
        <w:tc>
          <w:tcPr>
            <w:tcW w:w="1006" w:type="dxa"/>
            <w:tcBorders>
              <w:top w:val="single" w:sz="4" w:space="0" w:color="auto"/>
              <w:left w:val="single" w:sz="4" w:space="0" w:color="auto"/>
              <w:bottom w:val="single" w:sz="4" w:space="0" w:color="auto"/>
              <w:right w:val="single" w:sz="4" w:space="0" w:color="auto"/>
            </w:tcBorders>
            <w:hideMark/>
          </w:tcPr>
          <w:p w:rsidR="003755F0" w:rsidRPr="003755F0" w:rsidP="003755F0" w14:paraId="2E72D7B5"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11,4173</w:t>
            </w:r>
          </w:p>
        </w:tc>
        <w:tc>
          <w:tcPr>
            <w:tcW w:w="2157" w:type="dxa"/>
            <w:tcBorders>
              <w:top w:val="single" w:sz="4" w:space="0" w:color="auto"/>
              <w:left w:val="single" w:sz="4" w:space="0" w:color="auto"/>
              <w:bottom w:val="single" w:sz="4" w:space="0" w:color="auto"/>
              <w:right w:val="single" w:sz="4" w:space="0" w:color="auto"/>
            </w:tcBorders>
            <w:hideMark/>
          </w:tcPr>
          <w:p w:rsidR="003755F0" w:rsidRPr="003755F0" w:rsidP="003755F0" w14:paraId="06CA0204"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6,66</w:t>
            </w:r>
          </w:p>
        </w:tc>
        <w:tc>
          <w:tcPr>
            <w:tcW w:w="1519" w:type="dxa"/>
            <w:tcBorders>
              <w:top w:val="single" w:sz="4" w:space="0" w:color="auto"/>
              <w:left w:val="single" w:sz="4" w:space="0" w:color="auto"/>
              <w:bottom w:val="single" w:sz="4" w:space="0" w:color="auto"/>
              <w:right w:val="single" w:sz="4" w:space="0" w:color="auto"/>
            </w:tcBorders>
            <w:hideMark/>
          </w:tcPr>
          <w:p w:rsidR="003755F0" w:rsidRPr="003755F0" w:rsidP="003755F0" w14:paraId="0EBBFCF7"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8</w:t>
            </w:r>
          </w:p>
        </w:tc>
        <w:tc>
          <w:tcPr>
            <w:tcW w:w="1261" w:type="dxa"/>
            <w:tcBorders>
              <w:top w:val="single" w:sz="4" w:space="0" w:color="auto"/>
              <w:left w:val="single" w:sz="4" w:space="0" w:color="auto"/>
              <w:bottom w:val="single" w:sz="4" w:space="0" w:color="auto"/>
              <w:right w:val="single" w:sz="4" w:space="0" w:color="auto"/>
            </w:tcBorders>
            <w:hideMark/>
          </w:tcPr>
          <w:p w:rsidR="003755F0" w:rsidRPr="003755F0" w:rsidP="003755F0" w14:paraId="5CE45B55"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25</w:t>
            </w:r>
          </w:p>
        </w:tc>
        <w:tc>
          <w:tcPr>
            <w:tcW w:w="1537" w:type="dxa"/>
            <w:tcBorders>
              <w:top w:val="single" w:sz="4" w:space="0" w:color="auto"/>
              <w:left w:val="single" w:sz="4" w:space="0" w:color="auto"/>
              <w:bottom w:val="single" w:sz="4" w:space="0" w:color="auto"/>
              <w:right w:val="single" w:sz="4" w:space="0" w:color="auto"/>
            </w:tcBorders>
            <w:hideMark/>
          </w:tcPr>
          <w:p w:rsidR="003755F0" w:rsidRPr="003755F0" w:rsidP="003755F0" w14:paraId="3F90B048"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1,1</w:t>
            </w:r>
          </w:p>
        </w:tc>
        <w:tc>
          <w:tcPr>
            <w:tcW w:w="2046" w:type="dxa"/>
            <w:tcBorders>
              <w:top w:val="single" w:sz="4" w:space="0" w:color="auto"/>
              <w:left w:val="single" w:sz="4" w:space="0" w:color="auto"/>
              <w:bottom w:val="single" w:sz="4" w:space="0" w:color="auto"/>
              <w:right w:val="single" w:sz="4" w:space="0" w:color="auto"/>
            </w:tcBorders>
            <w:hideMark/>
          </w:tcPr>
          <w:p w:rsidR="003755F0" w:rsidRPr="003755F0" w:rsidP="003755F0" w14:paraId="2CC7A348" w14:textId="77777777">
            <w:pPr>
              <w:tabs>
                <w:tab w:val="left" w:pos="851"/>
              </w:tabs>
              <w:contextualSpacing/>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1003,72</w:t>
            </w:r>
          </w:p>
        </w:tc>
      </w:tr>
    </w:tbl>
    <w:p w:rsidR="003755F0" w:rsidRPr="003755F0" w:rsidP="003755F0" w14:paraId="1D2864C9" w14:textId="77777777">
      <w:pPr>
        <w:tabs>
          <w:tab w:val="left" w:pos="851"/>
        </w:tabs>
        <w:spacing w:after="0" w:line="240" w:lineRule="auto"/>
        <w:ind w:firstLine="567"/>
        <w:contextualSpacing/>
        <w:jc w:val="both"/>
        <w:rPr>
          <w:rFonts w:ascii="Times New Roman" w:eastAsia="Times New Roman" w:hAnsi="Times New Roman" w:cs="Times New Roman"/>
          <w:kern w:val="2"/>
          <w:sz w:val="28"/>
          <w:szCs w:val="28"/>
          <w:lang w:eastAsia="en-US"/>
          <w14:ligatures w14:val="standardContextual"/>
        </w:rPr>
      </w:pPr>
    </w:p>
    <w:p w:rsidR="003755F0" w:rsidRPr="003755F0" w:rsidP="003755F0" w14:paraId="31AF40F3" w14:textId="77777777">
      <w:p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Отже, розрахункова потреба </w:t>
      </w:r>
      <w:r w:rsidRPr="003755F0">
        <w:rPr>
          <w:rFonts w:ascii="Times New Roman" w:eastAsia="Times New Roman" w:hAnsi="Times New Roman" w:cs="Times New Roman"/>
          <w:sz w:val="28"/>
          <w:szCs w:val="28"/>
        </w:rPr>
        <w:t>проєктованих</w:t>
      </w:r>
      <w:r w:rsidRPr="003755F0">
        <w:rPr>
          <w:rFonts w:ascii="Times New Roman" w:eastAsia="Times New Roman" w:hAnsi="Times New Roman" w:cs="Times New Roman"/>
          <w:sz w:val="28"/>
          <w:szCs w:val="28"/>
        </w:rPr>
        <w:t xml:space="preserve"> споживачів у технічній воді становить близько 1000 м</w:t>
      </w:r>
      <w:r w:rsidRPr="003755F0">
        <w:rPr>
          <w:rFonts w:ascii="Times New Roman" w:eastAsia="Times New Roman" w:hAnsi="Times New Roman" w:cs="Times New Roman"/>
          <w:sz w:val="28"/>
          <w:szCs w:val="28"/>
          <w:vertAlign w:val="superscript"/>
        </w:rPr>
        <w:t>3</w:t>
      </w:r>
      <w:r w:rsidRPr="003755F0">
        <w:rPr>
          <w:rFonts w:ascii="Times New Roman" w:eastAsia="Times New Roman" w:hAnsi="Times New Roman" w:cs="Times New Roman"/>
          <w:sz w:val="28"/>
          <w:szCs w:val="28"/>
        </w:rPr>
        <w:t>/місяць, з яких:</w:t>
      </w:r>
    </w:p>
    <w:p w:rsidR="003755F0" w:rsidRPr="003755F0" w:rsidP="003755F0" w14:paraId="2B5B712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промислові та господарські потреби складають 1000,0 м3/місяць;</w:t>
      </w:r>
    </w:p>
    <w:p w:rsidR="003755F0" w:rsidRPr="003755F0" w:rsidP="003755F0" w14:paraId="6E11054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безповоротні витрати, полив вулиць і зелених насаджень – 3,72 м</w:t>
      </w:r>
      <w:r w:rsidRPr="003755F0">
        <w:rPr>
          <w:rFonts w:ascii="Times New Roman" w:eastAsia="Calibri" w:hAnsi="Times New Roman" w:cs="Times New Roman"/>
          <w:kern w:val="2"/>
          <w:sz w:val="28"/>
          <w:szCs w:val="28"/>
          <w:vertAlign w:val="superscript"/>
          <w:lang w:eastAsia="en-US"/>
          <w14:ligatures w14:val="standardContextual"/>
        </w:rPr>
        <w:t>3</w:t>
      </w:r>
      <w:r w:rsidRPr="003755F0">
        <w:rPr>
          <w:rFonts w:ascii="Times New Roman" w:eastAsia="Calibri" w:hAnsi="Times New Roman" w:cs="Times New Roman"/>
          <w:kern w:val="2"/>
          <w:sz w:val="28"/>
          <w:szCs w:val="28"/>
          <w:lang w:eastAsia="en-US"/>
          <w14:ligatures w14:val="standardContextual"/>
        </w:rPr>
        <w:t>/ місяць.</w:t>
      </w:r>
    </w:p>
    <w:p w:rsidR="003755F0" w:rsidRPr="003755F0" w:rsidP="003755F0" w14:paraId="1E04C818" w14:textId="77777777">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p>
    <w:p w:rsidR="003755F0" w:rsidRPr="003755F0" w:rsidP="003755F0" w14:paraId="387CFCE3" w14:textId="77777777">
      <w:pPr>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Водовідведення і каналізація</w:t>
      </w:r>
    </w:p>
    <w:p w:rsidR="003755F0" w:rsidRPr="003755F0" w:rsidP="003755F0" w14:paraId="2DFE64D6" w14:textId="77777777">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3755F0">
        <w:rPr>
          <w:rFonts w:ascii="Times New Roman" w:eastAsia="Calibri" w:hAnsi="Times New Roman" w:cs="Times New Roman"/>
          <w:color w:val="000000"/>
          <w:kern w:val="2"/>
          <w:sz w:val="28"/>
          <w:szCs w:val="28"/>
          <w:lang w:eastAsia="en-US"/>
          <w14:ligatures w14:val="standardContextual"/>
        </w:rPr>
        <w:t>Розрахункова кількість стічних вод приймається, виходячи з промислових витрат води у машинобудівному виробництві та оцінених безповоротних витрат (табл. 5).</w:t>
      </w:r>
    </w:p>
    <w:p w:rsidR="003755F0" w:rsidRPr="003755F0" w:rsidP="003755F0" w14:paraId="136F2D74"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5.</w:t>
      </w:r>
      <w:r w:rsidRPr="003755F0">
        <w:rPr>
          <w:rFonts w:ascii="Times New Roman" w:eastAsia="Calibri" w:hAnsi="Times New Roman" w:cs="Times New Roman"/>
          <w:kern w:val="2"/>
          <w:sz w:val="28"/>
          <w:szCs w:val="28"/>
          <w:lang w:eastAsia="en-US"/>
          <w14:ligatures w14:val="standardContextual"/>
        </w:rPr>
        <w:t xml:space="preserve"> Розрахунок потреби </w:t>
      </w:r>
      <w:r w:rsidRPr="003755F0">
        <w:rPr>
          <w:rFonts w:ascii="Times New Roman" w:eastAsia="Calibri" w:hAnsi="Times New Roman" w:cs="Times New Roman"/>
          <w:color w:val="000000"/>
          <w:kern w:val="2"/>
          <w:sz w:val="28"/>
          <w:szCs w:val="28"/>
          <w:lang w:eastAsia="en-US"/>
          <w14:ligatures w14:val="standardContextual"/>
        </w:rPr>
        <w:t xml:space="preserve">ІП </w:t>
      </w:r>
      <w:r w:rsidRPr="003755F0">
        <w:rPr>
          <w:rFonts w:ascii="Times New Roman" w:eastAsia="Calibri" w:hAnsi="Times New Roman" w:cs="Times New Roman"/>
          <w:kern w:val="2"/>
          <w:sz w:val="28"/>
          <w:szCs w:val="28"/>
          <w:lang w:eastAsia="en-US"/>
          <w14:ligatures w14:val="standardContextual"/>
        </w:rPr>
        <w:t>«БУДШЛЯХМАШ» у водовідведенні, м</w:t>
      </w:r>
      <w:r w:rsidRPr="003755F0">
        <w:rPr>
          <w:rFonts w:ascii="Times New Roman" w:eastAsia="Calibri" w:hAnsi="Times New Roman" w:cs="Times New Roman"/>
          <w:kern w:val="2"/>
          <w:sz w:val="28"/>
          <w:szCs w:val="28"/>
          <w:vertAlign w:val="superscript"/>
          <w:lang w:eastAsia="en-US"/>
          <w14:ligatures w14:val="standardContextual"/>
        </w:rPr>
        <w:t>3</w:t>
      </w:r>
      <w:r w:rsidRPr="003755F0">
        <w:rPr>
          <w:rFonts w:ascii="Times New Roman" w:eastAsia="Calibri" w:hAnsi="Times New Roman" w:cs="Times New Roman"/>
          <w:kern w:val="2"/>
          <w:sz w:val="28"/>
          <w:szCs w:val="28"/>
          <w:lang w:eastAsia="en-US"/>
          <w14:ligatures w14:val="standardContextual"/>
        </w:rPr>
        <w:t>/місяць</w:t>
      </w:r>
    </w:p>
    <w:tbl>
      <w:tblPr>
        <w:tblStyle w:val="6"/>
        <w:tblW w:w="9526" w:type="dxa"/>
        <w:tblInd w:w="0" w:type="dxa"/>
        <w:tblLook w:val="04A0"/>
      </w:tblPr>
      <w:tblGrid>
        <w:gridCol w:w="1007"/>
        <w:gridCol w:w="1965"/>
        <w:gridCol w:w="1134"/>
        <w:gridCol w:w="1134"/>
        <w:gridCol w:w="1559"/>
        <w:gridCol w:w="2727"/>
      </w:tblGrid>
      <w:tr w14:paraId="22A33E0F" w14:textId="77777777" w:rsidTr="003755F0">
        <w:tblPrEx>
          <w:tblW w:w="9526" w:type="dxa"/>
          <w:tblInd w:w="0" w:type="dxa"/>
          <w:tblLook w:val="04A0"/>
        </w:tblPrEx>
        <w:tc>
          <w:tcPr>
            <w:tcW w:w="10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B2F6819"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Га</w:t>
            </w:r>
          </w:p>
          <w:p w:rsidR="003755F0" w:rsidRPr="003755F0" w:rsidP="003755F0" w14:paraId="54B96052"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(S)</w:t>
            </w:r>
          </w:p>
        </w:tc>
        <w:tc>
          <w:tcPr>
            <w:tcW w:w="196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B11070"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Середнє очікуване відведення, л/хв/га (</w:t>
            </w:r>
            <w:r w:rsidRPr="003755F0">
              <w:rPr>
                <w:rFonts w:ascii="Times New Roman" w:eastAsia="Times New Roman" w:hAnsi="Times New Roman"/>
                <w:sz w:val="24"/>
                <w:szCs w:val="28"/>
              </w:rPr>
              <w:t>d</w:t>
            </w:r>
            <w:r w:rsidRPr="003755F0">
              <w:rPr>
                <w:rFonts w:ascii="Times New Roman" w:eastAsia="Times New Roman" w:hAnsi="Times New Roman"/>
                <w:sz w:val="24"/>
                <w:szCs w:val="28"/>
                <w:vertAlign w:val="subscript"/>
              </w:rPr>
              <w:t>і</w:t>
            </w:r>
            <w:r w:rsidRPr="003755F0">
              <w:rPr>
                <w:rFonts w:ascii="Times New Roman" w:eastAsia="Times New Roman" w:hAnsi="Times New Roman"/>
                <w:sz w:val="24"/>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D0930C"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Кількість робочих годин (T)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9A5FE97"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Кількість робочих днів (P)</w:t>
            </w:r>
          </w:p>
        </w:tc>
        <w:tc>
          <w:tcPr>
            <w:tcW w:w="155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24A86B"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Коефіцієнт корекції гнучкості (</w:t>
            </w:r>
            <w:r w:rsidRPr="003755F0">
              <w:rPr>
                <w:rFonts w:ascii="Times New Roman" w:eastAsia="Times New Roman" w:hAnsi="Times New Roman"/>
                <w:sz w:val="24"/>
                <w:szCs w:val="28"/>
              </w:rPr>
              <w:t>K</w:t>
            </w:r>
            <w:r w:rsidRPr="003755F0">
              <w:rPr>
                <w:rFonts w:ascii="Times New Roman" w:eastAsia="Times New Roman" w:hAnsi="Times New Roman"/>
                <w:sz w:val="24"/>
                <w:szCs w:val="28"/>
                <w:vertAlign w:val="subscript"/>
              </w:rPr>
              <w:t>e</w:t>
            </w:r>
            <w:r w:rsidRPr="003755F0">
              <w:rPr>
                <w:rFonts w:ascii="Times New Roman" w:eastAsia="Times New Roman" w:hAnsi="Times New Roman"/>
                <w:sz w:val="24"/>
                <w:szCs w:val="28"/>
              </w:rPr>
              <w:t>)</w:t>
            </w:r>
          </w:p>
        </w:tc>
        <w:tc>
          <w:tcPr>
            <w:tcW w:w="272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5DE83C"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Очікувана потреба індустріального парку у водовідведенні, м</w:t>
            </w:r>
            <w:r w:rsidRPr="003755F0">
              <w:rPr>
                <w:rFonts w:ascii="Times New Roman" w:eastAsia="Times New Roman" w:hAnsi="Times New Roman"/>
                <w:sz w:val="24"/>
                <w:szCs w:val="28"/>
                <w:vertAlign w:val="superscript"/>
              </w:rPr>
              <w:t>3</w:t>
            </w:r>
            <w:r w:rsidRPr="003755F0">
              <w:rPr>
                <w:rFonts w:ascii="Times New Roman" w:eastAsia="Times New Roman" w:hAnsi="Times New Roman"/>
                <w:sz w:val="24"/>
                <w:szCs w:val="28"/>
              </w:rPr>
              <w:t>/добу (Q)</w:t>
            </w:r>
          </w:p>
        </w:tc>
      </w:tr>
      <w:tr w14:paraId="7A8611B5" w14:textId="77777777" w:rsidTr="003755F0">
        <w:tblPrEx>
          <w:tblW w:w="9526" w:type="dxa"/>
          <w:tblInd w:w="0" w:type="dxa"/>
          <w:tblLook w:val="04A0"/>
        </w:tblPrEx>
        <w:trPr>
          <w:trHeight w:val="162"/>
        </w:trPr>
        <w:tc>
          <w:tcPr>
            <w:tcW w:w="1007" w:type="dxa"/>
            <w:tcBorders>
              <w:top w:val="single" w:sz="4" w:space="0" w:color="auto"/>
              <w:left w:val="single" w:sz="4" w:space="0" w:color="auto"/>
              <w:bottom w:val="single" w:sz="4" w:space="0" w:color="auto"/>
              <w:right w:val="single" w:sz="4" w:space="0" w:color="auto"/>
            </w:tcBorders>
            <w:hideMark/>
          </w:tcPr>
          <w:p w:rsidR="003755F0" w:rsidRPr="003755F0" w:rsidP="003755F0" w14:paraId="6B908D74"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11,4173</w:t>
            </w:r>
          </w:p>
        </w:tc>
        <w:tc>
          <w:tcPr>
            <w:tcW w:w="1965" w:type="dxa"/>
            <w:tcBorders>
              <w:top w:val="single" w:sz="4" w:space="0" w:color="auto"/>
              <w:left w:val="single" w:sz="4" w:space="0" w:color="auto"/>
              <w:bottom w:val="single" w:sz="4" w:space="0" w:color="auto"/>
              <w:right w:val="single" w:sz="4" w:space="0" w:color="auto"/>
            </w:tcBorders>
            <w:hideMark/>
          </w:tcPr>
          <w:p w:rsidR="003755F0" w:rsidRPr="003755F0" w:rsidP="003755F0" w14:paraId="238F8A56"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6,66</w:t>
            </w:r>
          </w:p>
        </w:tc>
        <w:tc>
          <w:tcPr>
            <w:tcW w:w="1134" w:type="dxa"/>
            <w:tcBorders>
              <w:top w:val="single" w:sz="4" w:space="0" w:color="auto"/>
              <w:left w:val="single" w:sz="4" w:space="0" w:color="auto"/>
              <w:bottom w:val="single" w:sz="4" w:space="0" w:color="auto"/>
              <w:right w:val="single" w:sz="4" w:space="0" w:color="auto"/>
            </w:tcBorders>
            <w:hideMark/>
          </w:tcPr>
          <w:p w:rsidR="003755F0" w:rsidRPr="003755F0" w:rsidP="003755F0" w14:paraId="54BACDFF"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8</w:t>
            </w:r>
          </w:p>
        </w:tc>
        <w:tc>
          <w:tcPr>
            <w:tcW w:w="1134" w:type="dxa"/>
            <w:tcBorders>
              <w:top w:val="single" w:sz="4" w:space="0" w:color="auto"/>
              <w:left w:val="single" w:sz="4" w:space="0" w:color="auto"/>
              <w:bottom w:val="single" w:sz="4" w:space="0" w:color="auto"/>
              <w:right w:val="single" w:sz="4" w:space="0" w:color="auto"/>
            </w:tcBorders>
            <w:hideMark/>
          </w:tcPr>
          <w:p w:rsidR="003755F0" w:rsidRPr="003755F0" w:rsidP="003755F0" w14:paraId="1D7D97CA"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25</w:t>
            </w:r>
          </w:p>
        </w:tc>
        <w:tc>
          <w:tcPr>
            <w:tcW w:w="1559" w:type="dxa"/>
            <w:tcBorders>
              <w:top w:val="single" w:sz="4" w:space="0" w:color="auto"/>
              <w:left w:val="single" w:sz="4" w:space="0" w:color="auto"/>
              <w:bottom w:val="single" w:sz="4" w:space="0" w:color="auto"/>
              <w:right w:val="single" w:sz="4" w:space="0" w:color="auto"/>
            </w:tcBorders>
            <w:hideMark/>
          </w:tcPr>
          <w:p w:rsidR="003755F0" w:rsidRPr="003755F0" w:rsidP="003755F0" w14:paraId="7634E64A"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1,1</w:t>
            </w:r>
          </w:p>
        </w:tc>
        <w:tc>
          <w:tcPr>
            <w:tcW w:w="2727" w:type="dxa"/>
            <w:tcBorders>
              <w:top w:val="single" w:sz="4" w:space="0" w:color="auto"/>
              <w:left w:val="single" w:sz="4" w:space="0" w:color="auto"/>
              <w:bottom w:val="single" w:sz="4" w:space="0" w:color="auto"/>
              <w:right w:val="single" w:sz="4" w:space="0" w:color="auto"/>
            </w:tcBorders>
            <w:hideMark/>
          </w:tcPr>
          <w:p w:rsidR="003755F0" w:rsidRPr="003755F0" w:rsidP="003755F0" w14:paraId="667390C7" w14:textId="77777777">
            <w:pPr>
              <w:tabs>
                <w:tab w:val="left" w:pos="851"/>
              </w:tabs>
              <w:contextualSpacing/>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1003,72</w:t>
            </w:r>
          </w:p>
        </w:tc>
      </w:tr>
    </w:tbl>
    <w:p w:rsidR="003755F0" w:rsidRPr="003755F0" w:rsidP="003755F0" w14:paraId="046250C8" w14:textId="77777777">
      <w:pPr>
        <w:spacing w:after="0" w:line="240" w:lineRule="auto"/>
        <w:jc w:val="both"/>
        <w:rPr>
          <w:rFonts w:ascii="Times New Roman" w:eastAsia="Calibri" w:hAnsi="Times New Roman" w:cs="Times New Roman"/>
          <w:color w:val="000000"/>
          <w:kern w:val="2"/>
          <w:sz w:val="28"/>
          <w:szCs w:val="28"/>
          <w:lang w:eastAsia="en-US"/>
          <w14:ligatures w14:val="standardContextual"/>
        </w:rPr>
      </w:pPr>
    </w:p>
    <w:p w:rsidR="003755F0" w:rsidRPr="003755F0" w:rsidP="003755F0" w14:paraId="4AC1BE3B" w14:textId="77777777">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3755F0">
        <w:rPr>
          <w:rFonts w:ascii="Times New Roman" w:eastAsia="Calibri" w:hAnsi="Times New Roman" w:cs="Times New Roman"/>
          <w:color w:val="000000"/>
          <w:kern w:val="2"/>
          <w:sz w:val="28"/>
          <w:szCs w:val="28"/>
          <w:lang w:eastAsia="en-US"/>
          <w14:ligatures w14:val="standardContextual"/>
        </w:rPr>
        <w:t>Для знезараження побутових стічних вод передбачається станція біологічного очищення стічних вод типу «</w:t>
      </w:r>
      <w:r w:rsidRPr="003755F0">
        <w:rPr>
          <w:rFonts w:ascii="Times New Roman" w:eastAsia="Calibri" w:hAnsi="Times New Roman" w:cs="Times New Roman"/>
          <w:color w:val="000000"/>
          <w:kern w:val="2"/>
          <w:sz w:val="28"/>
          <w:szCs w:val="28"/>
          <w:lang w:eastAsia="en-US"/>
          <w14:ligatures w14:val="standardContextual"/>
        </w:rPr>
        <w:t>Biotal</w:t>
      </w:r>
      <w:r w:rsidRPr="003755F0">
        <w:rPr>
          <w:rFonts w:ascii="Times New Roman" w:eastAsia="Calibri" w:hAnsi="Times New Roman" w:cs="Times New Roman"/>
          <w:color w:val="000000"/>
          <w:kern w:val="2"/>
          <w:sz w:val="28"/>
          <w:szCs w:val="28"/>
          <w:lang w:eastAsia="en-US"/>
          <w14:ligatures w14:val="standardContextual"/>
        </w:rPr>
        <w:t xml:space="preserve"> 2BT B-200». Санітарно-захисна зона для установки складає 20 м від забудови. Відведення очищеної води після очисних споруд здійснюється у резервуар очищеної води для повторного використання: для поливу та технічної води.</w:t>
      </w:r>
    </w:p>
    <w:p w:rsidR="003755F0" w:rsidRPr="003755F0" w:rsidP="003755F0" w14:paraId="05ABB268" w14:textId="77777777">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3755F0">
        <w:rPr>
          <w:rFonts w:ascii="Times New Roman" w:eastAsia="Calibri" w:hAnsi="Times New Roman" w:cs="Times New Roman"/>
          <w:color w:val="000000"/>
          <w:kern w:val="2"/>
          <w:sz w:val="28"/>
          <w:szCs w:val="28"/>
          <w:lang w:eastAsia="en-US"/>
          <w14:ligatures w14:val="standardContextual"/>
        </w:rPr>
        <w:t xml:space="preserve">Поверхневі води з асфальтованих ділянок, стоянок транспортних засобів, дахів будівель та споруд після відповідного очищення від залишків паливно-мастильних матеріалів повинні скидатись в закритий накопичувач для технічних потреб або на понижені ділянки рельєфу. Відведення дощових вод </w:t>
      </w:r>
      <w:r w:rsidRPr="003755F0">
        <w:rPr>
          <w:rFonts w:ascii="Times New Roman" w:eastAsia="Calibri" w:hAnsi="Times New Roman" w:cs="Times New Roman"/>
          <w:color w:val="000000"/>
          <w:kern w:val="2"/>
          <w:sz w:val="28"/>
          <w:szCs w:val="28"/>
          <w:lang w:eastAsia="en-US"/>
          <w14:ligatures w14:val="standardContextual"/>
        </w:rPr>
        <w:t>через дощові лотки та фільтруючі модулі з подальшим скиданням до власних очисних споруд дощової каналізації.</w:t>
      </w:r>
    </w:p>
    <w:p w:rsidR="003755F0" w:rsidRPr="003755F0" w:rsidP="003755F0" w14:paraId="26E7F282" w14:textId="77777777">
      <w:pPr>
        <w:spacing w:after="0" w:line="240" w:lineRule="auto"/>
        <w:ind w:firstLine="567"/>
        <w:jc w:val="both"/>
        <w:rPr>
          <w:rFonts w:ascii="Times New Roman" w:eastAsia="Calibri" w:hAnsi="Times New Roman" w:cs="Times New Roman"/>
          <w:color w:val="000000"/>
          <w:kern w:val="2"/>
          <w:sz w:val="28"/>
          <w:szCs w:val="28"/>
          <w:lang w:eastAsia="en-US"/>
          <w14:ligatures w14:val="standardContextual"/>
        </w:rPr>
      </w:pPr>
      <w:r w:rsidRPr="003755F0">
        <w:rPr>
          <w:rFonts w:ascii="Times New Roman" w:eastAsia="Calibri" w:hAnsi="Times New Roman" w:cs="Times New Roman"/>
          <w:color w:val="000000"/>
          <w:kern w:val="2"/>
          <w:sz w:val="28"/>
          <w:szCs w:val="28"/>
          <w:lang w:eastAsia="en-US"/>
          <w14:ligatures w14:val="standardContextual"/>
        </w:rPr>
        <w:t xml:space="preserve">Детальні технічні характеристики </w:t>
      </w:r>
      <w:r w:rsidRPr="003755F0">
        <w:rPr>
          <w:rFonts w:ascii="Times New Roman" w:eastAsia="Calibri" w:hAnsi="Times New Roman" w:cs="Times New Roman"/>
          <w:color w:val="000000"/>
          <w:kern w:val="2"/>
          <w:sz w:val="28"/>
          <w:szCs w:val="28"/>
          <w:lang w:eastAsia="en-US"/>
          <w14:ligatures w14:val="standardContextual"/>
        </w:rPr>
        <w:t>проєктованої</w:t>
      </w:r>
      <w:r w:rsidRPr="003755F0">
        <w:rPr>
          <w:rFonts w:ascii="Times New Roman" w:eastAsia="Calibri" w:hAnsi="Times New Roman" w:cs="Times New Roman"/>
          <w:color w:val="000000"/>
          <w:kern w:val="2"/>
          <w:sz w:val="28"/>
          <w:szCs w:val="28"/>
          <w:lang w:eastAsia="en-US"/>
          <w14:ligatures w14:val="standardContextual"/>
        </w:rPr>
        <w:t xml:space="preserve"> каналізаційної мережі, а також мережі стоку відпрацьованих промислових вод розроблятимуться на наступних стадіях </w:t>
      </w:r>
      <w:r w:rsidRPr="003755F0">
        <w:rPr>
          <w:rFonts w:ascii="Times New Roman" w:eastAsia="Calibri" w:hAnsi="Times New Roman" w:cs="Times New Roman"/>
          <w:color w:val="000000"/>
          <w:kern w:val="2"/>
          <w:sz w:val="28"/>
          <w:szCs w:val="28"/>
          <w:lang w:eastAsia="en-US"/>
          <w14:ligatures w14:val="standardContextual"/>
        </w:rPr>
        <w:t>проєктування</w:t>
      </w:r>
      <w:r w:rsidRPr="003755F0">
        <w:rPr>
          <w:rFonts w:ascii="Times New Roman" w:eastAsia="Calibri" w:hAnsi="Times New Roman" w:cs="Times New Roman"/>
          <w:color w:val="000000"/>
          <w:kern w:val="2"/>
          <w:sz w:val="28"/>
          <w:szCs w:val="28"/>
          <w:lang w:eastAsia="en-US"/>
          <w14:ligatures w14:val="standardContextual"/>
        </w:rPr>
        <w:t xml:space="preserve"> індустріального парку.</w:t>
      </w:r>
    </w:p>
    <w:p w:rsidR="003755F0" w:rsidRPr="003755F0" w:rsidP="003755F0" w14:paraId="2B4F3DF1" w14:textId="77777777">
      <w:pPr>
        <w:spacing w:after="0" w:line="240" w:lineRule="auto"/>
        <w:jc w:val="center"/>
        <w:rPr>
          <w:rFonts w:ascii="Times New Roman" w:eastAsia="Calibri" w:hAnsi="Times New Roman" w:cs="Times New Roman"/>
          <w:b/>
          <w:bCs/>
          <w:kern w:val="2"/>
          <w:sz w:val="28"/>
          <w:szCs w:val="28"/>
          <w:lang w:eastAsia="en-US"/>
          <w14:ligatures w14:val="standardContextual"/>
        </w:rPr>
      </w:pPr>
    </w:p>
    <w:p w:rsidR="003755F0" w:rsidRPr="003755F0" w:rsidP="003755F0" w14:paraId="1A0822CA" w14:textId="77777777">
      <w:pPr>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Газопостачання</w:t>
      </w:r>
    </w:p>
    <w:p w:rsidR="003755F0" w:rsidRPr="003755F0" w:rsidP="003755F0" w14:paraId="452B69D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 час підготовки концепції на території індустріального парку газопостачання відсутнє. Поруч із земельною ділянкою проходить газопровід середнього тиску, підключений до ГРС «Велика Димерка» та </w:t>
      </w:r>
      <w:r w:rsidRPr="003755F0">
        <w:rPr>
          <w:rFonts w:ascii="Times New Roman" w:eastAsia="Calibri" w:hAnsi="Times New Roman" w:cs="Times New Roman"/>
          <w:kern w:val="2"/>
          <w:sz w:val="28"/>
          <w:szCs w:val="28"/>
          <w:lang w:eastAsia="en-US"/>
          <w14:ligatures w14:val="standardContextual"/>
        </w:rPr>
        <w:t>перебуваючий</w:t>
      </w:r>
      <w:r w:rsidRPr="003755F0">
        <w:rPr>
          <w:rFonts w:ascii="Times New Roman" w:eastAsia="Calibri" w:hAnsi="Times New Roman" w:cs="Times New Roman"/>
          <w:kern w:val="2"/>
          <w:sz w:val="28"/>
          <w:szCs w:val="28"/>
          <w:lang w:eastAsia="en-US"/>
          <w14:ligatures w14:val="standardContextual"/>
        </w:rPr>
        <w:t xml:space="preserve"> на балансі АТ «</w:t>
      </w:r>
      <w:r w:rsidRPr="003755F0">
        <w:rPr>
          <w:rFonts w:ascii="Times New Roman" w:eastAsia="Calibri" w:hAnsi="Times New Roman" w:cs="Times New Roman"/>
          <w:kern w:val="2"/>
          <w:sz w:val="28"/>
          <w:szCs w:val="28"/>
          <w:lang w:eastAsia="en-US"/>
          <w14:ligatures w14:val="standardContextual"/>
        </w:rPr>
        <w:t>Київоблгаз</w:t>
      </w:r>
      <w:r w:rsidRPr="003755F0">
        <w:rPr>
          <w:rFonts w:ascii="Times New Roman" w:eastAsia="Calibri" w:hAnsi="Times New Roman" w:cs="Times New Roman"/>
          <w:kern w:val="2"/>
          <w:sz w:val="28"/>
          <w:szCs w:val="28"/>
          <w:lang w:eastAsia="en-US"/>
          <w14:ligatures w14:val="standardContextual"/>
        </w:rPr>
        <w:t xml:space="preserve">». Для забезпечення потреб індустріального парку передбачається будівництво газорозподільного пункту (ГРП) з подальшим приєднанням до зазначеного газопроводу відповідно до технічних умов оператора ГРМ. </w:t>
      </w:r>
      <w:r w:rsidRPr="003755F0">
        <w:rPr>
          <w:rFonts w:ascii="Times New Roman" w:eastAsia="Calibri" w:hAnsi="Times New Roman" w:cs="Times New Roman"/>
          <w:kern w:val="2"/>
          <w:sz w:val="28"/>
          <w:szCs w:val="28"/>
          <w:lang w:eastAsia="en-US"/>
          <w14:ligatures w14:val="standardContextual"/>
        </w:rPr>
        <w:t>Проєктування</w:t>
      </w:r>
      <w:r w:rsidRPr="003755F0">
        <w:rPr>
          <w:rFonts w:ascii="Times New Roman" w:eastAsia="Calibri" w:hAnsi="Times New Roman" w:cs="Times New Roman"/>
          <w:kern w:val="2"/>
          <w:sz w:val="28"/>
          <w:szCs w:val="28"/>
          <w:lang w:eastAsia="en-US"/>
          <w14:ligatures w14:val="standardContextual"/>
        </w:rPr>
        <w:t xml:space="preserve"> та будівництво ГРП здійснюватиметься на наступних етапах </w:t>
      </w:r>
      <w:r w:rsidRPr="003755F0">
        <w:rPr>
          <w:rFonts w:ascii="Times New Roman" w:eastAsia="Calibri" w:hAnsi="Times New Roman" w:cs="Times New Roman"/>
          <w:kern w:val="2"/>
          <w:sz w:val="28"/>
          <w:szCs w:val="28"/>
          <w:lang w:eastAsia="en-US"/>
          <w14:ligatures w14:val="standardContextual"/>
        </w:rPr>
        <w:t>проєктування</w:t>
      </w:r>
      <w:r w:rsidRPr="003755F0">
        <w:rPr>
          <w:rFonts w:ascii="Times New Roman" w:eastAsia="Calibri" w:hAnsi="Times New Roman" w:cs="Times New Roman"/>
          <w:kern w:val="2"/>
          <w:sz w:val="28"/>
          <w:szCs w:val="28"/>
          <w:lang w:eastAsia="en-US"/>
          <w14:ligatures w14:val="standardContextual"/>
        </w:rPr>
        <w:t xml:space="preserve"> з урахуванням прогнозних навантажень та перспективного розвитку парку. Розрахункова потреба індустріального парку «БУДШЛЯХМАШ» у забезпеченні природним газом розрахована у табл. 6.</w:t>
      </w:r>
    </w:p>
    <w:p w:rsidR="003755F0" w:rsidRPr="003755F0" w:rsidP="003755F0" w14:paraId="2D890BE4"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6.</w:t>
      </w:r>
      <w:r w:rsidRPr="003755F0">
        <w:rPr>
          <w:rFonts w:ascii="Times New Roman" w:eastAsia="Calibri" w:hAnsi="Times New Roman" w:cs="Times New Roman"/>
          <w:kern w:val="2"/>
          <w:sz w:val="28"/>
          <w:szCs w:val="28"/>
          <w:lang w:eastAsia="en-US"/>
          <w14:ligatures w14:val="standardContextual"/>
        </w:rPr>
        <w:t xml:space="preserve"> Розрахунок потреби ІП «БУДШЛЯХМАШ» у газопостачанні, м</w:t>
      </w:r>
      <w:r w:rsidRPr="003755F0">
        <w:rPr>
          <w:rFonts w:ascii="Times New Roman" w:eastAsia="Calibri" w:hAnsi="Times New Roman" w:cs="Times New Roman"/>
          <w:kern w:val="2"/>
          <w:sz w:val="28"/>
          <w:szCs w:val="28"/>
          <w:vertAlign w:val="superscript"/>
          <w:lang w:eastAsia="en-US"/>
          <w14:ligatures w14:val="standardContextual"/>
        </w:rPr>
        <w:t>3</w:t>
      </w:r>
      <w:r w:rsidRPr="003755F0">
        <w:rPr>
          <w:rFonts w:ascii="Times New Roman" w:eastAsia="Calibri" w:hAnsi="Times New Roman" w:cs="Times New Roman"/>
          <w:kern w:val="2"/>
          <w:sz w:val="28"/>
          <w:szCs w:val="28"/>
          <w:lang w:eastAsia="en-US"/>
          <w14:ligatures w14:val="standardContextual"/>
        </w:rPr>
        <w:t>/год.</w:t>
      </w:r>
    </w:p>
    <w:tbl>
      <w:tblPr>
        <w:tblStyle w:val="7"/>
        <w:tblW w:w="9526" w:type="dxa"/>
        <w:tblInd w:w="0" w:type="dxa"/>
        <w:tblLook w:val="04A0"/>
      </w:tblPr>
      <w:tblGrid>
        <w:gridCol w:w="1006"/>
        <w:gridCol w:w="2157"/>
        <w:gridCol w:w="1519"/>
        <w:gridCol w:w="1261"/>
        <w:gridCol w:w="1537"/>
        <w:gridCol w:w="2046"/>
      </w:tblGrid>
      <w:tr w14:paraId="26E8E2F5" w14:textId="77777777" w:rsidTr="003755F0">
        <w:tblPrEx>
          <w:tblW w:w="9526" w:type="dxa"/>
          <w:tblInd w:w="0" w:type="dxa"/>
          <w:tblLook w:val="04A0"/>
        </w:tblPrEx>
        <w:tc>
          <w:tcPr>
            <w:tcW w:w="100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D9A040A"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Га</w:t>
            </w:r>
          </w:p>
          <w:p w:rsidR="003755F0" w:rsidRPr="003755F0" w:rsidP="003755F0" w14:paraId="1899E826"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(S)</w:t>
            </w:r>
          </w:p>
        </w:tc>
        <w:tc>
          <w:tcPr>
            <w:tcW w:w="215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6BBEA9"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Середнє очікуване споживання, л/хв/га (</w:t>
            </w:r>
            <w:r w:rsidRPr="003755F0">
              <w:rPr>
                <w:rFonts w:ascii="Times New Roman" w:eastAsia="Times New Roman" w:hAnsi="Times New Roman"/>
                <w:sz w:val="24"/>
                <w:szCs w:val="28"/>
              </w:rPr>
              <w:t>d</w:t>
            </w:r>
            <w:r w:rsidRPr="003755F0">
              <w:rPr>
                <w:rFonts w:ascii="Times New Roman" w:eastAsia="Times New Roman" w:hAnsi="Times New Roman"/>
                <w:sz w:val="24"/>
                <w:szCs w:val="28"/>
                <w:vertAlign w:val="subscript"/>
              </w:rPr>
              <w:t>і</w:t>
            </w:r>
            <w:r w:rsidRPr="003755F0">
              <w:rPr>
                <w:rFonts w:ascii="Times New Roman" w:eastAsia="Times New Roman" w:hAnsi="Times New Roman"/>
                <w:sz w:val="24"/>
                <w:szCs w:val="28"/>
              </w:rPr>
              <w:t>)</w:t>
            </w:r>
          </w:p>
        </w:tc>
        <w:tc>
          <w:tcPr>
            <w:tcW w:w="151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7E56D3"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Кількість робочих годин (T)</w:t>
            </w:r>
          </w:p>
        </w:tc>
        <w:tc>
          <w:tcPr>
            <w:tcW w:w="126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4D5B90B"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Кількість робочих днів (P)</w:t>
            </w:r>
          </w:p>
        </w:tc>
        <w:tc>
          <w:tcPr>
            <w:tcW w:w="153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6288D0D"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Коефіцієнт корекції гнучкості (</w:t>
            </w:r>
            <w:r w:rsidRPr="003755F0">
              <w:rPr>
                <w:rFonts w:ascii="Times New Roman" w:eastAsia="Times New Roman" w:hAnsi="Times New Roman"/>
                <w:sz w:val="24"/>
                <w:szCs w:val="28"/>
              </w:rPr>
              <w:t>K</w:t>
            </w:r>
            <w:r w:rsidRPr="003755F0">
              <w:rPr>
                <w:rFonts w:ascii="Times New Roman" w:eastAsia="Times New Roman" w:hAnsi="Times New Roman"/>
                <w:sz w:val="24"/>
                <w:szCs w:val="28"/>
                <w:vertAlign w:val="subscript"/>
              </w:rPr>
              <w:t>e</w:t>
            </w:r>
            <w:r w:rsidRPr="003755F0">
              <w:rPr>
                <w:rFonts w:ascii="Times New Roman" w:eastAsia="Times New Roman" w:hAnsi="Times New Roman"/>
                <w:sz w:val="24"/>
                <w:szCs w:val="28"/>
              </w:rPr>
              <w:t>)</w:t>
            </w:r>
          </w:p>
        </w:tc>
        <w:tc>
          <w:tcPr>
            <w:tcW w:w="204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CB7EC16" w14:textId="77777777">
            <w:pPr>
              <w:tabs>
                <w:tab w:val="left" w:pos="851"/>
              </w:tabs>
              <w:ind w:left="-57" w:right="-57"/>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Очікувана потреба парку у воді, м</w:t>
            </w:r>
            <w:r w:rsidRPr="003755F0">
              <w:rPr>
                <w:rFonts w:ascii="Times New Roman" w:eastAsia="Times New Roman" w:hAnsi="Times New Roman"/>
                <w:sz w:val="24"/>
                <w:szCs w:val="28"/>
                <w:vertAlign w:val="superscript"/>
              </w:rPr>
              <w:t>3</w:t>
            </w:r>
            <w:r w:rsidRPr="003755F0">
              <w:rPr>
                <w:rFonts w:ascii="Times New Roman" w:eastAsia="Times New Roman" w:hAnsi="Times New Roman"/>
                <w:sz w:val="24"/>
                <w:szCs w:val="28"/>
              </w:rPr>
              <w:t>/год. (Q)</w:t>
            </w:r>
          </w:p>
        </w:tc>
      </w:tr>
      <w:tr w14:paraId="5972E0ED" w14:textId="77777777" w:rsidTr="003755F0">
        <w:tblPrEx>
          <w:tblW w:w="9526" w:type="dxa"/>
          <w:tblInd w:w="0" w:type="dxa"/>
          <w:tblLook w:val="04A0"/>
        </w:tblPrEx>
        <w:trPr>
          <w:trHeight w:val="162"/>
        </w:trPr>
        <w:tc>
          <w:tcPr>
            <w:tcW w:w="1006" w:type="dxa"/>
            <w:tcBorders>
              <w:top w:val="single" w:sz="4" w:space="0" w:color="auto"/>
              <w:left w:val="single" w:sz="4" w:space="0" w:color="auto"/>
              <w:bottom w:val="single" w:sz="4" w:space="0" w:color="auto"/>
              <w:right w:val="single" w:sz="4" w:space="0" w:color="auto"/>
            </w:tcBorders>
            <w:hideMark/>
          </w:tcPr>
          <w:p w:rsidR="003755F0" w:rsidRPr="003755F0" w:rsidP="003755F0" w14:paraId="4F57981C"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11,4173</w:t>
            </w:r>
          </w:p>
        </w:tc>
        <w:tc>
          <w:tcPr>
            <w:tcW w:w="2157" w:type="dxa"/>
            <w:tcBorders>
              <w:top w:val="single" w:sz="4" w:space="0" w:color="auto"/>
              <w:left w:val="single" w:sz="4" w:space="0" w:color="auto"/>
              <w:bottom w:val="single" w:sz="4" w:space="0" w:color="auto"/>
              <w:right w:val="single" w:sz="4" w:space="0" w:color="auto"/>
            </w:tcBorders>
            <w:hideMark/>
          </w:tcPr>
          <w:p w:rsidR="003755F0" w:rsidRPr="003755F0" w:rsidP="003755F0" w14:paraId="6E735278"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380,0</w:t>
            </w:r>
          </w:p>
        </w:tc>
        <w:tc>
          <w:tcPr>
            <w:tcW w:w="1519" w:type="dxa"/>
            <w:tcBorders>
              <w:top w:val="single" w:sz="4" w:space="0" w:color="auto"/>
              <w:left w:val="single" w:sz="4" w:space="0" w:color="auto"/>
              <w:bottom w:val="single" w:sz="4" w:space="0" w:color="auto"/>
              <w:right w:val="single" w:sz="4" w:space="0" w:color="auto"/>
            </w:tcBorders>
            <w:hideMark/>
          </w:tcPr>
          <w:p w:rsidR="003755F0" w:rsidRPr="003755F0" w:rsidP="003755F0" w14:paraId="592FBFCD" w14:textId="77777777">
            <w:pPr>
              <w:tabs>
                <w:tab w:val="left" w:pos="851"/>
              </w:tabs>
              <w:contextualSpacing/>
              <w:jc w:val="center"/>
              <w:rPr>
                <w:rFonts w:ascii="Times New Roman" w:eastAsia="Times New Roman" w:hAnsi="Times New Roman"/>
                <w:sz w:val="24"/>
                <w:szCs w:val="28"/>
              </w:rPr>
            </w:pPr>
            <w:r w:rsidRPr="003755F0">
              <w:rPr>
                <w:rFonts w:ascii="Symbol" w:eastAsia="Times New Roman" w:hAnsi="Symbol"/>
                <w:sz w:val="24"/>
                <w:szCs w:val="28"/>
              </w:rPr>
              <w:sym w:font="Symbol" w:char="F0BE"/>
            </w:r>
          </w:p>
        </w:tc>
        <w:tc>
          <w:tcPr>
            <w:tcW w:w="1261" w:type="dxa"/>
            <w:tcBorders>
              <w:top w:val="single" w:sz="4" w:space="0" w:color="auto"/>
              <w:left w:val="single" w:sz="4" w:space="0" w:color="auto"/>
              <w:bottom w:val="single" w:sz="4" w:space="0" w:color="auto"/>
              <w:right w:val="single" w:sz="4" w:space="0" w:color="auto"/>
            </w:tcBorders>
            <w:hideMark/>
          </w:tcPr>
          <w:p w:rsidR="003755F0" w:rsidRPr="003755F0" w:rsidP="003755F0" w14:paraId="17DDFF34" w14:textId="77777777">
            <w:pPr>
              <w:tabs>
                <w:tab w:val="left" w:pos="851"/>
              </w:tabs>
              <w:contextualSpacing/>
              <w:jc w:val="center"/>
              <w:rPr>
                <w:rFonts w:ascii="Times New Roman" w:eastAsia="Times New Roman" w:hAnsi="Times New Roman"/>
                <w:sz w:val="24"/>
                <w:szCs w:val="28"/>
              </w:rPr>
            </w:pPr>
            <w:r w:rsidRPr="003755F0">
              <w:rPr>
                <w:rFonts w:ascii="Symbol" w:eastAsia="Times New Roman" w:hAnsi="Symbol"/>
                <w:sz w:val="24"/>
                <w:szCs w:val="28"/>
              </w:rPr>
              <w:sym w:font="Symbol" w:char="F0BE"/>
            </w:r>
          </w:p>
        </w:tc>
        <w:tc>
          <w:tcPr>
            <w:tcW w:w="1537" w:type="dxa"/>
            <w:tcBorders>
              <w:top w:val="single" w:sz="4" w:space="0" w:color="auto"/>
              <w:left w:val="single" w:sz="4" w:space="0" w:color="auto"/>
              <w:bottom w:val="single" w:sz="4" w:space="0" w:color="auto"/>
              <w:right w:val="single" w:sz="4" w:space="0" w:color="auto"/>
            </w:tcBorders>
            <w:hideMark/>
          </w:tcPr>
          <w:p w:rsidR="003755F0" w:rsidRPr="003755F0" w:rsidP="003755F0" w14:paraId="3A943EAA" w14:textId="77777777">
            <w:pPr>
              <w:tabs>
                <w:tab w:val="left" w:pos="851"/>
              </w:tabs>
              <w:contextualSpacing/>
              <w:jc w:val="center"/>
              <w:rPr>
                <w:rFonts w:ascii="Times New Roman" w:eastAsia="Times New Roman" w:hAnsi="Times New Roman"/>
                <w:sz w:val="24"/>
                <w:szCs w:val="28"/>
              </w:rPr>
            </w:pPr>
            <w:r w:rsidRPr="003755F0">
              <w:rPr>
                <w:rFonts w:ascii="Times New Roman" w:eastAsia="Times New Roman" w:hAnsi="Times New Roman"/>
                <w:sz w:val="24"/>
                <w:szCs w:val="28"/>
              </w:rPr>
              <w:t>1,153</w:t>
            </w:r>
          </w:p>
        </w:tc>
        <w:tc>
          <w:tcPr>
            <w:tcW w:w="2046" w:type="dxa"/>
            <w:tcBorders>
              <w:top w:val="single" w:sz="4" w:space="0" w:color="auto"/>
              <w:left w:val="single" w:sz="4" w:space="0" w:color="auto"/>
              <w:bottom w:val="single" w:sz="4" w:space="0" w:color="auto"/>
              <w:right w:val="single" w:sz="4" w:space="0" w:color="auto"/>
            </w:tcBorders>
            <w:hideMark/>
          </w:tcPr>
          <w:p w:rsidR="003755F0" w:rsidRPr="003755F0" w:rsidP="003755F0" w14:paraId="6434D241" w14:textId="77777777">
            <w:pPr>
              <w:tabs>
                <w:tab w:val="left" w:pos="851"/>
              </w:tabs>
              <w:contextualSpacing/>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300,1</w:t>
            </w:r>
          </w:p>
        </w:tc>
      </w:tr>
    </w:tbl>
    <w:p w:rsidR="003755F0" w:rsidRPr="003755F0" w:rsidP="003755F0" w14:paraId="272BD1B8" w14:textId="77777777">
      <w:pPr>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57194FB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Зазначена потужність дасть можливість задовольнити передусім промислові потреби учасників індустріального парку, а також потреби в опаленні об’єктів нерухомого майна, які належать учасникам індустріального парку, за умови повного заповнення та розвитку парку. За умови приєднання учасника із технологічними потребами, що будуть перевищувати наявні потужності, можливе подальше збільшення потужності газопостачання.</w:t>
      </w:r>
    </w:p>
    <w:p w:rsidR="003755F0" w:rsidRPr="003755F0" w:rsidP="003755F0" w14:paraId="0114117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 метою оптимізації використання природного газу в системі енергозабезпечення індустріального парку передбачається:</w:t>
      </w:r>
    </w:p>
    <w:p w:rsidR="003755F0" w:rsidRPr="003755F0" w:rsidP="003755F0" w14:paraId="79EE26D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використання альтернативних систем енергозабезпечення на основі відновлювальних джерел енергії; </w:t>
      </w:r>
    </w:p>
    <w:p w:rsidR="003755F0" w:rsidRPr="003755F0" w:rsidP="003755F0" w14:paraId="4054090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впровадження енергозберігаючих технологій; </w:t>
      </w:r>
    </w:p>
    <w:p w:rsidR="003755F0" w:rsidRPr="003755F0" w:rsidP="003755F0" w14:paraId="72EC171B"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використання енергозберігаючих матеріалів; </w:t>
      </w:r>
    </w:p>
    <w:p w:rsidR="003755F0" w:rsidRPr="003755F0" w:rsidP="003755F0" w14:paraId="663F496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використання енергозберігаючих світильників і ламп; </w:t>
      </w:r>
    </w:p>
    <w:p w:rsidR="003755F0" w:rsidRPr="003755F0" w:rsidP="003755F0" w14:paraId="24F042D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використання енергозберігаючих побутових приладів, які мають маркування від «А» до «А++».</w:t>
      </w:r>
    </w:p>
    <w:p w:rsidR="003755F0" w:rsidRPr="003755F0" w:rsidP="003755F0" w14:paraId="3041426B" w14:textId="77777777">
      <w:pPr>
        <w:tabs>
          <w:tab w:val="num" w:pos="1276"/>
        </w:tabs>
        <w:spacing w:after="0" w:line="240" w:lineRule="auto"/>
        <w:ind w:left="851"/>
        <w:jc w:val="both"/>
        <w:rPr>
          <w:rFonts w:ascii="Times New Roman" w:eastAsia="Calibri" w:hAnsi="Times New Roman" w:cs="Times New Roman"/>
          <w:kern w:val="2"/>
          <w:sz w:val="28"/>
          <w:szCs w:val="28"/>
          <w:lang w:eastAsia="en-US"/>
          <w14:ligatures w14:val="standardContextual"/>
        </w:rPr>
      </w:pPr>
    </w:p>
    <w:p w:rsidR="003755F0" w:rsidRPr="003755F0" w:rsidP="003755F0" w14:paraId="529DD691"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Теплопостачання</w:t>
      </w:r>
    </w:p>
    <w:p w:rsidR="003755F0" w:rsidRPr="003755F0" w:rsidP="003755F0" w14:paraId="0C3D4E66" w14:textId="77777777">
      <w:pPr>
        <w:widowControl w:val="0"/>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Для забезпечення теплопостачання індустріального парку планується будівництво власної котельні, яка функціонуватиме на газі або твердому паливі. Ця котельня призначена для задоволення потреб в опаленні та гарячому </w:t>
      </w:r>
      <w:r w:rsidRPr="003755F0">
        <w:rPr>
          <w:rFonts w:ascii="Times New Roman" w:eastAsia="Calibri" w:hAnsi="Times New Roman" w:cs="Times New Roman"/>
          <w:kern w:val="2"/>
          <w:sz w:val="28"/>
          <w:szCs w:val="28"/>
          <w:lang w:eastAsia="en-US"/>
          <w14:ligatures w14:val="standardContextual"/>
        </w:rPr>
        <w:t xml:space="preserve">водопостачанні як виробничих, так і побутових об’єктів парку. Вибір потужності котельні та оптимального виду палива буде визначено на наступних етапах </w:t>
      </w:r>
      <w:r w:rsidRPr="003755F0">
        <w:rPr>
          <w:rFonts w:ascii="Times New Roman" w:eastAsia="Calibri" w:hAnsi="Times New Roman" w:cs="Times New Roman"/>
          <w:kern w:val="2"/>
          <w:sz w:val="28"/>
          <w:szCs w:val="28"/>
          <w:lang w:eastAsia="en-US"/>
          <w14:ligatures w14:val="standardContextual"/>
        </w:rPr>
        <w:t>проєктування</w:t>
      </w:r>
      <w:r w:rsidRPr="003755F0">
        <w:rPr>
          <w:rFonts w:ascii="Times New Roman" w:eastAsia="Calibri" w:hAnsi="Times New Roman" w:cs="Times New Roman"/>
          <w:kern w:val="2"/>
          <w:sz w:val="28"/>
          <w:szCs w:val="28"/>
          <w:lang w:eastAsia="en-US"/>
          <w14:ligatures w14:val="standardContextual"/>
        </w:rPr>
        <w:t xml:space="preserve"> парку з урахуванням техніко-економічного обґрунтування та екологічних вимог. </w:t>
      </w:r>
    </w:p>
    <w:p w:rsidR="003755F0" w:rsidRPr="003755F0" w:rsidP="003755F0" w14:paraId="26F54AB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Особлива увага приділятиметься впровадженню енергоефективних рішень, зокрема використанню альтернативних джерел енергії, а також застосуванню сучасних будівельних матеріалів з покращеними теплоізоляційними властивостями. Це дозволить мінімізувати витрати паливно-енергетичних ресурсів і підвищити енергоефективність системи теплопоста</w:t>
      </w:r>
      <w:r w:rsidRPr="003755F0">
        <w:rPr>
          <w:rFonts w:ascii="Times New Roman" w:eastAsia="Calibri" w:hAnsi="Times New Roman" w:cs="Times New Roman"/>
          <w:kern w:val="2"/>
          <w:sz w:val="28"/>
          <w:szCs w:val="28"/>
          <w:lang w:eastAsia="en-US"/>
          <w14:ligatures w14:val="standardContextual"/>
        </w:rPr>
        <w:softHyphen/>
        <w:t xml:space="preserve">чання в цілому. Додатково планується встановити </w:t>
      </w:r>
      <w:r w:rsidRPr="003755F0">
        <w:rPr>
          <w:rFonts w:ascii="Times New Roman" w:eastAsia="Calibri" w:hAnsi="Times New Roman" w:cs="Times New Roman"/>
          <w:kern w:val="2"/>
          <w:sz w:val="28"/>
          <w:szCs w:val="28"/>
          <w:lang w:eastAsia="en-US"/>
          <w14:ligatures w14:val="standardContextual"/>
        </w:rPr>
        <w:t>когенераційне</w:t>
      </w:r>
      <w:r w:rsidRPr="003755F0">
        <w:rPr>
          <w:rFonts w:ascii="Times New Roman" w:eastAsia="Calibri" w:hAnsi="Times New Roman" w:cs="Times New Roman"/>
          <w:kern w:val="2"/>
          <w:sz w:val="28"/>
          <w:szCs w:val="28"/>
          <w:lang w:eastAsia="en-US"/>
          <w14:ligatures w14:val="standardContextual"/>
        </w:rPr>
        <w:t xml:space="preserve"> обладнання – комплекс установок, що одночасно виробляє електричну та теплову енергію, що дозволяє максимально ефективно використовувати паливо та знижувати витрати на енергопостачання. Зазначене обладнання працює за принципом рекуперації тепла, яке зазвичай розсіюється при роботі стандартних електрогенераторів.</w:t>
      </w:r>
    </w:p>
    <w:p w:rsidR="003755F0" w:rsidRPr="003755F0" w:rsidP="003755F0" w14:paraId="2B410A88" w14:textId="77777777">
      <w:pPr>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793DBD06"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Поводження з відходами</w:t>
      </w:r>
    </w:p>
    <w:p w:rsidR="003755F0" w:rsidRPr="003755F0" w:rsidP="003755F0" w14:paraId="5089832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Для забезпечення належного санітарного стану території індустріального парку буде організована система збору та вивезення твердих побутових відходів. На території парку передбачено облаштування спеціальних майданчиків для герметичних контейнерів, призна</w:t>
      </w:r>
      <w:r w:rsidRPr="003755F0">
        <w:rPr>
          <w:rFonts w:ascii="Times New Roman" w:eastAsia="Calibri" w:hAnsi="Times New Roman" w:cs="Times New Roman"/>
          <w:kern w:val="2"/>
          <w:sz w:val="28"/>
          <w:szCs w:val="28"/>
          <w:lang w:eastAsia="en-US"/>
          <w14:ligatures w14:val="standardContextual"/>
        </w:rPr>
        <w:softHyphen/>
        <w:t>чених для збирання відходів. Крім того, з метою ефективного управління відходами і сприяння їхній переробці, планується встановлення окремих контейнерів для роздільного збору скла, пластмаси, паперу, металевих банок та харчових відходів. Це дозволить зменшити наванта</w:t>
      </w:r>
      <w:r w:rsidRPr="003755F0">
        <w:rPr>
          <w:rFonts w:ascii="Times New Roman" w:eastAsia="Calibri" w:hAnsi="Times New Roman" w:cs="Times New Roman"/>
          <w:kern w:val="2"/>
          <w:sz w:val="28"/>
          <w:szCs w:val="28"/>
          <w:lang w:eastAsia="en-US"/>
          <w14:ligatures w14:val="standardContextual"/>
        </w:rPr>
        <w:softHyphen/>
        <w:t>ження на полігони шляхом вилучення вторинної сировини для подальшої переробки на спеціалізованих підприємствах.</w:t>
      </w:r>
    </w:p>
    <w:p w:rsidR="003755F0" w:rsidRPr="003755F0" w:rsidP="003755F0" w14:paraId="4679E95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Вивезення та утилізація побутових відходів здійснюватиметься на основі укладених договорів з ліцензованими комунальними службами. Усі операції, пов'язані зі збиранням, зберіганням, транспортуванням та утилізацією відходів, будуть проводитися з дотриманням вимог екологічної безпеки та чинного законодавства України, що гарантуватиме мінімізацію негативного впливу на навколишнє середовище.</w:t>
      </w:r>
    </w:p>
    <w:p w:rsidR="003755F0" w:rsidRPr="003755F0" w:rsidP="003755F0" w14:paraId="4DFA0EA4"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Благоустрій</w:t>
      </w:r>
    </w:p>
    <w:p w:rsidR="003755F0" w:rsidRPr="003755F0" w:rsidP="003755F0" w14:paraId="0D10877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Ландшафтне планування індустріального парку передбачає раціональне зонування території з урахуванням санітарно-гігієнічних норм та потреб працівників. Особлива увага приділятиметься створенню захисних зелених зон та зон відпочинку, які сприятимуть відновленню сил персоналу. Для озеленення будуть підібрані види рослин з підвищеною стійкістю до промислового забруднення, а також з високими </w:t>
      </w:r>
      <w:r w:rsidRPr="003755F0">
        <w:rPr>
          <w:rFonts w:ascii="Times New Roman" w:eastAsia="Calibri" w:hAnsi="Times New Roman" w:cs="Times New Roman"/>
          <w:kern w:val="2"/>
          <w:sz w:val="28"/>
          <w:szCs w:val="28"/>
          <w:lang w:eastAsia="en-US"/>
          <w14:ligatures w14:val="standardContextual"/>
        </w:rPr>
        <w:t>шумо</w:t>
      </w:r>
      <w:r w:rsidRPr="003755F0">
        <w:rPr>
          <w:rFonts w:ascii="Times New Roman" w:eastAsia="Calibri" w:hAnsi="Times New Roman" w:cs="Times New Roman"/>
          <w:kern w:val="2"/>
          <w:sz w:val="28"/>
          <w:szCs w:val="28"/>
          <w:lang w:eastAsia="en-US"/>
          <w14:ligatures w14:val="standardContextual"/>
        </w:rPr>
        <w:t>-, пило- та газозахисними властивостями. Такі насадження не лише покращать мікроклімат, але й виконуватимуть функцію природного бар’єру між різними функціональними зонами парку.</w:t>
      </w:r>
    </w:p>
    <w:p w:rsidR="003755F0" w:rsidRPr="003755F0" w:rsidP="003755F0" w14:paraId="4E29AA8F" w14:textId="77777777">
      <w:pPr>
        <w:widowControl w:val="0"/>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При </w:t>
      </w:r>
      <w:r w:rsidRPr="003755F0">
        <w:rPr>
          <w:rFonts w:ascii="Times New Roman" w:eastAsia="Calibri" w:hAnsi="Times New Roman" w:cs="Times New Roman"/>
          <w:kern w:val="2"/>
          <w:sz w:val="28"/>
          <w:szCs w:val="28"/>
          <w:lang w:eastAsia="en-US"/>
          <w14:ligatures w14:val="standardContextual"/>
        </w:rPr>
        <w:t>проєктуванні</w:t>
      </w:r>
      <w:r w:rsidRPr="003755F0">
        <w:rPr>
          <w:rFonts w:ascii="Times New Roman" w:eastAsia="Calibri" w:hAnsi="Times New Roman" w:cs="Times New Roman"/>
          <w:kern w:val="2"/>
          <w:sz w:val="28"/>
          <w:szCs w:val="28"/>
          <w:lang w:eastAsia="en-US"/>
          <w14:ligatures w14:val="standardContextual"/>
        </w:rPr>
        <w:t xml:space="preserve"> ландшафту планується використання місцевих </w:t>
      </w:r>
      <w:r w:rsidRPr="003755F0">
        <w:rPr>
          <w:rFonts w:ascii="Times New Roman" w:eastAsia="Calibri" w:hAnsi="Times New Roman" w:cs="Times New Roman"/>
          <w:kern w:val="2"/>
          <w:sz w:val="28"/>
          <w:szCs w:val="28"/>
          <w:lang w:eastAsia="en-US"/>
          <w14:ligatures w14:val="standardContextual"/>
        </w:rPr>
        <w:t>містоформуючих</w:t>
      </w:r>
      <w:r w:rsidRPr="003755F0">
        <w:rPr>
          <w:rFonts w:ascii="Times New Roman" w:eastAsia="Calibri" w:hAnsi="Times New Roman" w:cs="Times New Roman"/>
          <w:kern w:val="2"/>
          <w:sz w:val="28"/>
          <w:szCs w:val="28"/>
          <w:lang w:eastAsia="en-US"/>
          <w14:ligatures w14:val="standardContextual"/>
        </w:rPr>
        <w:t xml:space="preserve"> видів рослин, які найкраще адаптовані до місцевих умов і стійкі до негативних впливів. Композиційні рішення включатимуть масиви, смуги, групи, рядові та поодинокі посадки, а також вертикальне озеленення та </w:t>
      </w:r>
      <w:r w:rsidRPr="003755F0">
        <w:rPr>
          <w:rFonts w:ascii="Times New Roman" w:eastAsia="Calibri" w:hAnsi="Times New Roman" w:cs="Times New Roman"/>
          <w:kern w:val="2"/>
          <w:sz w:val="28"/>
          <w:szCs w:val="28"/>
          <w:lang w:eastAsia="en-US"/>
          <w14:ligatures w14:val="standardContextual"/>
        </w:rPr>
        <w:t xml:space="preserve">квіткові композиції. Масиви дерев і чагарників формуватимуться за принципом вільного планування, а </w:t>
      </w:r>
      <w:r w:rsidRPr="003755F0">
        <w:rPr>
          <w:rFonts w:ascii="Times New Roman" w:eastAsia="Calibri" w:hAnsi="Times New Roman" w:cs="Times New Roman"/>
          <w:kern w:val="2"/>
          <w:sz w:val="28"/>
          <w:szCs w:val="28"/>
          <w:lang w:eastAsia="en-US"/>
          <w14:ligatures w14:val="standardContextual"/>
        </w:rPr>
        <w:t>однопородні</w:t>
      </w:r>
      <w:r w:rsidRPr="003755F0">
        <w:rPr>
          <w:rFonts w:ascii="Times New Roman" w:eastAsia="Calibri" w:hAnsi="Times New Roman" w:cs="Times New Roman"/>
          <w:kern w:val="2"/>
          <w:sz w:val="28"/>
          <w:szCs w:val="28"/>
          <w:lang w:eastAsia="en-US"/>
          <w14:ligatures w14:val="standardContextual"/>
        </w:rPr>
        <w:t xml:space="preserve"> та змішані групи насаджень будуть розмі</w:t>
      </w:r>
      <w:r w:rsidRPr="003755F0">
        <w:rPr>
          <w:rFonts w:ascii="Times New Roman" w:eastAsia="Calibri" w:hAnsi="Times New Roman" w:cs="Times New Roman"/>
          <w:kern w:val="2"/>
          <w:sz w:val="28"/>
          <w:szCs w:val="28"/>
          <w:lang w:eastAsia="en-US"/>
          <w14:ligatures w14:val="standardContextual"/>
        </w:rPr>
        <w:softHyphen/>
        <w:t>щу</w:t>
      </w:r>
      <w:r w:rsidRPr="003755F0">
        <w:rPr>
          <w:rFonts w:ascii="Times New Roman" w:eastAsia="Calibri" w:hAnsi="Times New Roman" w:cs="Times New Roman"/>
          <w:kern w:val="2"/>
          <w:sz w:val="28"/>
          <w:szCs w:val="28"/>
          <w:lang w:eastAsia="en-US"/>
          <w14:ligatures w14:val="standardContextual"/>
        </w:rPr>
        <w:softHyphen/>
        <w:t>ватися в зонах відпочинку з урахуванням оптимальної відстані для візуального сприйняття.</w:t>
      </w:r>
    </w:p>
    <w:p w:rsidR="003755F0" w:rsidRPr="003755F0" w:rsidP="003755F0" w14:paraId="2F8110F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Загальна площа озеленення парку сягатиме майже 2,98 га, що забезпечить комфортне середовище для праці та відпочинку, а також сприятиме екологічній збалансовано</w:t>
      </w:r>
      <w:r w:rsidRPr="003755F0">
        <w:rPr>
          <w:rFonts w:ascii="Times New Roman" w:eastAsia="Calibri" w:hAnsi="Times New Roman" w:cs="Times New Roman"/>
          <w:kern w:val="2"/>
          <w:sz w:val="28"/>
          <w:szCs w:val="28"/>
          <w:lang w:eastAsia="en-US"/>
          <w14:ligatures w14:val="standardContextual"/>
        </w:rPr>
        <w:softHyphen/>
        <w:t>сті території.</w:t>
      </w:r>
    </w:p>
    <w:p w:rsidR="003755F0" w:rsidRPr="003755F0" w:rsidP="003755F0" w14:paraId="05754FA5"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Комплексний благоустрій території індустріального парку включатиме створення комфортних умов для праці та відпочинку. Зокрема, передбачено:</w:t>
      </w:r>
    </w:p>
    <w:p w:rsidR="003755F0" w:rsidRPr="003755F0" w:rsidP="003755F0" w14:paraId="007D13F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організацію зелених зон і територій для відпочинку працівників та відвідувачів;</w:t>
      </w:r>
    </w:p>
    <w:p w:rsidR="003755F0" w:rsidRPr="003755F0" w:rsidP="003755F0" w14:paraId="5974500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влаштування твердого покриття — асфальтобетону, бруківки — на проїздах, тротуарах, автостоянках, пішохідних доріжках та майданчиках для відпочинку;</w:t>
      </w:r>
    </w:p>
    <w:p w:rsidR="003755F0" w:rsidRPr="003755F0" w:rsidP="003755F0" w14:paraId="5E2E560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встановлення малих архітектурних форм: лавочок, урн для сміття, </w:t>
      </w:r>
      <w:r w:rsidRPr="003755F0">
        <w:rPr>
          <w:rFonts w:ascii="Times New Roman" w:eastAsia="Calibri" w:hAnsi="Times New Roman" w:cs="Times New Roman"/>
          <w:kern w:val="2"/>
          <w:sz w:val="28"/>
          <w:szCs w:val="28"/>
          <w:lang w:eastAsia="en-US"/>
          <w14:ligatures w14:val="standardContextual"/>
        </w:rPr>
        <w:t>велопарковок</w:t>
      </w:r>
      <w:r w:rsidRPr="003755F0">
        <w:rPr>
          <w:rFonts w:ascii="Times New Roman" w:eastAsia="Calibri" w:hAnsi="Times New Roman" w:cs="Times New Roman"/>
          <w:kern w:val="2"/>
          <w:sz w:val="28"/>
          <w:szCs w:val="28"/>
          <w:lang w:eastAsia="en-US"/>
          <w14:ligatures w14:val="standardContextual"/>
        </w:rPr>
        <w:t>, інформаційних табло та інших елементів благоустрою;</w:t>
      </w:r>
    </w:p>
    <w:p w:rsidR="003755F0" w:rsidRPr="003755F0" w:rsidP="003755F0" w14:paraId="32A77F7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огородження території парку;</w:t>
      </w:r>
    </w:p>
    <w:p w:rsidR="003755F0" w:rsidRPr="003755F0" w:rsidP="003755F0" w14:paraId="5ED2F80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облаштування зовнішнього освітлення для забезпечення безпеки та комфорту в темний час доби.</w:t>
      </w:r>
    </w:p>
    <w:p w:rsidR="003755F0" w:rsidRPr="003755F0" w:rsidP="003755F0" w14:paraId="5E8172D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Основна зона відпочинку, що включатиме лавочки, пішохідні доріжки та декоративне озеленення, розташовуватиметься поблизу адміністративно-побутового комплексу, їдальні та тимчасової стоянки для легкового транспорту працівників. Це дозволить створити зручне і функціональне середовище для персоналу та гостей парку.</w:t>
      </w:r>
    </w:p>
    <w:p w:rsidR="003755F0" w:rsidRPr="003755F0" w:rsidP="003755F0" w14:paraId="27207814" w14:textId="77777777">
      <w:pPr>
        <w:keepNext/>
        <w:keepLines/>
        <w:numPr>
          <w:ilvl w:val="0"/>
          <w:numId w:val="1"/>
        </w:numPr>
        <w:spacing w:before="160" w:after="80" w:line="240" w:lineRule="auto"/>
        <w:jc w:val="center"/>
        <w:outlineLvl w:val="2"/>
        <w:rPr>
          <w:rFonts w:ascii="Times New Roman" w:eastAsia="Times New Roman" w:hAnsi="Times New Roman" w:cs="Times New Roman"/>
          <w:b/>
          <w:kern w:val="2"/>
          <w:sz w:val="28"/>
          <w:szCs w:val="28"/>
          <w:lang w:eastAsia="en-US"/>
          <w14:ligatures w14:val="standardContextual"/>
        </w:rPr>
      </w:pPr>
      <w:bookmarkStart w:id="13" w:name="_Toc194054631"/>
      <w:r w:rsidRPr="003755F0">
        <w:rPr>
          <w:rFonts w:ascii="Times New Roman" w:eastAsia="Times New Roman" w:hAnsi="Times New Roman" w:cs="Times New Roman"/>
          <w:b/>
          <w:kern w:val="2"/>
          <w:sz w:val="28"/>
          <w:szCs w:val="28"/>
          <w:lang w:eastAsia="en-US"/>
          <w14:ligatures w14:val="standardContextual"/>
        </w:rPr>
        <w:t>План розвитку індустріального парку</w:t>
      </w:r>
      <w:bookmarkEnd w:id="13"/>
    </w:p>
    <w:p w:rsidR="003755F0" w:rsidRPr="003755F0" w:rsidP="003755F0" w14:paraId="23AB716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Реалізація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«БУДШЛЯХМАШ» відбуватиметься в три ключові етапи:</w:t>
      </w:r>
    </w:p>
    <w:p w:rsidR="003755F0" w:rsidRPr="003755F0" w:rsidP="003755F0" w14:paraId="032A69F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Підготовчий етап — включає розробку </w:t>
      </w:r>
      <w:r w:rsidRPr="003755F0">
        <w:rPr>
          <w:rFonts w:ascii="Times New Roman" w:eastAsia="Calibri" w:hAnsi="Times New Roman" w:cs="Times New Roman"/>
          <w:kern w:val="2"/>
          <w:sz w:val="28"/>
          <w:szCs w:val="28"/>
          <w:lang w:eastAsia="en-US"/>
          <w14:ligatures w14:val="standardContextual"/>
        </w:rPr>
        <w:t>проєктної</w:t>
      </w:r>
      <w:r w:rsidRPr="003755F0">
        <w:rPr>
          <w:rFonts w:ascii="Times New Roman" w:eastAsia="Calibri" w:hAnsi="Times New Roman" w:cs="Times New Roman"/>
          <w:kern w:val="2"/>
          <w:sz w:val="28"/>
          <w:szCs w:val="28"/>
          <w:lang w:eastAsia="en-US"/>
          <w14:ligatures w14:val="standardContextual"/>
        </w:rPr>
        <w:t xml:space="preserve"> документації, узгодження з контролюючими органами, отримання необхідних дозволів та підготовку території до будівництва.</w:t>
      </w:r>
    </w:p>
    <w:p w:rsidR="003755F0" w:rsidRPr="003755F0" w:rsidP="003755F0" w14:paraId="0D2FF1A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Облаштування та наповнення індустріального парку — передбачає будівництво інфраструктури, підключення комунікацій, створення умов для розміщення підприємств та залучення резидентів.</w:t>
      </w:r>
    </w:p>
    <w:p w:rsidR="003755F0" w:rsidRPr="003755F0" w:rsidP="003755F0" w14:paraId="0355C9F2"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Запуск роботи індустріального парку — охоплює введення об’єктів в експлуатацію, початку діяльності підприємств та забезпечення їх повноцінного функціонування.</w:t>
      </w:r>
    </w:p>
    <w:p w:rsidR="003755F0" w:rsidRPr="003755F0" w:rsidP="003755F0" w14:paraId="0D30F73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Кожен етап спрямований на ефективне впровадження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та досягнення його стратегічних цілей.</w:t>
      </w:r>
    </w:p>
    <w:p w:rsidR="003755F0" w:rsidRPr="003755F0" w:rsidP="003755F0" w14:paraId="2A88A6F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77933B2"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Підготовчий етап</w:t>
      </w:r>
      <w:r w:rsidRPr="003755F0">
        <w:rPr>
          <w:rFonts w:ascii="Times New Roman" w:eastAsia="Calibri" w:hAnsi="Times New Roman" w:cs="Times New Roman"/>
          <w:kern w:val="2"/>
          <w:sz w:val="28"/>
          <w:szCs w:val="28"/>
          <w:lang w:eastAsia="en-US"/>
          <w14:ligatures w14:val="standardContextual"/>
        </w:rPr>
        <w:t xml:space="preserve">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«БУДШЛЯХМАШ» триватиме близько одного року. Його основне завдання — проведення організаційно-правових заходів та підготовка документації, необхідної для офіційної реєстрації парку.</w:t>
      </w:r>
    </w:p>
    <w:p w:rsidR="003755F0" w:rsidRPr="003755F0" w:rsidP="003755F0" w14:paraId="5FC1218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 цьому етапі планується:</w:t>
      </w:r>
    </w:p>
    <w:p w:rsidR="003755F0" w:rsidRPr="003755F0" w:rsidP="003755F0" w14:paraId="0F30CCFB"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розробка та затвердження концепції індустріального парку;</w:t>
      </w:r>
    </w:p>
    <w:p w:rsidR="003755F0" w:rsidRPr="003755F0" w:rsidP="003755F0" w14:paraId="5E3479D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підготовка юридичної документації на земельну ділянку, за необхідністю розроблення детального плану території та оформлення відповідної землевпорядної документації;</w:t>
      </w:r>
    </w:p>
    <w:p w:rsidR="003755F0" w:rsidRPr="003755F0" w:rsidP="003755F0" w14:paraId="1E334A4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включення парку до Реєстру індустріальних (промислових) парків Міністерства економіки, довкілля та сільського господарства України;</w:t>
      </w:r>
    </w:p>
    <w:p w:rsidR="003755F0" w:rsidRPr="003755F0" w:rsidP="003755F0" w14:paraId="30B66F5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відбір керуючої компанії, укладення з нею необхідних документів по управлінню парком;</w:t>
      </w:r>
    </w:p>
    <w:p w:rsidR="003755F0" w:rsidRPr="003755F0" w:rsidP="003755F0" w14:paraId="61D9869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підготовка фінансово-економічного обґрунтування для залучення інвестицій в індустріальний парк.</w:t>
      </w:r>
    </w:p>
    <w:p w:rsidR="003755F0" w:rsidRPr="003755F0" w:rsidP="003755F0" w14:paraId="710D149C" w14:textId="77777777">
      <w:pPr>
        <w:tabs>
          <w:tab w:val="num" w:pos="1276"/>
        </w:tabs>
        <w:spacing w:after="0" w:line="240" w:lineRule="auto"/>
        <w:ind w:left="851"/>
        <w:jc w:val="both"/>
        <w:rPr>
          <w:rFonts w:ascii="Times New Roman" w:eastAsia="Calibri" w:hAnsi="Times New Roman" w:cs="Times New Roman"/>
          <w:kern w:val="2"/>
          <w:sz w:val="28"/>
          <w:szCs w:val="28"/>
          <w:lang w:eastAsia="en-US"/>
          <w14:ligatures w14:val="standardContextual"/>
        </w:rPr>
      </w:pPr>
    </w:p>
    <w:p w:rsidR="003755F0" w:rsidRPr="003755F0" w:rsidP="003755F0" w14:paraId="1DDCA8F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 етапі </w:t>
      </w:r>
      <w:r w:rsidRPr="003755F0">
        <w:rPr>
          <w:rFonts w:ascii="Times New Roman" w:eastAsia="Calibri" w:hAnsi="Times New Roman" w:cs="Times New Roman"/>
          <w:b/>
          <w:bCs/>
          <w:kern w:val="2"/>
          <w:sz w:val="28"/>
          <w:szCs w:val="28"/>
          <w:lang w:eastAsia="en-US"/>
          <w14:ligatures w14:val="standardContextual"/>
        </w:rPr>
        <w:t>облаштування та наповнення індустріального парку</w:t>
      </w:r>
      <w:r w:rsidRPr="003755F0">
        <w:rPr>
          <w:rFonts w:ascii="Times New Roman" w:eastAsia="Calibri" w:hAnsi="Times New Roman" w:cs="Times New Roman"/>
          <w:kern w:val="2"/>
          <w:sz w:val="28"/>
          <w:szCs w:val="28"/>
          <w:lang w:eastAsia="en-US"/>
          <w14:ligatures w14:val="standardContextual"/>
        </w:rPr>
        <w:t xml:space="preserve"> основним завданням стане залучення потенційних учасників та створення інфраструктури для їх господарської діяльності. Цей процес включатиме:</w:t>
      </w:r>
    </w:p>
    <w:p w:rsidR="003755F0" w:rsidRPr="003755F0" w:rsidP="003755F0" w14:paraId="354C101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роботу з інвесторами та партнерами: проведення переговорів з потенційними учасниками, надання інформації за їхніми запитами, укладення угод про участь у парку;</w:t>
      </w:r>
    </w:p>
    <w:p w:rsidR="003755F0" w:rsidRPr="003755F0" w:rsidP="003755F0" w14:paraId="4211E07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передачу земельних ділянок: надання учасникам та іншим суб’єктам парку землі в суборенду для будівництва та обслуговування виробничих і допоміжних об’єктів.</w:t>
      </w:r>
    </w:p>
    <w:p w:rsidR="003755F0" w:rsidRPr="003755F0" w:rsidP="003755F0" w14:paraId="42DD82E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проєктування</w:t>
      </w:r>
      <w:r w:rsidRPr="003755F0">
        <w:rPr>
          <w:rFonts w:ascii="Times New Roman" w:eastAsia="Calibri" w:hAnsi="Times New Roman" w:cs="Times New Roman"/>
          <w:kern w:val="2"/>
          <w:sz w:val="28"/>
          <w:szCs w:val="28"/>
          <w:lang w:eastAsia="en-US"/>
          <w14:ligatures w14:val="standardContextual"/>
        </w:rPr>
        <w:t xml:space="preserve"> та будівництво інфраструктури: підготовка технічної та кошторисної документації, отримання технічних умов і дозволів на будівництво логістичної та інженерно-технічної інфраструктури, а також безпосереднє облаштування території парку;</w:t>
      </w:r>
    </w:p>
    <w:p w:rsidR="003755F0" w:rsidRPr="003755F0" w:rsidP="003755F0" w14:paraId="46F3EF4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вибір підрядників та фінансування: конкурсний відбір генерального підрядника та забезпечення фінансування робіт з розбудови інфраструктури;</w:t>
      </w:r>
    </w:p>
    <w:p w:rsidR="003755F0" w:rsidRPr="003755F0" w:rsidP="003755F0" w14:paraId="172F26F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сприяння учасникам у будівництві: допомога в оформленні технічної документації та отриманні дозволів на зведення виробничих будівель.</w:t>
      </w:r>
    </w:p>
    <w:p w:rsidR="003755F0" w:rsidRPr="003755F0" w:rsidP="003755F0" w14:paraId="06F6F06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Керуюча компанія та Ініціатор індустріального парку братимуть активну участь у </w:t>
      </w:r>
      <w:r w:rsidRPr="003755F0">
        <w:rPr>
          <w:rFonts w:ascii="Times New Roman" w:eastAsia="Calibri" w:hAnsi="Times New Roman" w:cs="Times New Roman"/>
          <w:kern w:val="2"/>
          <w:sz w:val="28"/>
          <w:szCs w:val="28"/>
          <w:lang w:eastAsia="en-US"/>
          <w14:ligatures w14:val="standardContextual"/>
        </w:rPr>
        <w:t>проєктуванні</w:t>
      </w:r>
      <w:r w:rsidRPr="003755F0">
        <w:rPr>
          <w:rFonts w:ascii="Times New Roman" w:eastAsia="Calibri" w:hAnsi="Times New Roman" w:cs="Times New Roman"/>
          <w:kern w:val="2"/>
          <w:sz w:val="28"/>
          <w:szCs w:val="28"/>
          <w:lang w:eastAsia="en-US"/>
          <w14:ligatures w14:val="standardContextual"/>
        </w:rPr>
        <w:t xml:space="preserve"> та розвитку парку, пропонуючи учасникам два варіанти співпраці:</w:t>
      </w:r>
    </w:p>
    <w:p w:rsidR="003755F0" w:rsidRPr="003755F0" w:rsidP="003755F0" w14:paraId="4A727AD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самостійне інвестування у будівництво власних виробничих </w:t>
      </w:r>
      <w:r w:rsidRPr="003755F0">
        <w:rPr>
          <w:rFonts w:ascii="Times New Roman" w:eastAsia="Calibri" w:hAnsi="Times New Roman" w:cs="Times New Roman"/>
          <w:kern w:val="2"/>
          <w:sz w:val="28"/>
          <w:szCs w:val="28"/>
          <w:lang w:eastAsia="en-US"/>
          <w14:ligatures w14:val="standardContextual"/>
        </w:rPr>
        <w:t>потужностей</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24E02E07"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оренда або придбання готових приміщень, зведених ініціатором або керуючою компанією.</w:t>
      </w:r>
    </w:p>
    <w:p w:rsidR="003755F0" w:rsidRPr="003755F0" w:rsidP="003755F0" w14:paraId="47528FC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Метою етапу є створення оптимальних умов для розвитку бізнесу, забезпечення учасників усім необхідним для ефективного функціонування та росту.</w:t>
      </w:r>
    </w:p>
    <w:p w:rsidR="003755F0" w:rsidRPr="003755F0" w:rsidP="003755F0" w14:paraId="4563430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0C0E323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Етап запуску індустріального парку</w:t>
      </w:r>
      <w:r w:rsidRPr="003755F0">
        <w:rPr>
          <w:rFonts w:ascii="Times New Roman" w:eastAsia="Calibri" w:hAnsi="Times New Roman" w:cs="Times New Roman"/>
          <w:kern w:val="2"/>
          <w:sz w:val="28"/>
          <w:szCs w:val="28"/>
          <w:lang w:eastAsia="en-US"/>
          <w14:ligatures w14:val="standardContextual"/>
        </w:rPr>
        <w:t xml:space="preserve"> передбачає початок повноцінної роботи його учасників у сфері переробної промисловості. На цьому етапі планується:</w:t>
      </w:r>
    </w:p>
    <w:p w:rsidR="003755F0" w:rsidRPr="003755F0" w:rsidP="003755F0" w14:paraId="17A83774"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розміщення та введення в експлуатацію виробничих </w:t>
      </w:r>
      <w:r w:rsidRPr="003755F0">
        <w:rPr>
          <w:rFonts w:ascii="Times New Roman" w:eastAsia="Calibri" w:hAnsi="Times New Roman" w:cs="Times New Roman"/>
          <w:kern w:val="2"/>
          <w:sz w:val="28"/>
          <w:szCs w:val="28"/>
          <w:lang w:eastAsia="en-US"/>
          <w14:ligatures w14:val="standardContextual"/>
        </w:rPr>
        <w:t>потужностей</w:t>
      </w:r>
      <w:r w:rsidRPr="003755F0">
        <w:rPr>
          <w:rFonts w:ascii="Times New Roman" w:eastAsia="Calibri" w:hAnsi="Times New Roman" w:cs="Times New Roman"/>
          <w:kern w:val="2"/>
          <w:sz w:val="28"/>
          <w:szCs w:val="28"/>
          <w:lang w:eastAsia="en-US"/>
          <w14:ligatures w14:val="standardContextual"/>
        </w:rPr>
        <w:t xml:space="preserve"> учасниками парку;</w:t>
      </w:r>
    </w:p>
    <w:p w:rsidR="003755F0" w:rsidRPr="003755F0" w:rsidP="003755F0" w14:paraId="2B6412B7"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супровід та подальший розвиток інфраструктури, а також підтримка бізнес-процесів резидентів.</w:t>
      </w:r>
    </w:p>
    <w:p w:rsidR="003755F0" w:rsidRPr="003755F0" w:rsidP="003755F0" w14:paraId="392ECB7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Повноцінний запуск індустріального парку заплановано у 2029 році. До цього часу передбачено:</w:t>
      </w:r>
    </w:p>
    <w:p w:rsidR="003755F0" w:rsidRPr="003755F0" w:rsidP="003755F0" w14:paraId="533FD3D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завершити комплектування парку учасниками відповідно до його функціонального призначення (галузевої спеціалізації) ;</w:t>
      </w:r>
    </w:p>
    <w:p w:rsidR="003755F0" w:rsidRPr="003755F0" w:rsidP="003755F0" w14:paraId="52AFC45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залучити необхідне приватне та державне фінансування відповідно до укладених меморандумів з потенційними учасниками й уповноваженим державним органом, що реалізує державну політику щодо створення і функціонування індустріальних парків на території України;</w:t>
      </w:r>
    </w:p>
    <w:p w:rsidR="003755F0" w:rsidRPr="003755F0" w:rsidP="003755F0" w14:paraId="3C0D000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виконати всі </w:t>
      </w:r>
      <w:r w:rsidRPr="003755F0">
        <w:rPr>
          <w:rFonts w:ascii="Times New Roman" w:eastAsia="Calibri" w:hAnsi="Times New Roman" w:cs="Times New Roman"/>
          <w:kern w:val="2"/>
          <w:sz w:val="28"/>
          <w:szCs w:val="28"/>
          <w:lang w:eastAsia="en-US"/>
          <w14:ligatures w14:val="standardContextual"/>
        </w:rPr>
        <w:t>проєктні</w:t>
      </w:r>
      <w:r w:rsidRPr="003755F0">
        <w:rPr>
          <w:rFonts w:ascii="Times New Roman" w:eastAsia="Calibri" w:hAnsi="Times New Roman" w:cs="Times New Roman"/>
          <w:kern w:val="2"/>
          <w:sz w:val="28"/>
          <w:szCs w:val="28"/>
          <w:lang w:eastAsia="en-US"/>
          <w14:ligatures w14:val="standardContextual"/>
        </w:rPr>
        <w:t xml:space="preserve"> роботи;</w:t>
      </w:r>
    </w:p>
    <w:p w:rsidR="003755F0" w:rsidRPr="003755F0" w:rsidP="003755F0" w14:paraId="59C6B0A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звести та ввести в експлуатацію ключові об’єкти інфраструктури.</w:t>
      </w:r>
    </w:p>
    <w:p w:rsidR="003755F0" w:rsidRPr="003755F0" w:rsidP="003755F0" w14:paraId="36740C0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Орієнтовний графік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подано в таблиці 7.</w:t>
      </w:r>
    </w:p>
    <w:p w:rsidR="003755F0" w:rsidRPr="003755F0" w:rsidP="003755F0" w14:paraId="1CFD363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3915AA22" w14:textId="77777777">
      <w:pPr>
        <w:spacing w:after="0" w:line="240" w:lineRule="auto"/>
        <w:jc w:val="center"/>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Табл. 7</w:t>
      </w:r>
      <w:r w:rsidRPr="003755F0">
        <w:rPr>
          <w:rFonts w:ascii="Times New Roman" w:eastAsia="Calibri" w:hAnsi="Times New Roman" w:cs="Times New Roman"/>
          <w:kern w:val="2"/>
          <w:sz w:val="28"/>
          <w:szCs w:val="24"/>
          <w:lang w:eastAsia="en-US"/>
          <w14:ligatures w14:val="standardContextual"/>
        </w:rPr>
        <w:t xml:space="preserve">. Попередній графік реалізації </w:t>
      </w:r>
      <w:r w:rsidRPr="003755F0">
        <w:rPr>
          <w:rFonts w:ascii="Times New Roman" w:eastAsia="Calibri" w:hAnsi="Times New Roman" w:cs="Times New Roman"/>
          <w:kern w:val="2"/>
          <w:sz w:val="28"/>
          <w:szCs w:val="24"/>
          <w:lang w:eastAsia="en-US"/>
          <w14:ligatures w14:val="standardContextual"/>
        </w:rPr>
        <w:t>проєкту</w:t>
      </w:r>
      <w:r w:rsidRPr="003755F0">
        <w:rPr>
          <w:rFonts w:ascii="Times New Roman" w:eastAsia="Calibri" w:hAnsi="Times New Roman" w:cs="Times New Roman"/>
          <w:kern w:val="2"/>
          <w:sz w:val="28"/>
          <w:szCs w:val="24"/>
          <w:lang w:eastAsia="en-US"/>
          <w14:ligatures w14:val="standardContextual"/>
        </w:rPr>
        <w:t xml:space="preserve"> індустріального парку</w:t>
      </w:r>
    </w:p>
    <w:tbl>
      <w:tblPr>
        <w:tblStyle w:val="8"/>
        <w:tblW w:w="0" w:type="auto"/>
        <w:tblInd w:w="0" w:type="dxa"/>
        <w:tblLook w:val="04A0"/>
      </w:tblPr>
      <w:tblGrid>
        <w:gridCol w:w="3884"/>
        <w:gridCol w:w="2092"/>
        <w:gridCol w:w="2107"/>
        <w:gridCol w:w="1405"/>
      </w:tblGrid>
      <w:tr w14:paraId="7066BB03" w14:textId="77777777" w:rsidTr="003755F0">
        <w:tblPrEx>
          <w:tblW w:w="0" w:type="auto"/>
          <w:tblInd w:w="0" w:type="dxa"/>
          <w:tblLook w:val="04A0"/>
        </w:tblPrEx>
        <w:trPr>
          <w:trHeight w:val="537"/>
        </w:trPr>
        <w:tc>
          <w:tcPr>
            <w:tcW w:w="3884"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F2C9F24" w14:textId="77777777">
            <w:pPr>
              <w:tabs>
                <w:tab w:val="left" w:pos="851"/>
              </w:tabs>
              <w:spacing w:line="216" w:lineRule="auto"/>
              <w:jc w:val="center"/>
              <w:rPr>
                <w:rFonts w:ascii="Times New Roman" w:hAnsi="Times New Roman"/>
                <w:b/>
                <w:bCs/>
                <w:sz w:val="24"/>
                <w:szCs w:val="24"/>
              </w:rPr>
            </w:pPr>
            <w:r w:rsidRPr="003755F0">
              <w:rPr>
                <w:rFonts w:ascii="Times New Roman" w:eastAsia="Times New Roman" w:hAnsi="Times New Roman"/>
                <w:b/>
                <w:bCs/>
                <w:sz w:val="24"/>
                <w:szCs w:val="24"/>
              </w:rPr>
              <w:t xml:space="preserve">Етапи </w:t>
            </w:r>
            <w:r w:rsidRPr="003755F0">
              <w:rPr>
                <w:rFonts w:ascii="Times New Roman" w:eastAsia="Times New Roman" w:hAnsi="Times New Roman"/>
                <w:b/>
                <w:bCs/>
                <w:sz w:val="24"/>
                <w:szCs w:val="24"/>
              </w:rPr>
              <w:t>проєкту</w:t>
            </w:r>
          </w:p>
        </w:tc>
        <w:tc>
          <w:tcPr>
            <w:tcW w:w="209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3DE1D1D0" w14:textId="77777777">
            <w:pPr>
              <w:tabs>
                <w:tab w:val="left" w:pos="851"/>
              </w:tabs>
              <w:spacing w:line="216" w:lineRule="auto"/>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Початок</w:t>
            </w:r>
          </w:p>
        </w:tc>
        <w:tc>
          <w:tcPr>
            <w:tcW w:w="2107"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B3AF913" w14:textId="77777777">
            <w:pPr>
              <w:tabs>
                <w:tab w:val="left" w:pos="851"/>
              </w:tabs>
              <w:spacing w:line="216" w:lineRule="auto"/>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Завершення</w:t>
            </w:r>
          </w:p>
        </w:tc>
        <w:tc>
          <w:tcPr>
            <w:tcW w:w="1405"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4071FF95" w14:textId="77777777">
            <w:pPr>
              <w:tabs>
                <w:tab w:val="left" w:pos="851"/>
              </w:tabs>
              <w:spacing w:line="216" w:lineRule="auto"/>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Кількість місяців</w:t>
            </w:r>
          </w:p>
        </w:tc>
      </w:tr>
      <w:tr w14:paraId="14D3474B"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02151A9" w14:textId="77777777">
            <w:pPr>
              <w:tabs>
                <w:tab w:val="left" w:pos="851"/>
              </w:tabs>
              <w:spacing w:line="216" w:lineRule="auto"/>
              <w:rPr>
                <w:rFonts w:ascii="Times New Roman" w:eastAsia="Times New Roman" w:hAnsi="Times New Roman"/>
                <w:caps/>
                <w:sz w:val="24"/>
                <w:szCs w:val="24"/>
              </w:rPr>
            </w:pPr>
            <w:r w:rsidRPr="003755F0">
              <w:rPr>
                <w:rFonts w:ascii="Times New Roman" w:eastAsia="Times New Roman" w:hAnsi="Times New Roman"/>
                <w:caps/>
                <w:sz w:val="24"/>
                <w:szCs w:val="24"/>
              </w:rPr>
              <w:t>В цілому</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4685B5"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2026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18424E7"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2029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889BF0"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36</w:t>
            </w:r>
          </w:p>
        </w:tc>
      </w:tr>
      <w:tr w14:paraId="740989D4"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862BA87"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Реєстрація ІП</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9A7BF3"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2026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91E7E1"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2026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796AF8"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3</w:t>
            </w:r>
          </w:p>
        </w:tc>
      </w:tr>
      <w:tr w14:paraId="3B5E6E8C"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CF96CC6"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Проєктування</w:t>
            </w:r>
            <w:r w:rsidRPr="003755F0">
              <w:rPr>
                <w:rFonts w:ascii="Times New Roman" w:eastAsia="Times New Roman" w:hAnsi="Times New Roman"/>
                <w:sz w:val="24"/>
                <w:szCs w:val="24"/>
              </w:rPr>
              <w:t xml:space="preserve"> мереж та об’єктів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7CEAAFD"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2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2026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829B8E"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2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2027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9662F1"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12</w:t>
            </w:r>
          </w:p>
        </w:tc>
      </w:tr>
      <w:tr w14:paraId="7AE67716"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0C3D723"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Будівництво інженерно-транспортних мереж</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421313B"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4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2026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86A8444"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2028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9610AC1"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18</w:t>
            </w:r>
          </w:p>
        </w:tc>
      </w:tr>
      <w:tr w14:paraId="03D0970A"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737330"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 xml:space="preserve">Будівництво об’єктів </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16DD5E"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4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2026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372C66"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4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2028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DAF294F"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24</w:t>
            </w:r>
          </w:p>
        </w:tc>
      </w:tr>
      <w:tr w14:paraId="575761C8"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3F1E37"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Залучення керуючої компанії</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4771E0A"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4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2026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C83B6D"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2027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9C9D9E"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6</w:t>
            </w:r>
          </w:p>
        </w:tc>
      </w:tr>
      <w:tr w14:paraId="36253F7C"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4F1603"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Залучення учасників, інших суб’єктів та фінансування</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B0C618F"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2027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077714"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2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2028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7002B8"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r>
      <w:tr w14:paraId="299579CA"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014E97"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Завезення, інсталяція та налаштування обладнання</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330C8D4"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4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2027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953BEB"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4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2028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28641C"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18</w:t>
            </w:r>
          </w:p>
        </w:tc>
      </w:tr>
      <w:tr w14:paraId="643CCAF7" w14:textId="77777777" w:rsidTr="003755F0">
        <w:tblPrEx>
          <w:tblW w:w="0" w:type="auto"/>
          <w:tblInd w:w="0" w:type="dxa"/>
          <w:tblLook w:val="04A0"/>
        </w:tblPrEx>
        <w:trPr>
          <w:trHeight w:val="397"/>
        </w:trPr>
        <w:tc>
          <w:tcPr>
            <w:tcW w:w="388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6DF859" w14:textId="77777777">
            <w:pPr>
              <w:tabs>
                <w:tab w:val="left" w:pos="851"/>
              </w:tabs>
              <w:spacing w:line="216" w:lineRule="auto"/>
              <w:rPr>
                <w:rFonts w:ascii="Times New Roman" w:eastAsia="Times New Roman" w:hAnsi="Times New Roman"/>
                <w:sz w:val="24"/>
                <w:szCs w:val="24"/>
              </w:rPr>
            </w:pPr>
            <w:r w:rsidRPr="003755F0">
              <w:rPr>
                <w:rFonts w:ascii="Times New Roman" w:eastAsia="Times New Roman" w:hAnsi="Times New Roman"/>
                <w:sz w:val="24"/>
                <w:szCs w:val="24"/>
              </w:rPr>
              <w:t>Завершення і запуск роботи ІП</w:t>
            </w:r>
          </w:p>
        </w:tc>
        <w:tc>
          <w:tcPr>
            <w:tcW w:w="20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3DD507D"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4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2028 р.</w:t>
            </w:r>
          </w:p>
        </w:tc>
        <w:tc>
          <w:tcPr>
            <w:tcW w:w="210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C65A34C"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 xml:space="preserve">1 </w:t>
            </w:r>
            <w:r w:rsidRPr="003755F0">
              <w:rPr>
                <w:rFonts w:ascii="Times New Roman" w:eastAsia="Times New Roman" w:hAnsi="Times New Roman"/>
                <w:sz w:val="24"/>
                <w:szCs w:val="24"/>
              </w:rPr>
              <w:t>кв</w:t>
            </w:r>
            <w:r w:rsidRPr="003755F0">
              <w:rPr>
                <w:rFonts w:ascii="Times New Roman" w:eastAsia="Times New Roman" w:hAnsi="Times New Roman"/>
                <w:sz w:val="24"/>
                <w:szCs w:val="24"/>
              </w:rPr>
              <w:t>. 2029 р.</w:t>
            </w:r>
          </w:p>
        </w:tc>
        <w:tc>
          <w:tcPr>
            <w:tcW w:w="140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2369D48" w14:textId="77777777">
            <w:pPr>
              <w:tabs>
                <w:tab w:val="left" w:pos="851"/>
              </w:tabs>
              <w:spacing w:line="216" w:lineRule="auto"/>
              <w:jc w:val="center"/>
              <w:rPr>
                <w:rFonts w:ascii="Times New Roman" w:eastAsia="Times New Roman" w:hAnsi="Times New Roman"/>
                <w:sz w:val="24"/>
                <w:szCs w:val="24"/>
              </w:rPr>
            </w:pPr>
            <w:r w:rsidRPr="003755F0">
              <w:rPr>
                <w:rFonts w:ascii="Times New Roman" w:eastAsia="Times New Roman" w:hAnsi="Times New Roman"/>
                <w:sz w:val="24"/>
                <w:szCs w:val="24"/>
              </w:rPr>
              <w:t>6</w:t>
            </w:r>
          </w:p>
        </w:tc>
      </w:tr>
    </w:tbl>
    <w:p w:rsidR="003755F0" w:rsidRPr="003755F0" w:rsidP="003755F0" w14:paraId="0B435095" w14:textId="77777777">
      <w:pPr>
        <w:spacing w:after="0" w:line="240" w:lineRule="auto"/>
        <w:jc w:val="center"/>
        <w:rPr>
          <w:rFonts w:ascii="Times New Roman" w:eastAsia="Calibri" w:hAnsi="Times New Roman" w:cs="Times New Roman"/>
          <w:b/>
          <w:bCs/>
          <w:caps/>
          <w:kern w:val="2"/>
          <w:sz w:val="28"/>
          <w:szCs w:val="28"/>
          <w:lang w:eastAsia="en-US"/>
          <w14:ligatures w14:val="standardContextual"/>
        </w:rPr>
      </w:pPr>
    </w:p>
    <w:p w:rsidR="003755F0" w:rsidRPr="003755F0" w:rsidP="003755F0" w14:paraId="3077185B" w14:textId="77777777">
      <w:pPr>
        <w:spacing w:after="0" w:line="240" w:lineRule="auto"/>
        <w:jc w:val="center"/>
        <w:rPr>
          <w:rFonts w:ascii="Times New Roman" w:eastAsia="Calibri" w:hAnsi="Times New Roman" w:cs="Times New Roman"/>
          <w:b/>
          <w:bCs/>
          <w:caps/>
          <w:kern w:val="2"/>
          <w:sz w:val="28"/>
          <w:szCs w:val="28"/>
          <w:lang w:eastAsia="en-US"/>
          <w14:ligatures w14:val="standardContextual"/>
        </w:rPr>
      </w:pPr>
      <w:r w:rsidRPr="003755F0">
        <w:rPr>
          <w:rFonts w:ascii="Times New Roman" w:eastAsia="Calibri" w:hAnsi="Times New Roman" w:cs="Times New Roman"/>
          <w:b/>
          <w:bCs/>
          <w:caps/>
          <w:kern w:val="2"/>
          <w:sz w:val="28"/>
          <w:szCs w:val="28"/>
          <w:lang w:eastAsia="en-US"/>
          <w14:ligatures w14:val="standardContextual"/>
        </w:rPr>
        <w:t>Попередній майстер-план</w:t>
      </w:r>
    </w:p>
    <w:p w:rsidR="003755F0" w:rsidRPr="003755F0" w:rsidP="003755F0" w14:paraId="63EE25AF" w14:textId="77777777">
      <w:pPr>
        <w:spacing w:after="0" w:line="240" w:lineRule="auto"/>
        <w:jc w:val="center"/>
        <w:rPr>
          <w:rFonts w:ascii="Times New Roman" w:eastAsia="Calibri" w:hAnsi="Times New Roman" w:cs="Times New Roman"/>
          <w:b/>
          <w:bCs/>
          <w:caps/>
          <w:kern w:val="2"/>
          <w:sz w:val="28"/>
          <w:szCs w:val="28"/>
          <w:lang w:eastAsia="en-US"/>
          <w14:ligatures w14:val="standardContextual"/>
        </w:rPr>
      </w:pPr>
    </w:p>
    <w:p w:rsidR="003755F0" w:rsidRPr="003755F0" w:rsidP="003755F0" w14:paraId="4228A77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При розробці попереднього майстер-плану індустріального парку ініціатором були враховані ключові чинники, що визначатимуть його ефективність та стійкий розвиток:</w:t>
      </w:r>
    </w:p>
    <w:p w:rsidR="003755F0" w:rsidRPr="003755F0" w:rsidP="003755F0" w14:paraId="2CADEBA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Стратегічне бачення — сформульовано довгострокову концепцію з орієнтацією на кластеризацію машинобудування та підвищення міжнародної конкурентоспроможності.</w:t>
      </w:r>
    </w:p>
    <w:p w:rsidR="003755F0" w:rsidRPr="003755F0" w:rsidP="003755F0" w14:paraId="27365AE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Потреби потенційних учасників — планування здійснювалося з урахуванням специфіки їхньої діяльності та функціонального призначення парку.</w:t>
      </w:r>
    </w:p>
    <w:p w:rsidR="003755F0" w:rsidRPr="003755F0" w:rsidP="003755F0" w14:paraId="6B4B409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Екологічна та соціальна складова — акцент зроблено на комплексному екологічному менеджменті, розвитку комунальної інфраструктури та створенні інклюзивного соціального середовища.</w:t>
      </w:r>
    </w:p>
    <w:p w:rsidR="003755F0" w:rsidRPr="003755F0" w:rsidP="003755F0" w14:paraId="40F8C7E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Гнучкість забудови — передбачено можливість використання ділянок для різноманітних цілей, що дозволить адаптуватися до змінних вимог ринку.</w:t>
      </w:r>
    </w:p>
    <w:p w:rsidR="003755F0" w:rsidRPr="003755F0" w:rsidP="003755F0" w14:paraId="231AB36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Транспортна доступність — забезпечено фізичне сполучення з сусідніми громадами та територіями для зручності логістики та взаємодії.</w:t>
      </w:r>
    </w:p>
    <w:p w:rsidR="003755F0" w:rsidRPr="003755F0" w:rsidP="003755F0" w14:paraId="52623EC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Енергоефективність та екологічність — впроваджено рішення, спрямовані на енергозбереження, використання чистих і низьковуглецевих технологій.</w:t>
      </w:r>
    </w:p>
    <w:p w:rsidR="003755F0" w:rsidRPr="003755F0" w:rsidP="003755F0" w14:paraId="1E0E4A02"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Цей підхід гарантує збалансований розвиток парку з урахуванням економічних, екологічних та соціальних аспектів.</w:t>
      </w:r>
    </w:p>
    <w:p w:rsidR="003755F0" w:rsidRPr="003755F0" w:rsidP="003755F0" w14:paraId="2539E4A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Метою розробки майстер-плану є визначення планувальної структури території парку для розташування в ньому машинобудівного виробництва.</w:t>
      </w:r>
    </w:p>
    <w:p w:rsidR="003755F0" w:rsidRPr="003755F0" w:rsidP="003755F0" w14:paraId="3906924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 території індустріального парку планується розташувати цілий ряд будівель та споруд виробничого, складського, інженерно-технічного та транспортно-логістичного призначення. Поруч з входом на територію індустріального парку </w:t>
      </w:r>
      <w:r w:rsidRPr="003755F0">
        <w:rPr>
          <w:rFonts w:ascii="Times New Roman" w:eastAsia="Calibri" w:hAnsi="Times New Roman" w:cs="Times New Roman"/>
          <w:kern w:val="2"/>
          <w:sz w:val="28"/>
          <w:szCs w:val="28"/>
          <w:lang w:eastAsia="en-US"/>
          <w14:ligatures w14:val="standardContextual"/>
        </w:rPr>
        <w:t>запроєктовано</w:t>
      </w:r>
      <w:r w:rsidRPr="003755F0">
        <w:rPr>
          <w:rFonts w:ascii="Times New Roman" w:eastAsia="Calibri" w:hAnsi="Times New Roman" w:cs="Times New Roman"/>
          <w:kern w:val="2"/>
          <w:sz w:val="28"/>
          <w:szCs w:val="28"/>
          <w:lang w:eastAsia="en-US"/>
          <w14:ligatures w14:val="standardContextual"/>
        </w:rPr>
        <w:t xml:space="preserve"> адміністративно-побутовий корпус у три поверхи, який стане центром управління та обслуговування персоналу. Також передбачено автомобільні стоянки/ангари для легкового і вантажного транспорту, зелені зони відпочинку для працівників, що забезпечують комфортні умови праці.</w:t>
      </w:r>
    </w:p>
    <w:p w:rsidR="003755F0" w:rsidRPr="003755F0" w:rsidP="003755F0" w14:paraId="4C27321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Всі об’єкти парку — адміністративні, виробничі та відпочинкові зони — пов’язані зручною системою доріг, яка інтегрується з зовнішньою вуличною мережею. Це гарантує легкий доступ та ефективну логістику як всередині парку, так і за його межами.</w:t>
      </w:r>
    </w:p>
    <w:p w:rsidR="003755F0" w:rsidRPr="003755F0" w:rsidP="003755F0" w14:paraId="16B99D4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Для забезпечення безперебійної роботи індустріального парку передбачено комплекс інженерно-технічних та допоміжних споруд. Серед них — лабораторія, вагові комплекси, трансформаторна підстанція, газорозподільний пункт, котельня, пожежний резервуар, резервуар для питної води й очисні споруди. </w:t>
      </w:r>
      <w:r w:rsidRPr="003755F0">
        <w:rPr>
          <w:rFonts w:ascii="Times New Roman" w:eastAsia="Calibri" w:hAnsi="Times New Roman" w:cs="Times New Roman"/>
          <w:kern w:val="2"/>
          <w:sz w:val="28"/>
          <w:szCs w:val="28"/>
          <w:lang w:eastAsia="en-US"/>
          <w14:ligatures w14:val="standardContextual"/>
        </w:rPr>
        <w:t>Проєктом</w:t>
      </w:r>
      <w:r w:rsidRPr="003755F0">
        <w:rPr>
          <w:rFonts w:ascii="Times New Roman" w:eastAsia="Calibri" w:hAnsi="Times New Roman" w:cs="Times New Roman"/>
          <w:kern w:val="2"/>
          <w:sz w:val="28"/>
          <w:szCs w:val="28"/>
          <w:lang w:eastAsia="en-US"/>
          <w14:ligatures w14:val="standardContextual"/>
        </w:rPr>
        <w:t xml:space="preserve"> ретельно пророблено систему проїздів, трасування яких враховує існуючі умови та дотримується чинних нормативних вимог. Це дозволяє оптимізувати транспортні потоки та забезпечити безпеку на території.</w:t>
      </w:r>
    </w:p>
    <w:p w:rsidR="003755F0" w:rsidRPr="003755F0" w:rsidP="003755F0" w14:paraId="69D4AA5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1E972F0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 території індустріального парку </w:t>
      </w:r>
      <w:r w:rsidRPr="003755F0">
        <w:rPr>
          <w:rFonts w:ascii="Times New Roman" w:eastAsia="Calibri" w:hAnsi="Times New Roman" w:cs="Times New Roman"/>
          <w:kern w:val="2"/>
          <w:sz w:val="28"/>
          <w:szCs w:val="28"/>
          <w:lang w:eastAsia="en-US"/>
          <w14:ligatures w14:val="standardContextual"/>
        </w:rPr>
        <w:t>спроєктовані</w:t>
      </w:r>
      <w:r w:rsidRPr="003755F0">
        <w:rPr>
          <w:rFonts w:ascii="Times New Roman" w:eastAsia="Calibri" w:hAnsi="Times New Roman" w:cs="Times New Roman"/>
          <w:kern w:val="2"/>
          <w:sz w:val="28"/>
          <w:szCs w:val="28"/>
          <w:lang w:eastAsia="en-US"/>
          <w14:ligatures w14:val="standardContextual"/>
        </w:rPr>
        <w:t xml:space="preserve"> наступні зони:</w:t>
      </w:r>
    </w:p>
    <w:p w:rsidR="003755F0" w:rsidRPr="003755F0" w:rsidP="003755F0" w14:paraId="28F5246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F831222"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зона розміщення промислово-складських будівель відповідно до спеціалізації парку;</w:t>
      </w:r>
    </w:p>
    <w:p w:rsidR="003755F0" w:rsidRPr="003755F0" w:rsidP="003755F0" w14:paraId="425B8675" w14:textId="77777777">
      <w:pPr>
        <w:tabs>
          <w:tab w:val="num" w:pos="1276"/>
        </w:tabs>
        <w:spacing w:after="0" w:line="240" w:lineRule="auto"/>
        <w:ind w:left="851"/>
        <w:jc w:val="both"/>
        <w:rPr>
          <w:rFonts w:ascii="Times New Roman" w:eastAsia="Calibri" w:hAnsi="Times New Roman" w:cs="Times New Roman"/>
          <w:kern w:val="2"/>
          <w:sz w:val="28"/>
          <w:szCs w:val="28"/>
          <w:lang w:eastAsia="en-US"/>
          <w14:ligatures w14:val="standardContextual"/>
        </w:rPr>
      </w:pPr>
    </w:p>
    <w:p w:rsidR="003755F0" w:rsidRPr="003755F0" w:rsidP="003755F0" w14:paraId="4C4203C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офісно</w:t>
      </w:r>
      <w:r w:rsidRPr="003755F0">
        <w:rPr>
          <w:rFonts w:ascii="Times New Roman" w:eastAsia="Calibri" w:hAnsi="Times New Roman" w:cs="Times New Roman"/>
          <w:kern w:val="2"/>
          <w:sz w:val="28"/>
          <w:szCs w:val="28"/>
          <w:lang w:eastAsia="en-US"/>
          <w14:ligatures w14:val="standardContextual"/>
        </w:rPr>
        <w:t>-побутові будівлі та споруди, об’єкти соціальної інфраструктури, в тому числі адміністративні приміщення, їдальня, лабораторія, науково-дослідні центри;</w:t>
      </w:r>
    </w:p>
    <w:p w:rsidR="003755F0" w:rsidRPr="003755F0" w:rsidP="003755F0" w14:paraId="1B96E75F" w14:textId="77777777">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0736DC57"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ділянки інженерно-технічного забезпечення, в тому числі водоочисні установки, точки збору твердих відходів, трансформаторна підстанція, газорозподільний пункт, склад паливно-мастильних матеріалів, резервуари і насосну станцію пожежогасіння;</w:t>
      </w:r>
    </w:p>
    <w:p w:rsidR="003755F0" w:rsidRPr="003755F0" w:rsidP="003755F0" w14:paraId="5EAFAB41" w14:textId="77777777">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1449B88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зона </w:t>
      </w:r>
      <w:r w:rsidRPr="003755F0">
        <w:rPr>
          <w:rFonts w:ascii="Times New Roman" w:eastAsia="Calibri" w:hAnsi="Times New Roman" w:cs="Times New Roman"/>
          <w:kern w:val="2"/>
          <w:sz w:val="28"/>
          <w:szCs w:val="28"/>
          <w:lang w:eastAsia="en-US"/>
          <w14:ligatures w14:val="standardContextual"/>
        </w:rPr>
        <w:t>навантажувально</w:t>
      </w:r>
      <w:r w:rsidRPr="003755F0">
        <w:rPr>
          <w:rFonts w:ascii="Times New Roman" w:eastAsia="Calibri" w:hAnsi="Times New Roman" w:cs="Times New Roman"/>
          <w:kern w:val="2"/>
          <w:sz w:val="28"/>
          <w:szCs w:val="28"/>
          <w:lang w:eastAsia="en-US"/>
          <w14:ligatures w14:val="standardContextual"/>
        </w:rPr>
        <w:t>-вивантажувальних робіт;</w:t>
      </w:r>
    </w:p>
    <w:p w:rsidR="003755F0" w:rsidRPr="003755F0" w:rsidP="003755F0" w14:paraId="6B39CE30" w14:textId="77777777">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23A806E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ангар для зберігання автотранспорту;</w:t>
      </w:r>
    </w:p>
    <w:p w:rsidR="003755F0" w:rsidRPr="003755F0" w:rsidP="003755F0" w14:paraId="001D319F" w14:textId="77777777">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7B055D9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виставкова зона для презентації продукції;</w:t>
      </w:r>
    </w:p>
    <w:p w:rsidR="003755F0" w:rsidRPr="003755F0" w:rsidP="003755F0" w14:paraId="17E4C9AC" w14:textId="77777777">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3F197C9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зони зелених насаджень;</w:t>
      </w:r>
    </w:p>
    <w:p w:rsidR="003755F0" w:rsidRPr="003755F0" w:rsidP="003755F0" w14:paraId="4FCC792D" w14:textId="77777777">
      <w:pPr>
        <w:tabs>
          <w:tab w:val="num" w:pos="1276"/>
        </w:tabs>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72519D8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бомбосховища</w:t>
      </w:r>
    </w:p>
    <w:p w:rsidR="003755F0" w:rsidRPr="003755F0" w:rsidP="003755F0" w14:paraId="4014DFEB" w14:textId="77777777">
      <w:pPr>
        <w:tabs>
          <w:tab w:val="left" w:pos="851"/>
        </w:tabs>
        <w:spacing w:after="0" w:line="240" w:lineRule="auto"/>
        <w:ind w:firstLine="567"/>
        <w:jc w:val="both"/>
        <w:rPr>
          <w:rFonts w:ascii="Times New Roman" w:eastAsia="Calibri" w:hAnsi="Times New Roman" w:cs="Times New Roman"/>
          <w:kern w:val="2"/>
          <w:sz w:val="28"/>
          <w:szCs w:val="28"/>
          <w:lang w:val="en-US" w:eastAsia="en-US"/>
          <w14:ligatures w14:val="standardContextual"/>
        </w:rPr>
      </w:pPr>
    </w:p>
    <w:p w:rsidR="003755F0" w:rsidRPr="003755F0" w:rsidP="003755F0" w14:paraId="7BDF03B9"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Функціональний розподіл ділянки індустріального парку «БУДШЛЯХМАШ» узагальнено в таблиці 8.</w:t>
      </w:r>
    </w:p>
    <w:p w:rsidR="003755F0" w:rsidRPr="003755F0" w:rsidP="003755F0" w14:paraId="359EC9B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27AE497A"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8.</w:t>
      </w:r>
      <w:r w:rsidRPr="003755F0">
        <w:rPr>
          <w:rFonts w:ascii="Times New Roman" w:eastAsia="Calibri" w:hAnsi="Times New Roman" w:cs="Times New Roman"/>
          <w:kern w:val="2"/>
          <w:sz w:val="28"/>
          <w:szCs w:val="28"/>
          <w:lang w:eastAsia="en-US"/>
          <w14:ligatures w14:val="standardContextual"/>
        </w:rPr>
        <w:t xml:space="preserve"> Функціональний розподіл земельної ділянки індустріального парку «БУДШЛЯХМАШ»</w:t>
      </w:r>
    </w:p>
    <w:p w:rsidR="003755F0" w:rsidRPr="003755F0" w:rsidP="003755F0" w14:paraId="6445A3C9"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p>
    <w:tbl>
      <w:tblPr>
        <w:tblStyle w:val="9"/>
        <w:tblW w:w="0" w:type="auto"/>
        <w:jc w:val="center"/>
        <w:tblLook w:val="04A0"/>
      </w:tblPr>
      <w:tblGrid>
        <w:gridCol w:w="5382"/>
        <w:gridCol w:w="1417"/>
        <w:gridCol w:w="1418"/>
        <w:gridCol w:w="992"/>
      </w:tblGrid>
      <w:tr w14:paraId="257E0F2C"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5EA94762" w14:textId="77777777">
            <w:pPr>
              <w:tabs>
                <w:tab w:val="left" w:pos="851"/>
              </w:tabs>
              <w:jc w:val="center"/>
              <w:rPr>
                <w:rFonts w:ascii="Times New Roman" w:hAnsi="Times New Roman"/>
                <w:b/>
                <w:bCs/>
                <w:sz w:val="24"/>
                <w:szCs w:val="28"/>
              </w:rPr>
            </w:pPr>
            <w:r w:rsidRPr="003755F0">
              <w:rPr>
                <w:rFonts w:ascii="Times New Roman" w:eastAsia="Times New Roman" w:hAnsi="Times New Roman"/>
                <w:b/>
                <w:bCs/>
                <w:sz w:val="24"/>
                <w:szCs w:val="28"/>
              </w:rPr>
              <w:t>Функціональне призначення</w:t>
            </w:r>
          </w:p>
        </w:tc>
        <w:tc>
          <w:tcPr>
            <w:tcW w:w="1417"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1F2473FD" w14:textId="77777777">
            <w:pPr>
              <w:tabs>
                <w:tab w:val="left" w:pos="851"/>
              </w:tabs>
              <w:jc w:val="center"/>
              <w:rPr>
                <w:rFonts w:ascii="Times New Roman" w:eastAsia="Times New Roman" w:hAnsi="Times New Roman"/>
                <w:b/>
                <w:bCs/>
                <w:sz w:val="24"/>
                <w:szCs w:val="28"/>
                <w:vertAlign w:val="superscript"/>
              </w:rPr>
            </w:pPr>
            <w:r w:rsidRPr="003755F0">
              <w:rPr>
                <w:rFonts w:ascii="Times New Roman" w:eastAsia="Times New Roman" w:hAnsi="Times New Roman"/>
                <w:b/>
                <w:bCs/>
                <w:sz w:val="24"/>
                <w:szCs w:val="28"/>
              </w:rPr>
              <w:t>м</w:t>
            </w:r>
            <w:r w:rsidRPr="003755F0">
              <w:rPr>
                <w:rFonts w:ascii="Times New Roman" w:eastAsia="Times New Roman" w:hAnsi="Times New Roman"/>
                <w:b/>
                <w:bCs/>
                <w:sz w:val="24"/>
                <w:szCs w:val="28"/>
                <w:vertAlign w:val="superscript"/>
              </w:rPr>
              <w:t>2</w:t>
            </w:r>
          </w:p>
        </w:tc>
        <w:tc>
          <w:tcPr>
            <w:tcW w:w="1418"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54826E47"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га</w:t>
            </w:r>
          </w:p>
        </w:tc>
        <w:tc>
          <w:tcPr>
            <w:tcW w:w="992"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2ACD6A91"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w:t>
            </w:r>
          </w:p>
        </w:tc>
      </w:tr>
      <w:tr w14:paraId="34788A45"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hideMark/>
          </w:tcPr>
          <w:p w:rsidR="003755F0" w:rsidRPr="003755F0" w:rsidP="003755F0" w14:paraId="7018E44C" w14:textId="77777777">
            <w:pPr>
              <w:tabs>
                <w:tab w:val="left" w:pos="851"/>
              </w:tabs>
              <w:jc w:val="both"/>
              <w:rPr>
                <w:rFonts w:ascii="Times New Roman" w:eastAsia="Times New Roman" w:hAnsi="Times New Roman"/>
                <w:b/>
                <w:bCs/>
                <w:sz w:val="24"/>
                <w:szCs w:val="28"/>
              </w:rPr>
            </w:pPr>
            <w:r w:rsidRPr="003755F0">
              <w:rPr>
                <w:rFonts w:ascii="Times New Roman" w:eastAsia="Times New Roman" w:hAnsi="Times New Roman"/>
                <w:b/>
                <w:bCs/>
                <w:sz w:val="24"/>
                <w:szCs w:val="28"/>
              </w:rPr>
              <w:t>Загальна площа ділянки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5FB253C" w14:textId="77777777">
            <w:pPr>
              <w:tabs>
                <w:tab w:val="left" w:pos="851"/>
              </w:tabs>
              <w:jc w:val="right"/>
              <w:rPr>
                <w:rFonts w:ascii="Times New Roman" w:eastAsia="Times New Roman" w:hAnsi="Times New Roman"/>
                <w:b/>
                <w:bCs/>
                <w:sz w:val="24"/>
                <w:szCs w:val="28"/>
              </w:rPr>
            </w:pPr>
            <w:r w:rsidRPr="003755F0">
              <w:rPr>
                <w:rFonts w:ascii="Times New Roman" w:eastAsia="Times New Roman" w:hAnsi="Times New Roman"/>
                <w:b/>
                <w:bCs/>
                <w:sz w:val="24"/>
                <w:szCs w:val="28"/>
              </w:rPr>
              <w:t>114 173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ED01863" w14:textId="77777777">
            <w:pPr>
              <w:tabs>
                <w:tab w:val="left" w:pos="851"/>
              </w:tabs>
              <w:jc w:val="right"/>
              <w:rPr>
                <w:rFonts w:ascii="Times New Roman" w:eastAsia="Times New Roman" w:hAnsi="Times New Roman"/>
                <w:b/>
                <w:bCs/>
                <w:sz w:val="24"/>
                <w:szCs w:val="28"/>
              </w:rPr>
            </w:pPr>
            <w:r w:rsidRPr="003755F0">
              <w:rPr>
                <w:rFonts w:ascii="Times New Roman" w:eastAsia="Times New Roman" w:hAnsi="Times New Roman"/>
                <w:b/>
                <w:bCs/>
                <w:sz w:val="24"/>
                <w:szCs w:val="28"/>
              </w:rPr>
              <w:t>11,4173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443A2C" w14:textId="77777777">
            <w:pPr>
              <w:tabs>
                <w:tab w:val="left" w:pos="851"/>
              </w:tabs>
              <w:jc w:val="right"/>
              <w:rPr>
                <w:rFonts w:ascii="Times New Roman" w:eastAsia="Times New Roman" w:hAnsi="Times New Roman"/>
                <w:b/>
                <w:bCs/>
                <w:sz w:val="24"/>
                <w:szCs w:val="28"/>
              </w:rPr>
            </w:pPr>
            <w:r w:rsidRPr="003755F0">
              <w:rPr>
                <w:rFonts w:ascii="Times New Roman" w:eastAsia="Times New Roman" w:hAnsi="Times New Roman"/>
                <w:b/>
                <w:bCs/>
                <w:sz w:val="24"/>
                <w:szCs w:val="28"/>
              </w:rPr>
              <w:t>100,00</w:t>
            </w:r>
          </w:p>
        </w:tc>
      </w:tr>
      <w:tr w14:paraId="70816D4C"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hideMark/>
          </w:tcPr>
          <w:p w:rsidR="003755F0" w:rsidRPr="003755F0" w:rsidP="003755F0" w14:paraId="0F5D3C35" w14:textId="77777777">
            <w:pPr>
              <w:tabs>
                <w:tab w:val="left" w:pos="851"/>
              </w:tabs>
              <w:jc w:val="both"/>
              <w:rPr>
                <w:rFonts w:ascii="Times New Roman" w:eastAsia="Times New Roman" w:hAnsi="Times New Roman"/>
                <w:sz w:val="24"/>
                <w:szCs w:val="28"/>
              </w:rPr>
            </w:pPr>
            <w:r w:rsidRPr="003755F0">
              <w:rPr>
                <w:rFonts w:ascii="Times New Roman" w:eastAsia="Times New Roman" w:hAnsi="Times New Roman"/>
                <w:sz w:val="24"/>
                <w:szCs w:val="28"/>
              </w:rPr>
              <w:t>Промислові об’єкти</w:t>
            </w:r>
          </w:p>
        </w:tc>
        <w:tc>
          <w:tcPr>
            <w:tcW w:w="1417" w:type="dxa"/>
            <w:tcBorders>
              <w:top w:val="single" w:sz="4" w:space="0" w:color="auto"/>
              <w:left w:val="single" w:sz="4" w:space="0" w:color="auto"/>
              <w:bottom w:val="single" w:sz="4" w:space="0" w:color="auto"/>
              <w:right w:val="single" w:sz="4" w:space="0" w:color="auto"/>
            </w:tcBorders>
            <w:hideMark/>
          </w:tcPr>
          <w:p w:rsidR="003755F0" w:rsidRPr="003755F0" w:rsidP="003755F0" w14:paraId="06DB6725" w14:textId="77777777">
            <w:pPr>
              <w:jc w:val="right"/>
              <w:rPr>
                <w:rFonts w:ascii="Times New Roman" w:eastAsia="Times New Roman" w:hAnsi="Times New Roman"/>
                <w:sz w:val="24"/>
                <w:szCs w:val="28"/>
                <w:lang w:val="en-CA"/>
              </w:rPr>
            </w:pPr>
            <w:r w:rsidRPr="003755F0">
              <w:rPr>
                <w:rFonts w:ascii="Times New Roman" w:eastAsia="Times New Roman" w:hAnsi="Times New Roman"/>
                <w:sz w:val="24"/>
                <w:szCs w:val="28"/>
              </w:rPr>
              <w:t>20 000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109829" w14:textId="77777777">
            <w:pPr>
              <w:jc w:val="right"/>
              <w:rPr>
                <w:rFonts w:ascii="Times New Roman" w:eastAsia="Times New Roman" w:hAnsi="Times New Roman"/>
                <w:sz w:val="24"/>
                <w:szCs w:val="28"/>
                <w:lang w:val="en-CA"/>
              </w:rPr>
            </w:pPr>
            <w:r w:rsidRPr="003755F0">
              <w:rPr>
                <w:rFonts w:ascii="Times New Roman" w:eastAsia="Times New Roman" w:hAnsi="Times New Roman"/>
                <w:sz w:val="24"/>
                <w:szCs w:val="28"/>
              </w:rPr>
              <w:t>2,0000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9AA2CB1"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17,5</w:t>
            </w:r>
          </w:p>
        </w:tc>
      </w:tr>
      <w:tr w14:paraId="1006DC1D"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hideMark/>
          </w:tcPr>
          <w:p w:rsidR="003755F0" w:rsidRPr="003755F0" w:rsidP="003755F0" w14:paraId="304AE523" w14:textId="77777777">
            <w:pPr>
              <w:tabs>
                <w:tab w:val="left" w:pos="851"/>
              </w:tabs>
              <w:jc w:val="both"/>
              <w:rPr>
                <w:rFonts w:ascii="Times New Roman" w:eastAsia="Times New Roman" w:hAnsi="Times New Roman"/>
                <w:sz w:val="24"/>
                <w:szCs w:val="28"/>
              </w:rPr>
            </w:pPr>
            <w:r w:rsidRPr="003755F0">
              <w:rPr>
                <w:rFonts w:ascii="Times New Roman" w:eastAsia="Times New Roman" w:hAnsi="Times New Roman"/>
                <w:sz w:val="24"/>
                <w:szCs w:val="28"/>
              </w:rPr>
              <w:t xml:space="preserve">Складські об’єкти </w:t>
            </w:r>
          </w:p>
        </w:tc>
        <w:tc>
          <w:tcPr>
            <w:tcW w:w="1417" w:type="dxa"/>
            <w:tcBorders>
              <w:top w:val="single" w:sz="4" w:space="0" w:color="auto"/>
              <w:left w:val="single" w:sz="4" w:space="0" w:color="auto"/>
              <w:bottom w:val="single" w:sz="4" w:space="0" w:color="auto"/>
              <w:right w:val="single" w:sz="4" w:space="0" w:color="auto"/>
            </w:tcBorders>
            <w:hideMark/>
          </w:tcPr>
          <w:p w:rsidR="003755F0" w:rsidRPr="003755F0" w:rsidP="003755F0" w14:paraId="4445322D"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20 000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DA2C69C"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2,0000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AA157A"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17,5</w:t>
            </w:r>
          </w:p>
        </w:tc>
      </w:tr>
      <w:tr w14:paraId="436099BD"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hideMark/>
          </w:tcPr>
          <w:p w:rsidR="003755F0" w:rsidRPr="003755F0" w:rsidP="003755F0" w14:paraId="72370280" w14:textId="77777777">
            <w:pPr>
              <w:tabs>
                <w:tab w:val="left" w:pos="851"/>
              </w:tabs>
              <w:jc w:val="both"/>
              <w:rPr>
                <w:rFonts w:ascii="Times New Roman" w:eastAsia="Times New Roman" w:hAnsi="Times New Roman"/>
                <w:sz w:val="24"/>
                <w:szCs w:val="28"/>
              </w:rPr>
            </w:pPr>
            <w:r w:rsidRPr="003755F0">
              <w:rPr>
                <w:rFonts w:ascii="Times New Roman" w:eastAsia="Times New Roman" w:hAnsi="Times New Roman"/>
                <w:sz w:val="24"/>
                <w:szCs w:val="28"/>
              </w:rPr>
              <w:t>Адміністративно-побутові приміщення</w:t>
            </w:r>
          </w:p>
        </w:tc>
        <w:tc>
          <w:tcPr>
            <w:tcW w:w="1417" w:type="dxa"/>
            <w:tcBorders>
              <w:top w:val="single" w:sz="4" w:space="0" w:color="auto"/>
              <w:left w:val="single" w:sz="4" w:space="0" w:color="auto"/>
              <w:bottom w:val="single" w:sz="4" w:space="0" w:color="auto"/>
              <w:right w:val="single" w:sz="4" w:space="0" w:color="auto"/>
            </w:tcBorders>
            <w:hideMark/>
          </w:tcPr>
          <w:p w:rsidR="003755F0" w:rsidRPr="003755F0" w:rsidP="003755F0" w14:paraId="4367CAA8"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1 000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FD66712"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0,1000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F3D07C9"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0,9</w:t>
            </w:r>
          </w:p>
        </w:tc>
      </w:tr>
      <w:tr w14:paraId="1D01321F"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hideMark/>
          </w:tcPr>
          <w:p w:rsidR="003755F0" w:rsidRPr="003755F0" w:rsidP="003755F0" w14:paraId="6BF6BAD4" w14:textId="77777777">
            <w:pPr>
              <w:tabs>
                <w:tab w:val="left" w:pos="851"/>
              </w:tabs>
              <w:jc w:val="both"/>
              <w:rPr>
                <w:rFonts w:ascii="Times New Roman" w:eastAsia="Times New Roman" w:hAnsi="Times New Roman"/>
                <w:sz w:val="24"/>
                <w:szCs w:val="28"/>
              </w:rPr>
            </w:pPr>
            <w:r w:rsidRPr="003755F0">
              <w:rPr>
                <w:rFonts w:ascii="Times New Roman" w:eastAsia="Times New Roman" w:hAnsi="Times New Roman"/>
                <w:sz w:val="24"/>
                <w:szCs w:val="28"/>
              </w:rPr>
              <w:t>Технічні об’єкти</w:t>
            </w:r>
          </w:p>
        </w:tc>
        <w:tc>
          <w:tcPr>
            <w:tcW w:w="1417" w:type="dxa"/>
            <w:tcBorders>
              <w:top w:val="single" w:sz="4" w:space="0" w:color="auto"/>
              <w:left w:val="single" w:sz="4" w:space="0" w:color="auto"/>
              <w:bottom w:val="single" w:sz="4" w:space="0" w:color="auto"/>
              <w:right w:val="single" w:sz="4" w:space="0" w:color="auto"/>
            </w:tcBorders>
            <w:hideMark/>
          </w:tcPr>
          <w:p w:rsidR="003755F0" w:rsidRPr="003755F0" w:rsidP="003755F0" w14:paraId="736A48AE"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1 000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732A2E"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0,1000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0260101"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0,9</w:t>
            </w:r>
          </w:p>
        </w:tc>
      </w:tr>
      <w:tr w14:paraId="27BC06D0"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hideMark/>
          </w:tcPr>
          <w:p w:rsidR="003755F0" w:rsidRPr="003755F0" w:rsidP="003755F0" w14:paraId="51EC8FED" w14:textId="77777777">
            <w:pPr>
              <w:tabs>
                <w:tab w:val="left" w:pos="851"/>
              </w:tabs>
              <w:jc w:val="both"/>
              <w:rPr>
                <w:rFonts w:ascii="Times New Roman" w:eastAsia="Times New Roman" w:hAnsi="Times New Roman"/>
                <w:sz w:val="24"/>
                <w:szCs w:val="28"/>
              </w:rPr>
            </w:pPr>
            <w:r w:rsidRPr="003755F0">
              <w:rPr>
                <w:rFonts w:ascii="Times New Roman" w:eastAsia="Times New Roman" w:hAnsi="Times New Roman"/>
                <w:sz w:val="24"/>
                <w:szCs w:val="28"/>
              </w:rPr>
              <w:t>Озеленення і благоустрій</w:t>
            </w:r>
          </w:p>
        </w:tc>
        <w:tc>
          <w:tcPr>
            <w:tcW w:w="1417" w:type="dxa"/>
            <w:tcBorders>
              <w:top w:val="single" w:sz="4" w:space="0" w:color="auto"/>
              <w:left w:val="single" w:sz="4" w:space="0" w:color="auto"/>
              <w:bottom w:val="single" w:sz="4" w:space="0" w:color="auto"/>
              <w:right w:val="single" w:sz="4" w:space="0" w:color="auto"/>
            </w:tcBorders>
            <w:hideMark/>
          </w:tcPr>
          <w:p w:rsidR="003755F0" w:rsidRPr="003755F0" w:rsidP="003755F0" w14:paraId="7B5A4791"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29 773</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1788906"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2,9773</w:t>
            </w:r>
          </w:p>
        </w:tc>
        <w:tc>
          <w:tcPr>
            <w:tcW w:w="9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82D950E"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26,1</w:t>
            </w:r>
          </w:p>
        </w:tc>
      </w:tr>
      <w:tr w14:paraId="5BDA6A70" w14:textId="77777777" w:rsidTr="003755F0">
        <w:tblPrEx>
          <w:tblW w:w="0" w:type="auto"/>
          <w:tblLook w:val="04A0"/>
        </w:tblPrEx>
        <w:tc>
          <w:tcPr>
            <w:tcW w:w="5382" w:type="dxa"/>
            <w:tcBorders>
              <w:top w:val="single" w:sz="4" w:space="0" w:color="auto"/>
              <w:left w:val="single" w:sz="4" w:space="0" w:color="auto"/>
              <w:bottom w:val="single" w:sz="4" w:space="0" w:color="auto"/>
              <w:right w:val="single" w:sz="4" w:space="0" w:color="auto"/>
            </w:tcBorders>
            <w:hideMark/>
          </w:tcPr>
          <w:p w:rsidR="003755F0" w:rsidRPr="003755F0" w:rsidP="003755F0" w14:paraId="735E3366" w14:textId="77777777">
            <w:pPr>
              <w:tabs>
                <w:tab w:val="left" w:pos="851"/>
              </w:tabs>
              <w:jc w:val="both"/>
              <w:rPr>
                <w:rFonts w:ascii="Times New Roman" w:eastAsia="Times New Roman" w:hAnsi="Times New Roman"/>
                <w:sz w:val="24"/>
                <w:szCs w:val="28"/>
              </w:rPr>
            </w:pPr>
            <w:r w:rsidRPr="003755F0">
              <w:rPr>
                <w:rFonts w:ascii="Times New Roman" w:eastAsia="Times New Roman" w:hAnsi="Times New Roman"/>
                <w:sz w:val="24"/>
                <w:szCs w:val="28"/>
              </w:rPr>
              <w:t>Дороги й автостоянки (з твердим покриттям)</w:t>
            </w:r>
          </w:p>
        </w:tc>
        <w:tc>
          <w:tcPr>
            <w:tcW w:w="1417" w:type="dxa"/>
            <w:tcBorders>
              <w:top w:val="single" w:sz="4" w:space="0" w:color="auto"/>
              <w:left w:val="single" w:sz="4" w:space="0" w:color="auto"/>
              <w:bottom w:val="single" w:sz="4" w:space="0" w:color="auto"/>
              <w:right w:val="single" w:sz="4" w:space="0" w:color="auto"/>
            </w:tcBorders>
            <w:hideMark/>
          </w:tcPr>
          <w:p w:rsidR="003755F0" w:rsidRPr="003755F0" w:rsidP="003755F0" w14:paraId="7FE6C816"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42 400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96F3E5"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4,2400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117746D" w14:textId="77777777">
            <w:pPr>
              <w:jc w:val="right"/>
              <w:rPr>
                <w:rFonts w:ascii="Times New Roman" w:eastAsia="Times New Roman" w:hAnsi="Times New Roman"/>
                <w:sz w:val="24"/>
                <w:szCs w:val="28"/>
              </w:rPr>
            </w:pPr>
            <w:r w:rsidRPr="003755F0">
              <w:rPr>
                <w:rFonts w:ascii="Times New Roman" w:eastAsia="Times New Roman" w:hAnsi="Times New Roman"/>
                <w:sz w:val="24"/>
                <w:szCs w:val="28"/>
              </w:rPr>
              <w:t>37,1</w:t>
            </w:r>
          </w:p>
        </w:tc>
      </w:tr>
    </w:tbl>
    <w:p w:rsidR="003755F0" w:rsidRPr="003755F0" w:rsidP="003755F0" w14:paraId="653239A8"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2DABC3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Згідно з попередньо розробленим майстер-планом, на території індустріального парку планується побудувати:</w:t>
      </w:r>
    </w:p>
    <w:p w:rsidR="003755F0" w:rsidRPr="003755F0" w:rsidP="003755F0" w14:paraId="2C748B0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блок адміністративно-побутових приміщень загальною площею 1 тис. м</w:t>
      </w:r>
      <w:r w:rsidRPr="003755F0">
        <w:rPr>
          <w:rFonts w:ascii="Times New Roman" w:eastAsia="Calibri" w:hAnsi="Times New Roman" w:cs="Times New Roman"/>
          <w:kern w:val="2"/>
          <w:sz w:val="28"/>
          <w:szCs w:val="28"/>
          <w:vertAlign w:val="superscript"/>
          <w:lang w:eastAsia="en-US"/>
          <w14:ligatures w14:val="standardContextual"/>
        </w:rPr>
        <w:t>2</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0E06C36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об’єкти виробничого призначення загальною площею 20,0 тис. м</w:t>
      </w:r>
      <w:r w:rsidRPr="003755F0">
        <w:rPr>
          <w:rFonts w:ascii="Times New Roman" w:eastAsia="Calibri" w:hAnsi="Times New Roman" w:cs="Times New Roman"/>
          <w:kern w:val="2"/>
          <w:sz w:val="28"/>
          <w:szCs w:val="28"/>
          <w:vertAlign w:val="superscript"/>
          <w:lang w:eastAsia="en-US"/>
          <w14:ligatures w14:val="standardContextual"/>
        </w:rPr>
        <w:t>2</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3483AFF8"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технічні об’єкти (трансформаторна підстанція, газорозподільний пункт, резервуари та насосна станція пожежогасіння, ін.) загальною площею у 1,0 тис. м</w:t>
      </w:r>
      <w:r w:rsidRPr="003755F0">
        <w:rPr>
          <w:rFonts w:ascii="Times New Roman" w:eastAsia="Calibri" w:hAnsi="Times New Roman" w:cs="Times New Roman"/>
          <w:kern w:val="2"/>
          <w:sz w:val="28"/>
          <w:szCs w:val="28"/>
          <w:vertAlign w:val="superscript"/>
          <w:lang w:eastAsia="en-US"/>
          <w14:ligatures w14:val="standardContextual"/>
        </w:rPr>
        <w:t>2</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3B029D9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складські комплекси (склад паливно-мастильних матеріалів та відкриті майданчики для готової продукції) загальною площею 20,0 тис. м</w:t>
      </w:r>
      <w:r w:rsidRPr="003755F0">
        <w:rPr>
          <w:rFonts w:ascii="Times New Roman" w:eastAsia="Calibri" w:hAnsi="Times New Roman" w:cs="Times New Roman"/>
          <w:kern w:val="2"/>
          <w:sz w:val="28"/>
          <w:szCs w:val="28"/>
          <w:vertAlign w:val="superscript"/>
          <w:lang w:eastAsia="en-US"/>
          <w14:ligatures w14:val="standardContextual"/>
        </w:rPr>
        <w:t>2</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6E64F4F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дороги та автостоянки з твердим покриттям загальною площею 42,4 тис. м</w:t>
      </w:r>
      <w:r w:rsidRPr="003755F0">
        <w:rPr>
          <w:rFonts w:ascii="Times New Roman" w:eastAsia="Calibri" w:hAnsi="Times New Roman" w:cs="Times New Roman"/>
          <w:kern w:val="2"/>
          <w:sz w:val="28"/>
          <w:szCs w:val="28"/>
          <w:vertAlign w:val="superscript"/>
          <w:lang w:eastAsia="en-US"/>
          <w14:ligatures w14:val="standardContextual"/>
        </w:rPr>
        <w:t>2</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321751CC"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rsidR="003755F0" w:rsidRPr="003755F0" w:rsidP="003755F0" w14:paraId="43A9C877"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 xml:space="preserve">Природоохоронні та </w:t>
      </w:r>
      <w:r w:rsidRPr="003755F0">
        <w:rPr>
          <w:rFonts w:ascii="Times New Roman" w:eastAsia="Calibri" w:hAnsi="Times New Roman" w:cs="Times New Roman"/>
          <w:b/>
          <w:bCs/>
          <w:kern w:val="2"/>
          <w:sz w:val="28"/>
          <w:szCs w:val="28"/>
          <w:lang w:eastAsia="en-US"/>
          <w14:ligatures w14:val="standardContextual"/>
        </w:rPr>
        <w:t>ландшафтно</w:t>
      </w:r>
      <w:r w:rsidRPr="003755F0">
        <w:rPr>
          <w:rFonts w:ascii="Times New Roman" w:eastAsia="Calibri" w:hAnsi="Times New Roman" w:cs="Times New Roman"/>
          <w:b/>
          <w:bCs/>
          <w:kern w:val="2"/>
          <w:sz w:val="28"/>
          <w:szCs w:val="28"/>
          <w:lang w:eastAsia="en-US"/>
          <w14:ligatures w14:val="standardContextual"/>
        </w:rPr>
        <w:t>-рекреаційні території</w:t>
      </w:r>
    </w:p>
    <w:p w:rsidR="003755F0" w:rsidRPr="003755F0" w:rsidP="003755F0" w14:paraId="637C506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Ландшафтно</w:t>
      </w:r>
      <w:r w:rsidRPr="003755F0">
        <w:rPr>
          <w:rFonts w:ascii="Times New Roman" w:eastAsia="Calibri" w:hAnsi="Times New Roman" w:cs="Times New Roman"/>
          <w:kern w:val="2"/>
          <w:sz w:val="28"/>
          <w:szCs w:val="28"/>
          <w:lang w:eastAsia="en-US"/>
          <w14:ligatures w14:val="standardContextual"/>
        </w:rPr>
        <w:t xml:space="preserve">-рекреаційні зони індустріального парку (загальною площею 2,98 га, або 26,1% території) </w:t>
      </w:r>
      <w:r w:rsidRPr="003755F0">
        <w:rPr>
          <w:rFonts w:ascii="Times New Roman" w:eastAsia="Calibri" w:hAnsi="Times New Roman" w:cs="Times New Roman"/>
          <w:kern w:val="2"/>
          <w:sz w:val="28"/>
          <w:szCs w:val="28"/>
          <w:lang w:eastAsia="en-US"/>
          <w14:ligatures w14:val="standardContextual"/>
        </w:rPr>
        <w:t>спроєктовано</w:t>
      </w:r>
      <w:r w:rsidRPr="003755F0">
        <w:rPr>
          <w:rFonts w:ascii="Times New Roman" w:eastAsia="Calibri" w:hAnsi="Times New Roman" w:cs="Times New Roman"/>
          <w:kern w:val="2"/>
          <w:sz w:val="28"/>
          <w:szCs w:val="28"/>
          <w:lang w:eastAsia="en-US"/>
          <w14:ligatures w14:val="standardContextual"/>
        </w:rPr>
        <w:t xml:space="preserve"> з урахуванням кількості працівників </w:t>
      </w:r>
      <w:r w:rsidRPr="003755F0">
        <w:rPr>
          <w:rFonts w:ascii="Times New Roman" w:eastAsia="Calibri" w:hAnsi="Times New Roman" w:cs="Times New Roman"/>
          <w:kern w:val="2"/>
          <w:sz w:val="28"/>
          <w:szCs w:val="28"/>
          <w:lang w:eastAsia="en-US"/>
          <w14:ligatures w14:val="standardContextual"/>
        </w:rPr>
        <w:t>та зручності використання. Біля адміністративно-побутових приміщень буде облаштовано відпочинкову зону з елементами благоустрою. Уздовж периметра парку передбачено захисну смугу озеленення, що не лише покращить естетичний вигляд території індустріального парку, але й сприятиме екологічній збалансованості та захисту від зовнішніх впливів прилеглих автошляхів і промислових територій.</w:t>
      </w:r>
    </w:p>
    <w:p w:rsidR="003755F0" w:rsidRPr="003755F0" w:rsidP="003755F0" w14:paraId="33254AB9" w14:textId="77777777">
      <w:pPr>
        <w:spacing w:after="160" w:line="254" w:lineRule="auto"/>
        <w:rPr>
          <w:rFonts w:ascii="Calibri" w:eastAsia="Calibri" w:hAnsi="Calibri" w:cs="Times New Roman"/>
          <w:kern w:val="2"/>
          <w:sz w:val="24"/>
          <w:szCs w:val="24"/>
          <w:lang w:eastAsia="en-US"/>
          <w14:ligatures w14:val="standardContextual"/>
        </w:rPr>
      </w:pPr>
      <w:r w:rsidRPr="003755F0">
        <w:rPr>
          <w:rFonts w:ascii="Calibri" w:eastAsia="Calibri" w:hAnsi="Calibri" w:cs="Times New Roman"/>
          <w:sz w:val="24"/>
          <w:szCs w:val="24"/>
          <w:lang w:eastAsia="en-US"/>
        </w:rPr>
        <w:br w:type="page"/>
      </w:r>
    </w:p>
    <w:p w:rsidR="003755F0" w:rsidRPr="003755F0" w:rsidP="003755F0" w14:paraId="38B063BD" w14:textId="77777777">
      <w:pPr>
        <w:spacing w:after="0" w:line="240" w:lineRule="auto"/>
        <w:ind w:firstLine="567"/>
        <w:jc w:val="center"/>
        <w:rPr>
          <w:rFonts w:ascii="Times New Roman" w:eastAsia="Calibri" w:hAnsi="Times New Roman" w:cs="Times New Roman"/>
          <w:b/>
          <w:bCs/>
          <w:color w:val="000000"/>
          <w:kern w:val="2"/>
          <w:sz w:val="28"/>
          <w:szCs w:val="28"/>
          <w:lang w:eastAsia="en-US"/>
          <w14:ligatures w14:val="standardContextual"/>
        </w:rPr>
      </w:pPr>
      <w:r w:rsidRPr="003755F0">
        <w:rPr>
          <w:rFonts w:ascii="Times New Roman" w:eastAsia="Calibri" w:hAnsi="Times New Roman" w:cs="Times New Roman"/>
          <w:b/>
          <w:bCs/>
          <w:color w:val="000000"/>
          <w:kern w:val="2"/>
          <w:sz w:val="28"/>
          <w:szCs w:val="28"/>
          <w:lang w:eastAsia="en-US"/>
          <w14:ligatures w14:val="standardContextual"/>
        </w:rPr>
        <w:t>Схема планування та візуалізація території індустріального парку</w:t>
      </w:r>
    </w:p>
    <w:p w:rsidR="003755F0" w:rsidRPr="003755F0" w:rsidP="003755F0" w14:paraId="61EF1CE7" w14:textId="77777777">
      <w:pPr>
        <w:spacing w:after="0" w:line="240" w:lineRule="auto"/>
        <w:ind w:firstLine="567"/>
        <w:jc w:val="center"/>
        <w:rPr>
          <w:rFonts w:ascii="Times New Roman" w:eastAsia="Calibri" w:hAnsi="Times New Roman" w:cs="Times New Roman"/>
          <w:b/>
          <w:bCs/>
          <w:color w:val="000000"/>
          <w:kern w:val="2"/>
          <w:sz w:val="28"/>
          <w:szCs w:val="28"/>
          <w:lang w:eastAsia="en-US"/>
          <w14:ligatures w14:val="standardContextual"/>
        </w:rPr>
      </w:pPr>
    </w:p>
    <w:p w:rsidR="003755F0" w:rsidRPr="003755F0" w:rsidP="003755F0" w14:paraId="2D34C28E" w14:textId="77777777">
      <w:pPr>
        <w:spacing w:after="0" w:line="240" w:lineRule="auto"/>
        <w:ind w:firstLine="567"/>
        <w:jc w:val="center"/>
        <w:rPr>
          <w:rFonts w:ascii="Times New Roman" w:eastAsia="Calibri" w:hAnsi="Times New Roman" w:cs="Times New Roman"/>
          <w:color w:val="000000"/>
          <w:kern w:val="2"/>
          <w:sz w:val="28"/>
          <w:szCs w:val="28"/>
          <w:lang w:eastAsia="en-US"/>
          <w14:ligatures w14:val="standardContextual"/>
        </w:rPr>
      </w:pPr>
      <w:r w:rsidRPr="003755F0">
        <w:rPr>
          <w:rFonts w:ascii="Times New Roman" w:eastAsia="Calibri" w:hAnsi="Times New Roman" w:cs="Times New Roman"/>
          <w:noProof/>
          <w:color w:val="000000"/>
          <w:kern w:val="2"/>
          <w:sz w:val="28"/>
          <w:szCs w:val="28"/>
          <w:lang w:eastAsia="en-US"/>
        </w:rPr>
        <w:drawing>
          <wp:inline distT="0" distB="0" distL="0" distR="0">
            <wp:extent cx="4962525" cy="3590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2525" cy="3590925"/>
                    </a:xfrm>
                    <a:prstGeom prst="rect">
                      <a:avLst/>
                    </a:prstGeom>
                    <a:noFill/>
                    <a:ln>
                      <a:noFill/>
                    </a:ln>
                  </pic:spPr>
                </pic:pic>
              </a:graphicData>
            </a:graphic>
          </wp:inline>
        </w:drawing>
      </w:r>
    </w:p>
    <w:p w:rsidR="003755F0" w:rsidRPr="003755F0" w:rsidP="003755F0" w14:paraId="5C1885FE" w14:textId="77777777">
      <w:pPr>
        <w:spacing w:after="160" w:line="254" w:lineRule="auto"/>
        <w:ind w:left="2160"/>
        <w:contextualSpacing/>
        <w:rPr>
          <w:rFonts w:ascii="Times New Roman" w:eastAsia="Times New Roman" w:hAnsi="Times New Roman" w:cs="Times New Roman"/>
          <w:sz w:val="28"/>
          <w:szCs w:val="24"/>
        </w:rPr>
      </w:pPr>
    </w:p>
    <w:p w:rsidR="003755F0" w:rsidRPr="003755F0" w:rsidP="003755F0" w14:paraId="33D95B42" w14:textId="77777777">
      <w:pPr>
        <w:numPr>
          <w:ilvl w:val="2"/>
          <w:numId w:val="6"/>
        </w:numPr>
        <w:spacing w:after="160" w:line="254" w:lineRule="auto"/>
        <w:contextualSpacing/>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Виробничо-складське приміщення</w:t>
      </w:r>
      <w:r w:rsidRPr="003755F0">
        <w:rPr>
          <w:rFonts w:ascii="Times New Roman" w:eastAsia="Times New Roman" w:hAnsi="Times New Roman" w:cs="Times New Roman"/>
          <w:sz w:val="28"/>
          <w:szCs w:val="24"/>
          <w:lang w:val="en-CA"/>
        </w:rPr>
        <w:t>;</w:t>
      </w:r>
    </w:p>
    <w:p w:rsidR="003755F0" w:rsidRPr="003755F0" w:rsidP="003755F0" w14:paraId="348EC1BA" w14:textId="77777777">
      <w:pPr>
        <w:numPr>
          <w:ilvl w:val="2"/>
          <w:numId w:val="6"/>
        </w:numPr>
        <w:spacing w:after="160" w:line="254" w:lineRule="auto"/>
        <w:contextualSpacing/>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Основна підстанція</w:t>
      </w:r>
      <w:r w:rsidRPr="003755F0">
        <w:rPr>
          <w:rFonts w:ascii="Times New Roman" w:eastAsia="Times New Roman" w:hAnsi="Times New Roman" w:cs="Times New Roman"/>
          <w:sz w:val="28"/>
          <w:szCs w:val="24"/>
          <w:lang w:val="en-CA"/>
        </w:rPr>
        <w:t>;</w:t>
      </w:r>
    </w:p>
    <w:p w:rsidR="003755F0" w:rsidRPr="003755F0" w:rsidP="003755F0" w14:paraId="63AAD2BC" w14:textId="77777777">
      <w:pPr>
        <w:numPr>
          <w:ilvl w:val="2"/>
          <w:numId w:val="6"/>
        </w:numPr>
        <w:spacing w:after="160" w:line="254" w:lineRule="auto"/>
        <w:contextualSpacing/>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Резервна підстанція</w:t>
      </w:r>
      <w:r w:rsidRPr="003755F0">
        <w:rPr>
          <w:rFonts w:ascii="Times New Roman" w:eastAsia="Times New Roman" w:hAnsi="Times New Roman" w:cs="Times New Roman"/>
          <w:sz w:val="28"/>
          <w:szCs w:val="24"/>
          <w:lang w:val="en-CA"/>
        </w:rPr>
        <w:t>;</w:t>
      </w:r>
    </w:p>
    <w:p w:rsidR="003755F0" w:rsidRPr="003755F0" w:rsidP="003755F0" w14:paraId="2B637228" w14:textId="77777777">
      <w:pPr>
        <w:numPr>
          <w:ilvl w:val="2"/>
          <w:numId w:val="6"/>
        </w:numPr>
        <w:spacing w:after="160" w:line="254" w:lineRule="auto"/>
        <w:contextualSpacing/>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Адміністративна будівля</w:t>
      </w:r>
      <w:r w:rsidRPr="003755F0">
        <w:rPr>
          <w:rFonts w:ascii="Times New Roman" w:eastAsia="Times New Roman" w:hAnsi="Times New Roman" w:cs="Times New Roman"/>
          <w:sz w:val="28"/>
          <w:szCs w:val="24"/>
          <w:lang w:val="en-CA"/>
        </w:rPr>
        <w:t>;</w:t>
      </w:r>
    </w:p>
    <w:p w:rsidR="003755F0" w:rsidRPr="003755F0" w:rsidP="003755F0" w14:paraId="211F25AD" w14:textId="77777777">
      <w:pPr>
        <w:numPr>
          <w:ilvl w:val="2"/>
          <w:numId w:val="6"/>
        </w:numPr>
        <w:spacing w:after="160" w:line="254" w:lineRule="auto"/>
        <w:contextualSpacing/>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Стоянка легкового транспорту</w:t>
      </w:r>
      <w:r w:rsidRPr="003755F0">
        <w:rPr>
          <w:rFonts w:ascii="Times New Roman" w:eastAsia="Times New Roman" w:hAnsi="Times New Roman" w:cs="Times New Roman"/>
          <w:sz w:val="28"/>
          <w:szCs w:val="24"/>
          <w:lang w:val="en-CA"/>
        </w:rPr>
        <w:t>;</w:t>
      </w:r>
    </w:p>
    <w:p w:rsidR="003755F0" w:rsidRPr="003755F0" w:rsidP="003755F0" w14:paraId="42F519B7" w14:textId="77777777">
      <w:pPr>
        <w:numPr>
          <w:ilvl w:val="2"/>
          <w:numId w:val="6"/>
        </w:numPr>
        <w:spacing w:after="160" w:line="254" w:lineRule="auto"/>
        <w:contextualSpacing/>
        <w:rPr>
          <w:rFonts w:ascii="Times New Roman" w:eastAsia="Times New Roman" w:hAnsi="Times New Roman" w:cs="Times New Roman"/>
          <w:sz w:val="28"/>
          <w:szCs w:val="24"/>
        </w:rPr>
      </w:pPr>
      <w:r w:rsidRPr="003755F0">
        <w:rPr>
          <w:rFonts w:ascii="Times New Roman" w:eastAsia="Times New Roman" w:hAnsi="Times New Roman" w:cs="Times New Roman"/>
          <w:sz w:val="28"/>
          <w:szCs w:val="24"/>
        </w:rPr>
        <w:t>Склад готової продукції</w:t>
      </w:r>
      <w:r w:rsidRPr="003755F0">
        <w:rPr>
          <w:rFonts w:ascii="Times New Roman" w:eastAsia="Times New Roman" w:hAnsi="Times New Roman" w:cs="Times New Roman"/>
          <w:sz w:val="28"/>
          <w:szCs w:val="24"/>
          <w:lang w:val="en-CA"/>
        </w:rPr>
        <w:t xml:space="preserve">. </w:t>
      </w:r>
    </w:p>
    <w:p w:rsidR="003755F0" w:rsidRPr="003755F0" w:rsidP="003755F0" w14:paraId="4FE86057" w14:textId="77777777">
      <w:pPr>
        <w:spacing w:after="160" w:line="254" w:lineRule="auto"/>
        <w:ind w:left="2160"/>
        <w:contextualSpacing/>
        <w:rPr>
          <w:rFonts w:ascii="Times New Roman" w:eastAsia="Times New Roman" w:hAnsi="Times New Roman" w:cs="Times New Roman"/>
          <w:sz w:val="28"/>
          <w:szCs w:val="24"/>
        </w:rPr>
      </w:pPr>
    </w:p>
    <w:p w:rsidR="003755F0" w:rsidRPr="003755F0" w:rsidP="003755F0" w14:paraId="20C4C1CC" w14:textId="77777777">
      <w:pPr>
        <w:spacing w:after="0"/>
        <w:rPr>
          <w:rFonts w:ascii="Times New Roman" w:eastAsia="Times New Roman" w:hAnsi="Times New Roman" w:cs="Times New Roman"/>
          <w:b/>
          <w:sz w:val="28"/>
          <w:szCs w:val="28"/>
        </w:rPr>
      </w:pPr>
    </w:p>
    <w:p w:rsidR="003755F0" w:rsidRPr="003755F0" w:rsidP="003755F0" w14:paraId="374B80EF" w14:textId="77777777">
      <w:pPr>
        <w:spacing w:after="0"/>
        <w:rPr>
          <w:rFonts w:ascii="Times New Roman" w:eastAsia="Times New Roman" w:hAnsi="Times New Roman" w:cs="Times New Roman"/>
          <w:b/>
          <w:sz w:val="28"/>
          <w:szCs w:val="28"/>
        </w:rPr>
      </w:pPr>
    </w:p>
    <w:p w:rsidR="003755F0" w:rsidRPr="003755F0" w:rsidP="003755F0" w14:paraId="669E11C9" w14:textId="77777777">
      <w:pPr>
        <w:spacing w:after="0"/>
        <w:rPr>
          <w:rFonts w:ascii="Times New Roman" w:eastAsia="Times New Roman" w:hAnsi="Times New Roman" w:cs="Times New Roman"/>
          <w:b/>
          <w:sz w:val="28"/>
          <w:szCs w:val="28"/>
        </w:rPr>
      </w:pPr>
    </w:p>
    <w:p w:rsidR="003755F0" w:rsidRPr="003755F0" w:rsidP="003755F0" w14:paraId="591D385D" w14:textId="77777777">
      <w:pPr>
        <w:spacing w:after="0"/>
        <w:rPr>
          <w:rFonts w:ascii="Times New Roman" w:eastAsia="Times New Roman" w:hAnsi="Times New Roman" w:cs="Times New Roman"/>
          <w:b/>
          <w:sz w:val="28"/>
          <w:szCs w:val="28"/>
        </w:rPr>
      </w:pPr>
    </w:p>
    <w:p w:rsidR="003755F0" w:rsidRPr="003755F0" w:rsidP="003755F0" w14:paraId="51083AA6" w14:textId="77777777">
      <w:pPr>
        <w:spacing w:after="0"/>
        <w:rPr>
          <w:rFonts w:ascii="Times New Roman" w:eastAsia="Times New Roman" w:hAnsi="Times New Roman" w:cs="Times New Roman"/>
          <w:b/>
          <w:sz w:val="28"/>
          <w:szCs w:val="28"/>
        </w:rPr>
      </w:pPr>
    </w:p>
    <w:p w:rsidR="003755F0" w:rsidRPr="003755F0" w:rsidP="003755F0" w14:paraId="43BEDD9A" w14:textId="77777777">
      <w:pPr>
        <w:spacing w:after="0"/>
        <w:rPr>
          <w:rFonts w:ascii="Times New Roman" w:eastAsia="Times New Roman" w:hAnsi="Times New Roman" w:cs="Times New Roman"/>
          <w:b/>
          <w:sz w:val="28"/>
          <w:szCs w:val="28"/>
        </w:rPr>
      </w:pPr>
    </w:p>
    <w:p w:rsidR="003755F0" w:rsidRPr="003755F0" w:rsidP="003755F0" w14:paraId="0C483AFC" w14:textId="77777777">
      <w:pPr>
        <w:spacing w:after="0"/>
        <w:rPr>
          <w:rFonts w:ascii="Times New Roman" w:eastAsia="Times New Roman" w:hAnsi="Times New Roman" w:cs="Times New Roman"/>
          <w:b/>
          <w:sz w:val="28"/>
          <w:szCs w:val="28"/>
        </w:rPr>
      </w:pPr>
    </w:p>
    <w:p w:rsidR="003755F0" w:rsidRPr="003755F0" w:rsidP="003755F0" w14:paraId="4A0B8773" w14:textId="77777777">
      <w:pPr>
        <w:spacing w:after="0"/>
        <w:rPr>
          <w:rFonts w:ascii="Times New Roman" w:eastAsia="Times New Roman" w:hAnsi="Times New Roman" w:cs="Times New Roman"/>
          <w:b/>
          <w:sz w:val="28"/>
          <w:szCs w:val="28"/>
        </w:rPr>
      </w:pPr>
    </w:p>
    <w:p w:rsidR="003755F0" w:rsidRPr="003755F0" w:rsidP="003755F0" w14:paraId="37581F91" w14:textId="77777777">
      <w:pPr>
        <w:spacing w:after="0"/>
        <w:rPr>
          <w:rFonts w:ascii="Times New Roman" w:eastAsia="Times New Roman" w:hAnsi="Times New Roman" w:cs="Times New Roman"/>
          <w:b/>
          <w:sz w:val="28"/>
          <w:szCs w:val="28"/>
        </w:rPr>
      </w:pPr>
    </w:p>
    <w:p w:rsidR="003755F0" w:rsidRPr="003755F0" w:rsidP="003755F0" w14:paraId="4ABFE0E1" w14:textId="77777777">
      <w:pPr>
        <w:spacing w:after="0"/>
        <w:rPr>
          <w:rFonts w:ascii="Times New Roman" w:eastAsia="Times New Roman" w:hAnsi="Times New Roman" w:cs="Times New Roman"/>
          <w:b/>
          <w:sz w:val="28"/>
          <w:szCs w:val="28"/>
        </w:rPr>
      </w:pPr>
    </w:p>
    <w:p w:rsidR="003755F0" w:rsidRPr="003755F0" w:rsidP="003755F0" w14:paraId="3E230476" w14:textId="77777777">
      <w:pPr>
        <w:spacing w:after="0"/>
        <w:rPr>
          <w:rFonts w:ascii="Times New Roman" w:eastAsia="Times New Roman" w:hAnsi="Times New Roman" w:cs="Times New Roman"/>
          <w:b/>
          <w:sz w:val="28"/>
          <w:szCs w:val="28"/>
        </w:rPr>
      </w:pPr>
    </w:p>
    <w:p w:rsidR="003755F0" w:rsidRPr="003755F0" w:rsidP="003755F0" w14:paraId="606EEBD8" w14:textId="77777777">
      <w:pPr>
        <w:spacing w:after="0"/>
        <w:rPr>
          <w:rFonts w:ascii="Times New Roman" w:eastAsia="Times New Roman" w:hAnsi="Times New Roman" w:cs="Times New Roman"/>
          <w:b/>
          <w:sz w:val="28"/>
          <w:szCs w:val="28"/>
        </w:rPr>
      </w:pPr>
    </w:p>
    <w:p w:rsidR="003755F0" w:rsidRPr="003755F0" w:rsidP="003755F0" w14:paraId="1A5ABA87" w14:textId="77777777">
      <w:pPr>
        <w:spacing w:after="0"/>
        <w:rPr>
          <w:rFonts w:ascii="Times New Roman" w:eastAsia="Times New Roman" w:hAnsi="Times New Roman" w:cs="Times New Roman"/>
          <w:b/>
          <w:sz w:val="28"/>
          <w:szCs w:val="28"/>
        </w:rPr>
      </w:pPr>
    </w:p>
    <w:p w:rsidR="003755F0" w:rsidRPr="003755F0" w:rsidP="003755F0" w14:paraId="25B28697" w14:textId="77777777">
      <w:pPr>
        <w:spacing w:after="0"/>
        <w:rPr>
          <w:rFonts w:ascii="Times New Roman" w:eastAsia="Times New Roman" w:hAnsi="Times New Roman" w:cs="Times New Roman"/>
          <w:b/>
          <w:sz w:val="28"/>
          <w:szCs w:val="28"/>
        </w:rPr>
      </w:pPr>
    </w:p>
    <w:p w:rsidR="003755F0" w:rsidRPr="003755F0" w:rsidP="003755F0" w14:paraId="4CE21583" w14:textId="77777777">
      <w:pPr>
        <w:spacing w:after="0"/>
        <w:jc w:val="center"/>
        <w:rPr>
          <w:rFonts w:ascii="Times New Roman" w:eastAsia="Times New Roman" w:hAnsi="Times New Roman" w:cs="Times New Roman"/>
          <w:b/>
          <w:sz w:val="28"/>
          <w:szCs w:val="28"/>
        </w:rPr>
      </w:pPr>
      <w:r w:rsidRPr="003755F0">
        <w:rPr>
          <w:rFonts w:ascii="Times New Roman" w:eastAsia="Times New Roman" w:hAnsi="Times New Roman" w:cs="Times New Roman"/>
          <w:b/>
          <w:noProof/>
          <w:sz w:val="28"/>
          <w:szCs w:val="28"/>
        </w:rPr>
        <w:drawing>
          <wp:inline distT="0" distB="0" distL="0" distR="0">
            <wp:extent cx="5172075" cy="2905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2075" cy="2905125"/>
                    </a:xfrm>
                    <a:prstGeom prst="rect">
                      <a:avLst/>
                    </a:prstGeom>
                    <a:noFill/>
                    <a:ln>
                      <a:noFill/>
                    </a:ln>
                  </pic:spPr>
                </pic:pic>
              </a:graphicData>
            </a:graphic>
          </wp:inline>
        </w:drawing>
      </w:r>
    </w:p>
    <w:p w:rsidR="003755F0" w:rsidRPr="003755F0" w:rsidP="003755F0" w14:paraId="18602772" w14:textId="77777777">
      <w:pPr>
        <w:spacing w:after="0"/>
        <w:rPr>
          <w:rFonts w:ascii="Times New Roman" w:eastAsia="Times New Roman" w:hAnsi="Times New Roman" w:cs="Times New Roman"/>
          <w:b/>
          <w:sz w:val="28"/>
          <w:szCs w:val="28"/>
        </w:rPr>
      </w:pPr>
    </w:p>
    <w:p w:rsidR="003755F0" w:rsidRPr="003755F0" w:rsidP="003755F0" w14:paraId="3BD6069F" w14:textId="77777777">
      <w:pPr>
        <w:spacing w:after="0"/>
        <w:jc w:val="center"/>
        <w:rPr>
          <w:rFonts w:ascii="Times New Roman" w:eastAsia="Times New Roman" w:hAnsi="Times New Roman" w:cs="Times New Roman"/>
          <w:b/>
          <w:sz w:val="28"/>
          <w:szCs w:val="28"/>
        </w:rPr>
      </w:pPr>
      <w:r w:rsidRPr="003755F0">
        <w:rPr>
          <w:rFonts w:ascii="Calibri" w:eastAsia="Times New Roman" w:hAnsi="Calibri" w:cs="Times New Roman"/>
          <w:noProof/>
        </w:rPr>
        <w:drawing>
          <wp:inline distT="0" distB="0" distL="0" distR="0">
            <wp:extent cx="5162550" cy="2905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2550" cy="2905125"/>
                    </a:xfrm>
                    <a:prstGeom prst="rect">
                      <a:avLst/>
                    </a:prstGeom>
                    <a:noFill/>
                    <a:ln>
                      <a:noFill/>
                    </a:ln>
                  </pic:spPr>
                </pic:pic>
              </a:graphicData>
            </a:graphic>
          </wp:inline>
        </w:drawing>
      </w:r>
    </w:p>
    <w:p w:rsidR="003755F0" w:rsidRPr="003755F0" w:rsidP="003755F0" w14:paraId="1CC8E32C" w14:textId="77777777">
      <w:pPr>
        <w:spacing w:after="0"/>
        <w:jc w:val="center"/>
        <w:rPr>
          <w:rFonts w:ascii="Times New Roman" w:eastAsia="Times New Roman" w:hAnsi="Times New Roman" w:cs="Times New Roman"/>
          <w:b/>
          <w:sz w:val="28"/>
          <w:szCs w:val="28"/>
        </w:rPr>
      </w:pPr>
      <w:r w:rsidRPr="003755F0">
        <w:rPr>
          <w:rFonts w:ascii="Times New Roman" w:eastAsia="Times New Roman" w:hAnsi="Times New Roman" w:cs="Times New Roman"/>
          <w:b/>
          <w:noProof/>
          <w:sz w:val="28"/>
          <w:szCs w:val="28"/>
        </w:rPr>
        <w:drawing>
          <wp:inline distT="0" distB="0" distL="0" distR="0">
            <wp:extent cx="5162550" cy="2905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62550" cy="2905125"/>
                    </a:xfrm>
                    <a:prstGeom prst="rect">
                      <a:avLst/>
                    </a:prstGeom>
                    <a:noFill/>
                    <a:ln>
                      <a:noFill/>
                    </a:ln>
                  </pic:spPr>
                </pic:pic>
              </a:graphicData>
            </a:graphic>
          </wp:inline>
        </w:drawing>
      </w:r>
    </w:p>
    <w:p w:rsidR="003755F0" w:rsidRPr="003755F0" w:rsidP="003755F0" w14:paraId="61BFC78E" w14:textId="77777777">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bookmarkStart w:id="14" w:name="_Toc194054632"/>
      <w:r w:rsidRPr="003755F0">
        <w:rPr>
          <w:rFonts w:ascii="Times New Roman" w:eastAsia="Times New Roman" w:hAnsi="Times New Roman" w:cs="Times New Roman"/>
          <w:b/>
          <w:kern w:val="2"/>
          <w:sz w:val="28"/>
          <w:szCs w:val="28"/>
          <w:lang w:eastAsia="en-US"/>
          <w14:ligatures w14:val="standardContextual"/>
        </w:rPr>
        <w:t>Орієнтовні ресурси (фінансові, матеріальні, технічні, трудові, природні тощо), необхідні для створення та функціонування індустріального парку, очікувані джерела їх залучення</w:t>
      </w:r>
      <w:bookmarkEnd w:id="14"/>
    </w:p>
    <w:p w:rsidR="003755F0" w:rsidRPr="003755F0" w:rsidP="003755F0" w14:paraId="155771B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Загальний обсяг інвестицій для створення індустріального парку, включаючи витрати на інженерно-транспортну інфраструктуру, будівництво промислових, складських та технічних об’єктів, а також на виробниче обладнання, становить 1,26 млрд гривень. Оскільки остаточна </w:t>
      </w:r>
      <w:r w:rsidRPr="003755F0">
        <w:rPr>
          <w:rFonts w:ascii="Times New Roman" w:eastAsia="Calibri" w:hAnsi="Times New Roman" w:cs="Times New Roman"/>
          <w:kern w:val="2"/>
          <w:sz w:val="28"/>
          <w:szCs w:val="28"/>
          <w:lang w:eastAsia="en-US"/>
          <w14:ligatures w14:val="standardContextual"/>
        </w:rPr>
        <w:t>проєктно</w:t>
      </w:r>
      <w:r w:rsidRPr="003755F0">
        <w:rPr>
          <w:rFonts w:ascii="Times New Roman" w:eastAsia="Calibri" w:hAnsi="Times New Roman" w:cs="Times New Roman"/>
          <w:kern w:val="2"/>
          <w:sz w:val="28"/>
          <w:szCs w:val="28"/>
          <w:lang w:eastAsia="en-US"/>
          <w14:ligatures w14:val="standardContextual"/>
        </w:rPr>
        <w:t xml:space="preserve">-кошторисна документація ще не розроблена, вартість значною мірою визначено на основі порівняльного аналізу середніх статистичних розцінок та досвіду реалізації аналогічних </w:t>
      </w:r>
      <w:r w:rsidRPr="003755F0">
        <w:rPr>
          <w:rFonts w:ascii="Times New Roman" w:eastAsia="Calibri" w:hAnsi="Times New Roman" w:cs="Times New Roman"/>
          <w:kern w:val="2"/>
          <w:sz w:val="28"/>
          <w:szCs w:val="28"/>
          <w:lang w:eastAsia="en-US"/>
          <w14:ligatures w14:val="standardContextual"/>
        </w:rPr>
        <w:t>проєктів</w:t>
      </w:r>
      <w:r w:rsidRPr="003755F0">
        <w:rPr>
          <w:rFonts w:ascii="Times New Roman" w:eastAsia="Calibri" w:hAnsi="Times New Roman" w:cs="Times New Roman"/>
          <w:kern w:val="2"/>
          <w:sz w:val="28"/>
          <w:szCs w:val="28"/>
          <w:lang w:eastAsia="en-US"/>
          <w14:ligatures w14:val="standardContextual"/>
        </w:rPr>
        <w:t xml:space="preserve"> (табл. 9).</w:t>
      </w:r>
    </w:p>
    <w:p w:rsidR="003755F0" w:rsidRPr="003755F0" w:rsidP="003755F0" w14:paraId="56B37A16" w14:textId="77777777">
      <w:pPr>
        <w:tabs>
          <w:tab w:val="left" w:pos="851"/>
        </w:tabs>
        <w:spacing w:before="120"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9.</w:t>
      </w:r>
      <w:r w:rsidRPr="003755F0">
        <w:rPr>
          <w:rFonts w:ascii="Times New Roman" w:eastAsia="Calibri" w:hAnsi="Times New Roman" w:cs="Times New Roman"/>
          <w:kern w:val="2"/>
          <w:sz w:val="28"/>
          <w:szCs w:val="28"/>
          <w:lang w:eastAsia="en-US"/>
          <w14:ligatures w14:val="standardContextual"/>
        </w:rPr>
        <w:t xml:space="preserve"> Попередній розрахунок загального витратного бюджету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ІП «БУДШЛЯХМАШ»</w:t>
      </w:r>
    </w:p>
    <w:tbl>
      <w:tblPr>
        <w:tblStyle w:val="100"/>
        <w:tblW w:w="0" w:type="auto"/>
        <w:tblInd w:w="0" w:type="dxa"/>
        <w:tblLook w:val="04A0"/>
      </w:tblPr>
      <w:tblGrid>
        <w:gridCol w:w="5993"/>
        <w:gridCol w:w="1820"/>
        <w:gridCol w:w="1675"/>
      </w:tblGrid>
      <w:tr w14:paraId="0C0F69E3" w14:textId="77777777" w:rsidTr="003755F0">
        <w:tblPrEx>
          <w:tblW w:w="0" w:type="auto"/>
          <w:tblInd w:w="0" w:type="dxa"/>
          <w:tblLook w:val="04A0"/>
        </w:tblPrEx>
        <w:tc>
          <w:tcPr>
            <w:tcW w:w="6091" w:type="dxa"/>
            <w:vMerge w:val="restart"/>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3E5F85B2" w14:textId="77777777">
            <w:pPr>
              <w:tabs>
                <w:tab w:val="left" w:pos="851"/>
              </w:tabs>
              <w:jc w:val="center"/>
              <w:rPr>
                <w:rFonts w:ascii="Times New Roman" w:hAnsi="Times New Roman"/>
                <w:b/>
                <w:bCs/>
                <w:sz w:val="24"/>
                <w:szCs w:val="28"/>
              </w:rPr>
            </w:pPr>
            <w:r w:rsidRPr="003755F0">
              <w:rPr>
                <w:rFonts w:ascii="Times New Roman" w:eastAsia="Times New Roman" w:hAnsi="Times New Roman"/>
                <w:b/>
                <w:bCs/>
                <w:sz w:val="24"/>
                <w:szCs w:val="28"/>
              </w:rPr>
              <w:t>Статті витрат</w:t>
            </w:r>
          </w:p>
        </w:tc>
        <w:tc>
          <w:tcPr>
            <w:tcW w:w="3536" w:type="dxa"/>
            <w:gridSpan w:val="2"/>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7198C01F"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Обсяг витрат</w:t>
            </w:r>
          </w:p>
        </w:tc>
      </w:tr>
      <w:tr w14:paraId="4AC34907" w14:textId="77777777" w:rsidTr="003755F0">
        <w:tblPrEx>
          <w:tblW w:w="0" w:type="auto"/>
          <w:tblInd w:w="0" w:type="dxa"/>
          <w:tblLook w:val="04A0"/>
        </w:tblPrEx>
        <w:tc>
          <w:tcPr>
            <w:tcW w:w="0" w:type="auto"/>
            <w:vMerge/>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5DF06C" w14:textId="77777777">
            <w:pPr>
              <w:rPr>
                <w:rFonts w:ascii="Times New Roman" w:hAnsi="Times New Roman"/>
                <w:b/>
                <w:bCs/>
                <w:sz w:val="24"/>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1CDD399A"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 xml:space="preserve">млн </w:t>
            </w:r>
            <w:r w:rsidRPr="003755F0">
              <w:rPr>
                <w:rFonts w:ascii="Times New Roman" w:eastAsia="Times New Roman" w:hAnsi="Times New Roman"/>
                <w:b/>
                <w:bCs/>
                <w:sz w:val="24"/>
                <w:szCs w:val="28"/>
              </w:rPr>
              <w:t>дол</w:t>
            </w:r>
            <w:r w:rsidRPr="003755F0">
              <w:rPr>
                <w:rFonts w:ascii="Times New Roman" w:eastAsia="Times New Roman" w:hAnsi="Times New Roman"/>
                <w:b/>
                <w:bCs/>
                <w:sz w:val="24"/>
                <w:szCs w:val="28"/>
              </w:rPr>
              <w:t>. США</w:t>
            </w:r>
            <w:r w:rsidRPr="003755F0">
              <w:rPr>
                <w:rFonts w:ascii="Times New Roman" w:eastAsia="Times New Roman" w:hAnsi="Times New Roman"/>
                <w:b/>
                <w:bCs/>
                <w:sz w:val="24"/>
                <w:szCs w:val="28"/>
                <w:vertAlign w:val="superscript"/>
              </w:rPr>
              <w:t>*</w:t>
            </w:r>
          </w:p>
        </w:tc>
        <w:tc>
          <w:tcPr>
            <w:tcW w:w="1694"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6DF77EAB"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млн грн</w:t>
            </w:r>
          </w:p>
        </w:tc>
      </w:tr>
      <w:tr w14:paraId="643D4C2E" w14:textId="77777777" w:rsidTr="003755F0">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3755F0" w:rsidRPr="003755F0" w:rsidP="003755F0" w14:paraId="40D56264"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Будівництво промислових, складських та технічних об’єктів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2C6FCB"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9,9</w:t>
            </w:r>
          </w:p>
        </w:tc>
        <w:tc>
          <w:tcPr>
            <w:tcW w:w="16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4C993F1"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420,0</w:t>
            </w:r>
          </w:p>
        </w:tc>
      </w:tr>
      <w:tr w14:paraId="3B3C2BAC" w14:textId="77777777" w:rsidTr="003755F0">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3755F0" w:rsidRPr="003755F0" w:rsidP="003755F0" w14:paraId="1EA0736E"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Закупівля обладнання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78F9F6"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9,9</w:t>
            </w:r>
          </w:p>
        </w:tc>
        <w:tc>
          <w:tcPr>
            <w:tcW w:w="16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81A1249"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420,0</w:t>
            </w:r>
          </w:p>
        </w:tc>
      </w:tr>
      <w:tr w14:paraId="0CDD6072" w14:textId="77777777" w:rsidTr="003755F0">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3755F0" w:rsidRPr="003755F0" w:rsidP="003755F0" w14:paraId="0E644552"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Облаштування інженерно-транспортної інфраструктури парку</w:t>
            </w:r>
          </w:p>
        </w:tc>
        <w:tc>
          <w:tcPr>
            <w:tcW w:w="184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C41A7B"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7,1</w:t>
            </w:r>
          </w:p>
        </w:tc>
        <w:tc>
          <w:tcPr>
            <w:tcW w:w="16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38A34B"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300,0</w:t>
            </w:r>
          </w:p>
        </w:tc>
      </w:tr>
      <w:tr w14:paraId="611A0610" w14:textId="77777777" w:rsidTr="003755F0">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3755F0" w:rsidRPr="003755F0" w:rsidP="003755F0" w14:paraId="23C9B3FB" w14:textId="77777777">
            <w:pPr>
              <w:tabs>
                <w:tab w:val="left" w:pos="851"/>
              </w:tabs>
              <w:jc w:val="both"/>
              <w:rPr>
                <w:rFonts w:ascii="Times New Roman" w:eastAsia="Times New Roman" w:hAnsi="Times New Roman"/>
                <w:sz w:val="24"/>
                <w:szCs w:val="28"/>
              </w:rPr>
            </w:pPr>
            <w:r w:rsidRPr="003755F0">
              <w:rPr>
                <w:rFonts w:ascii="Times New Roman" w:eastAsia="Times New Roman" w:hAnsi="Times New Roman"/>
                <w:sz w:val="24"/>
                <w:szCs w:val="28"/>
              </w:rPr>
              <w:t>Інші статті витрат (</w:t>
            </w:r>
            <w:r w:rsidRPr="003755F0">
              <w:rPr>
                <w:rFonts w:ascii="Times New Roman" w:eastAsia="Times New Roman" w:hAnsi="Times New Roman"/>
                <w:sz w:val="24"/>
                <w:szCs w:val="28"/>
              </w:rPr>
              <w:t>проєктування</w:t>
            </w:r>
            <w:r w:rsidRPr="003755F0">
              <w:rPr>
                <w:rFonts w:ascii="Times New Roman" w:eastAsia="Times New Roman" w:hAnsi="Times New Roman"/>
                <w:sz w:val="24"/>
                <w:szCs w:val="28"/>
              </w:rPr>
              <w:t xml:space="preserve"> робіт, благоустрій тощо)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0A715D"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2,8</w:t>
            </w:r>
          </w:p>
        </w:tc>
        <w:tc>
          <w:tcPr>
            <w:tcW w:w="16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7ABB3B6"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120,0</w:t>
            </w:r>
          </w:p>
        </w:tc>
      </w:tr>
      <w:tr w14:paraId="5FA95CBA" w14:textId="77777777" w:rsidTr="003755F0">
        <w:tblPrEx>
          <w:tblW w:w="0" w:type="auto"/>
          <w:tblInd w:w="0" w:type="dxa"/>
          <w:tblLook w:val="04A0"/>
        </w:tblPrEx>
        <w:tc>
          <w:tcPr>
            <w:tcW w:w="6091" w:type="dxa"/>
            <w:tcBorders>
              <w:top w:val="single" w:sz="4" w:space="0" w:color="auto"/>
              <w:left w:val="single" w:sz="4" w:space="0" w:color="auto"/>
              <w:bottom w:val="single" w:sz="4" w:space="0" w:color="auto"/>
              <w:right w:val="single" w:sz="4" w:space="0" w:color="auto"/>
            </w:tcBorders>
            <w:hideMark/>
          </w:tcPr>
          <w:p w:rsidR="003755F0" w:rsidRPr="003755F0" w:rsidP="003755F0" w14:paraId="3E676F73" w14:textId="77777777">
            <w:pPr>
              <w:tabs>
                <w:tab w:val="left" w:pos="851"/>
              </w:tabs>
              <w:jc w:val="both"/>
              <w:rPr>
                <w:rFonts w:ascii="Times New Roman" w:eastAsia="Times New Roman" w:hAnsi="Times New Roman"/>
                <w:b/>
                <w:bCs/>
                <w:sz w:val="24"/>
                <w:szCs w:val="28"/>
              </w:rPr>
            </w:pPr>
            <w:r w:rsidRPr="003755F0">
              <w:rPr>
                <w:rFonts w:ascii="Times New Roman" w:eastAsia="Times New Roman" w:hAnsi="Times New Roman"/>
                <w:b/>
                <w:bCs/>
                <w:sz w:val="24"/>
                <w:szCs w:val="28"/>
              </w:rPr>
              <w:t>Всього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2B6E3D"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29,7</w:t>
            </w:r>
          </w:p>
        </w:tc>
        <w:tc>
          <w:tcPr>
            <w:tcW w:w="169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30DD60" w14:textId="77777777">
            <w:pPr>
              <w:tabs>
                <w:tab w:val="left" w:pos="851"/>
              </w:tabs>
              <w:jc w:val="right"/>
              <w:rPr>
                <w:rFonts w:ascii="Times New Roman" w:eastAsia="Times New Roman" w:hAnsi="Times New Roman"/>
                <w:b/>
                <w:bCs/>
                <w:sz w:val="24"/>
                <w:szCs w:val="28"/>
              </w:rPr>
            </w:pPr>
            <w:r w:rsidRPr="003755F0">
              <w:rPr>
                <w:rFonts w:ascii="Times New Roman" w:eastAsia="Times New Roman" w:hAnsi="Times New Roman"/>
                <w:sz w:val="24"/>
                <w:szCs w:val="28"/>
              </w:rPr>
              <w:t>1260,0</w:t>
            </w:r>
          </w:p>
        </w:tc>
      </w:tr>
    </w:tbl>
    <w:p w:rsidR="003755F0" w:rsidRPr="003755F0" w:rsidP="003755F0" w14:paraId="7F5735E4" w14:textId="77777777">
      <w:pPr>
        <w:tabs>
          <w:tab w:val="left" w:pos="851"/>
        </w:tabs>
        <w:spacing w:line="240" w:lineRule="auto"/>
        <w:jc w:val="both"/>
        <w:rPr>
          <w:rFonts w:ascii="Times New Roman" w:eastAsia="Calibri" w:hAnsi="Times New Roman" w:cs="Times New Roman"/>
          <w:kern w:val="2"/>
          <w:sz w:val="24"/>
          <w:szCs w:val="28"/>
          <w:lang w:eastAsia="en-US"/>
          <w14:ligatures w14:val="standardContextual"/>
        </w:rPr>
      </w:pPr>
      <w:r w:rsidRPr="003755F0">
        <w:rPr>
          <w:rFonts w:ascii="Times New Roman" w:eastAsia="Calibri" w:hAnsi="Times New Roman" w:cs="Times New Roman"/>
          <w:i/>
          <w:iCs/>
          <w:kern w:val="2"/>
          <w:sz w:val="24"/>
          <w:szCs w:val="28"/>
          <w:vertAlign w:val="superscript"/>
          <w:lang w:eastAsia="en-US"/>
          <w14:ligatures w14:val="standardContextual"/>
        </w:rPr>
        <w:t>*</w:t>
      </w:r>
      <w:r w:rsidRPr="003755F0">
        <w:rPr>
          <w:rFonts w:ascii="Times New Roman" w:eastAsia="Calibri" w:hAnsi="Times New Roman" w:cs="Times New Roman"/>
          <w:i/>
          <w:iCs/>
          <w:kern w:val="2"/>
          <w:sz w:val="24"/>
          <w:szCs w:val="28"/>
          <w:lang w:eastAsia="en-US"/>
          <w14:ligatures w14:val="standardContextual"/>
        </w:rPr>
        <w:t>Примітка</w:t>
      </w:r>
      <w:r w:rsidRPr="003755F0">
        <w:rPr>
          <w:rFonts w:ascii="Times New Roman" w:eastAsia="Calibri" w:hAnsi="Times New Roman" w:cs="Times New Roman"/>
          <w:kern w:val="2"/>
          <w:sz w:val="24"/>
          <w:szCs w:val="28"/>
          <w:lang w:eastAsia="en-US"/>
          <w14:ligatures w14:val="standardContextual"/>
        </w:rPr>
        <w:t>: витрати розраховані за офіційним курсом НБУ станом на 25.11.25 р., який складає 42,3713 грн за долар США.</w:t>
      </w:r>
    </w:p>
    <w:p w:rsidR="003755F0" w:rsidRPr="003755F0" w:rsidP="003755F0" w14:paraId="4FBB625D"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За кожною статтею витрат цього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дані будуть уточнені та відкориговані по мірі побудови і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та з урахуванням складеної остаточної </w:t>
      </w:r>
      <w:r w:rsidRPr="003755F0">
        <w:rPr>
          <w:rFonts w:ascii="Times New Roman" w:eastAsia="Calibri" w:hAnsi="Times New Roman" w:cs="Times New Roman"/>
          <w:kern w:val="2"/>
          <w:sz w:val="28"/>
          <w:szCs w:val="28"/>
          <w:lang w:eastAsia="en-US"/>
          <w14:ligatures w14:val="standardContextual"/>
        </w:rPr>
        <w:t>проєктно</w:t>
      </w:r>
      <w:r w:rsidRPr="003755F0">
        <w:rPr>
          <w:rFonts w:ascii="Times New Roman" w:eastAsia="Calibri" w:hAnsi="Times New Roman" w:cs="Times New Roman"/>
          <w:kern w:val="2"/>
          <w:sz w:val="28"/>
          <w:szCs w:val="28"/>
          <w:lang w:eastAsia="en-US"/>
          <w14:ligatures w14:val="standardContextual"/>
        </w:rPr>
        <w:t>-кошторисної документації.</w:t>
      </w:r>
    </w:p>
    <w:p w:rsidR="003755F0" w:rsidRPr="003755F0" w:rsidP="003755F0" w14:paraId="62B97169"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Схема фінансування</w:t>
      </w:r>
      <w:r w:rsidRPr="003755F0">
        <w:rPr>
          <w:rFonts w:ascii="Times New Roman" w:eastAsia="Calibri" w:hAnsi="Times New Roman" w:cs="Times New Roman"/>
          <w:kern w:val="2"/>
          <w:sz w:val="28"/>
          <w:szCs w:val="28"/>
          <w:lang w:eastAsia="en-US"/>
          <w14:ligatures w14:val="standardContextual"/>
        </w:rPr>
        <w:t xml:space="preserve">. Схема фінансування індустріального парку передбачає поступове надходження фінансових ресурсів з різних джерел. У </w:t>
      </w:r>
      <w:r w:rsidRPr="003755F0">
        <w:rPr>
          <w:rFonts w:ascii="Times New Roman" w:eastAsia="Calibri" w:hAnsi="Times New Roman" w:cs="Times New Roman"/>
          <w:kern w:val="2"/>
          <w:sz w:val="28"/>
          <w:szCs w:val="28"/>
          <w:lang w:eastAsia="en-US"/>
          <w14:ligatures w14:val="standardContextual"/>
        </w:rPr>
        <w:t>проєкті</w:t>
      </w:r>
      <w:r w:rsidRPr="003755F0">
        <w:rPr>
          <w:rFonts w:ascii="Times New Roman" w:eastAsia="Calibri" w:hAnsi="Times New Roman" w:cs="Times New Roman"/>
          <w:kern w:val="2"/>
          <w:sz w:val="28"/>
          <w:szCs w:val="28"/>
          <w:lang w:eastAsia="en-US"/>
          <w14:ligatures w14:val="standardContextual"/>
        </w:rPr>
        <w:t xml:space="preserve"> передбачено використання декількох джерел фінансування, а саме: </w:t>
      </w:r>
    </w:p>
    <w:p w:rsidR="003755F0" w:rsidRPr="003755F0" w:rsidP="003755F0" w14:paraId="7F40AAF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власні фінансові надходження ініціатора створення індустріального парку; </w:t>
      </w:r>
    </w:p>
    <w:p w:rsidR="003755F0" w:rsidRPr="003755F0" w:rsidP="003755F0" w14:paraId="6EED016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державне стимулювання від Мінекономіки за рахунок коштів, передбачених  за бюджетною програмою “Державне стимулювання створення індустріальних парків” (до 150 млн грн на один ІП)</w:t>
      </w:r>
      <w:r>
        <w:rPr>
          <w:rFonts w:ascii="Times New Roman" w:eastAsia="Calibri" w:hAnsi="Times New Roman" w:cs="Times New Roman"/>
          <w:kern w:val="2"/>
          <w:sz w:val="28"/>
          <w:szCs w:val="28"/>
          <w:vertAlign w:val="superscript"/>
          <w:lang w:eastAsia="en-US"/>
          <w14:ligatures w14:val="standardContextual"/>
        </w:rPr>
        <w:footnoteReference w:id="2"/>
      </w:r>
      <w:r w:rsidRPr="003755F0">
        <w:rPr>
          <w:rFonts w:ascii="Times New Roman" w:eastAsia="Calibri" w:hAnsi="Times New Roman" w:cs="Times New Roman"/>
          <w:kern w:val="2"/>
          <w:sz w:val="28"/>
          <w:szCs w:val="28"/>
          <w:lang w:eastAsia="en-US"/>
          <w14:ligatures w14:val="standardContextual"/>
        </w:rPr>
        <w:t xml:space="preserve">; </w:t>
      </w:r>
    </w:p>
    <w:p w:rsidR="003755F0" w:rsidRPr="003755F0" w:rsidP="003755F0" w14:paraId="155AD31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інвестиції учасників парку у будівництво власного виробництва.</w:t>
      </w:r>
    </w:p>
    <w:p w:rsidR="003755F0" w:rsidRPr="003755F0" w:rsidP="003755F0" w14:paraId="5861B02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Фінансування першого етапу — розроблення </w:t>
      </w:r>
      <w:r w:rsidRPr="003755F0">
        <w:rPr>
          <w:rFonts w:ascii="Times New Roman" w:eastAsia="Calibri" w:hAnsi="Times New Roman" w:cs="Times New Roman"/>
          <w:kern w:val="2"/>
          <w:sz w:val="28"/>
          <w:szCs w:val="28"/>
          <w:lang w:eastAsia="en-US"/>
          <w14:ligatures w14:val="standardContextual"/>
        </w:rPr>
        <w:t>проєктно</w:t>
      </w:r>
      <w:r w:rsidRPr="003755F0">
        <w:rPr>
          <w:rFonts w:ascii="Times New Roman" w:eastAsia="Calibri" w:hAnsi="Times New Roman" w:cs="Times New Roman"/>
          <w:kern w:val="2"/>
          <w:sz w:val="28"/>
          <w:szCs w:val="28"/>
          <w:lang w:eastAsia="en-US"/>
          <w14:ligatures w14:val="standardContextual"/>
        </w:rPr>
        <w:t>-кошторисної документації для інженерних мереж, доріг та вертикального планування території — здійснюватиметься за кошти ініціатора. Після цього документація стане основою для залучення державної підтримки в рамках програм Міністерства економіки, довкілля та сільського господарства.</w:t>
      </w:r>
    </w:p>
    <w:p w:rsidR="003755F0" w:rsidRPr="003755F0" w:rsidP="003755F0" w14:paraId="36B010A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 цьому етапі також планується укладення угод з першими учасниками парку. Наступні етапи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фінансуватимуться за рахунок:</w:t>
      </w:r>
    </w:p>
    <w:p w:rsidR="003755F0" w:rsidRPr="003755F0" w:rsidP="003755F0" w14:paraId="1B7C996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проєктного</w:t>
      </w:r>
      <w:r w:rsidRPr="003755F0">
        <w:rPr>
          <w:rFonts w:ascii="Times New Roman" w:eastAsia="Calibri" w:hAnsi="Times New Roman" w:cs="Times New Roman"/>
          <w:kern w:val="2"/>
          <w:sz w:val="28"/>
          <w:szCs w:val="28"/>
          <w:lang w:eastAsia="en-US"/>
          <w14:ligatures w14:val="standardContextual"/>
        </w:rPr>
        <w:t xml:space="preserve"> фінансування від учасників та інших суб’єктів парку,</w:t>
      </w:r>
    </w:p>
    <w:p w:rsidR="003755F0" w:rsidRPr="003755F0" w:rsidP="003755F0" w14:paraId="16152AF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кредитних ресурсів банків або інвестиційних фондів.</w:t>
      </w:r>
    </w:p>
    <w:p w:rsidR="003755F0" w:rsidRPr="003755F0" w:rsidP="003755F0" w14:paraId="451DB12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Така схема буде застосовуватися і для подальших черг будівництва.</w:t>
      </w:r>
    </w:p>
    <w:p w:rsidR="003755F0" w:rsidRPr="003755F0" w:rsidP="003755F0" w14:paraId="1F20F457"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Державне стимулювання</w:t>
      </w:r>
      <w:r w:rsidRPr="003755F0">
        <w:rPr>
          <w:rFonts w:ascii="Times New Roman" w:eastAsia="Calibri" w:hAnsi="Times New Roman" w:cs="Times New Roman"/>
          <w:kern w:val="2"/>
          <w:sz w:val="28"/>
          <w:szCs w:val="28"/>
          <w:lang w:eastAsia="en-US"/>
          <w14:ligatures w14:val="standardContextual"/>
        </w:rPr>
        <w:t xml:space="preserve">. Згідно з Постановою КМУ від 4 червня 2024 р. № 644 «Деякі питання державного стимулювання створення та функціонування індустріальних парків», державне стимулювання індустріальних парків може надаватися одному заявнику на загальну суму, що не перевищує 150 млн грн і 50% кошторисної вартості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облаштування та/або витрат на приєднання до інженерно-транспортних мереж, а у разі розташування індустріаль</w:t>
      </w:r>
      <w:r w:rsidRPr="003755F0">
        <w:rPr>
          <w:rFonts w:ascii="Times New Roman" w:eastAsia="Calibri" w:hAnsi="Times New Roman" w:cs="Times New Roman"/>
          <w:kern w:val="2"/>
          <w:sz w:val="28"/>
          <w:szCs w:val="28"/>
          <w:lang w:eastAsia="en-US"/>
          <w14:ligatures w14:val="standardContextual"/>
        </w:rPr>
        <w:softHyphen/>
        <w:t xml:space="preserve">ного парку на </w:t>
      </w:r>
      <w:r w:rsidRPr="003755F0">
        <w:rPr>
          <w:rFonts w:ascii="Times New Roman" w:eastAsia="Calibri" w:hAnsi="Times New Roman" w:cs="Times New Roman"/>
          <w:kern w:val="2"/>
          <w:sz w:val="28"/>
          <w:szCs w:val="28"/>
          <w:lang w:eastAsia="en-US"/>
          <w14:ligatures w14:val="standardContextual"/>
        </w:rPr>
        <w:t>деокупованій</w:t>
      </w:r>
      <w:r w:rsidRPr="003755F0">
        <w:rPr>
          <w:rFonts w:ascii="Times New Roman" w:eastAsia="Calibri" w:hAnsi="Times New Roman" w:cs="Times New Roman"/>
          <w:kern w:val="2"/>
          <w:sz w:val="28"/>
          <w:szCs w:val="28"/>
          <w:lang w:eastAsia="en-US"/>
          <w14:ligatures w14:val="standardContextual"/>
        </w:rPr>
        <w:t xml:space="preserve"> території – у розмірі 80%.</w:t>
      </w:r>
    </w:p>
    <w:p w:rsidR="003755F0" w:rsidRPr="003755F0" w:rsidP="003755F0" w14:paraId="4E4A6DA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Оскільки оціночна вартість облаштування інженерно-транспортної інфраструктури парку становить 300 млн гривень, ініціатор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планує залучити 50% коштів (150 млн гривень) через механізми державного стимулювання. Ці кошти будуть спрямовані на будівництво інженерних комунікацій та дорожньої інфраструктури. Залучення фінансування здійснювати</w:t>
      </w:r>
      <w:r w:rsidRPr="003755F0">
        <w:rPr>
          <w:rFonts w:ascii="Times New Roman" w:eastAsia="Calibri" w:hAnsi="Times New Roman" w:cs="Times New Roman"/>
          <w:kern w:val="2"/>
          <w:sz w:val="28"/>
          <w:szCs w:val="28"/>
          <w:lang w:eastAsia="en-US"/>
          <w14:ligatures w14:val="standardContextual"/>
        </w:rPr>
        <w:softHyphen/>
        <w:t>меться самостійно або за участі керуючої компанії.</w:t>
      </w:r>
    </w:p>
    <w:p w:rsidR="003755F0" w:rsidRPr="003755F0" w:rsidP="003755F0" w14:paraId="185E1E94"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За рахунок учасників індустріального парку планується залучити інвестиції в будівництво своїх промислових об’єктів на суму </w:t>
      </w:r>
      <w:r w:rsidRPr="003755F0">
        <w:rPr>
          <w:rFonts w:ascii="Times New Roman" w:eastAsia="Calibri" w:hAnsi="Times New Roman" w:cs="Times New Roman"/>
          <w:b/>
          <w:bCs/>
          <w:kern w:val="2"/>
          <w:sz w:val="28"/>
          <w:szCs w:val="28"/>
          <w:lang w:eastAsia="en-US"/>
          <w14:ligatures w14:val="standardContextual"/>
        </w:rPr>
        <w:t>960 млн грн</w:t>
      </w:r>
      <w:r w:rsidRPr="003755F0">
        <w:rPr>
          <w:rFonts w:ascii="Times New Roman" w:eastAsia="Calibri" w:hAnsi="Times New Roman" w:cs="Times New Roman"/>
          <w:kern w:val="2"/>
          <w:sz w:val="28"/>
          <w:szCs w:val="28"/>
          <w:lang w:eastAsia="en-US"/>
          <w14:ligatures w14:val="standardContextual"/>
        </w:rPr>
        <w:t xml:space="preserve">. </w:t>
      </w:r>
    </w:p>
    <w:p w:rsidR="003755F0" w:rsidRPr="003755F0" w:rsidP="003755F0" w14:paraId="6DC7C4F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Представлені обсяги та розподіл фінансування з різних джерел є попередніми і будуть корегуватись у процесі розбудови індустріального парку (табл. 10).</w:t>
      </w:r>
    </w:p>
    <w:p w:rsidR="003755F0" w:rsidRPr="003755F0" w:rsidP="003755F0" w14:paraId="23DD2B14"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10.</w:t>
      </w:r>
      <w:r w:rsidRPr="003755F0">
        <w:rPr>
          <w:rFonts w:ascii="Times New Roman" w:eastAsia="Calibri" w:hAnsi="Times New Roman" w:cs="Times New Roman"/>
          <w:kern w:val="2"/>
          <w:sz w:val="28"/>
          <w:szCs w:val="28"/>
          <w:lang w:eastAsia="en-US"/>
          <w14:ligatures w14:val="standardContextual"/>
        </w:rPr>
        <w:t xml:space="preserve"> План розподілу джерел фінансування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ІП «БУДШЛЯХМАШ»</w:t>
      </w:r>
    </w:p>
    <w:p w:rsidR="003755F0" w:rsidRPr="003755F0" w:rsidP="003755F0" w14:paraId="76CA59D5"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p>
    <w:tbl>
      <w:tblPr>
        <w:tblStyle w:val="100"/>
        <w:tblW w:w="0" w:type="auto"/>
        <w:jc w:val="center"/>
        <w:tblLook w:val="04A0"/>
      </w:tblPr>
      <w:tblGrid>
        <w:gridCol w:w="5665"/>
        <w:gridCol w:w="1560"/>
      </w:tblGrid>
      <w:tr w14:paraId="118C2C73" w14:textId="77777777" w:rsidTr="003755F0">
        <w:tblPrEx>
          <w:tblW w:w="0" w:type="auto"/>
          <w:tblLook w:val="04A0"/>
        </w:tblPrEx>
        <w:trPr>
          <w:trHeight w:val="675"/>
        </w:trPr>
        <w:tc>
          <w:tcPr>
            <w:tcW w:w="5665"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BE529BA" w14:textId="77777777">
            <w:pPr>
              <w:tabs>
                <w:tab w:val="left" w:pos="851"/>
              </w:tabs>
              <w:jc w:val="center"/>
              <w:rPr>
                <w:rFonts w:ascii="Times New Roman" w:hAnsi="Times New Roman"/>
                <w:b/>
                <w:bCs/>
                <w:sz w:val="24"/>
                <w:szCs w:val="28"/>
              </w:rPr>
            </w:pPr>
            <w:r w:rsidRPr="003755F0">
              <w:rPr>
                <w:rFonts w:ascii="Times New Roman" w:eastAsia="Times New Roman" w:hAnsi="Times New Roman"/>
                <w:b/>
                <w:bCs/>
                <w:sz w:val="24"/>
                <w:szCs w:val="28"/>
              </w:rPr>
              <w:t>Джерела фінансування</w:t>
            </w:r>
          </w:p>
        </w:tc>
        <w:tc>
          <w:tcPr>
            <w:tcW w:w="156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317EAD65"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Всього,</w:t>
            </w:r>
          </w:p>
          <w:p w:rsidR="003755F0" w:rsidRPr="003755F0" w:rsidP="003755F0" w14:paraId="63CED9F3"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млн грн</w:t>
            </w:r>
          </w:p>
        </w:tc>
      </w:tr>
      <w:tr w14:paraId="102BFD81" w14:textId="77777777" w:rsidTr="003755F0">
        <w:tblPrEx>
          <w:tblW w:w="0" w:type="auto"/>
          <w:tblLook w:val="04A0"/>
        </w:tblPrEx>
        <w:tc>
          <w:tcPr>
            <w:tcW w:w="566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920434" w14:textId="77777777">
            <w:pPr>
              <w:tabs>
                <w:tab w:val="left" w:pos="851"/>
              </w:tabs>
              <w:jc w:val="center"/>
              <w:rPr>
                <w:rFonts w:ascii="Times New Roman" w:eastAsia="Times New Roman" w:hAnsi="Times New Roman"/>
                <w:sz w:val="24"/>
                <w:szCs w:val="28"/>
              </w:rPr>
            </w:pPr>
            <w:r w:rsidRPr="003755F0">
              <w:rPr>
                <w:rFonts w:ascii="Times New Roman" w:eastAsia="Times New Roman" w:hAnsi="Times New Roman"/>
                <w:sz w:val="24"/>
                <w:szCs w:val="28"/>
              </w:rPr>
              <w:t>Ініціатор</w:t>
            </w:r>
          </w:p>
        </w:tc>
        <w:tc>
          <w:tcPr>
            <w:tcW w:w="156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B82339" w14:textId="77777777">
            <w:pPr>
              <w:tabs>
                <w:tab w:val="left" w:pos="851"/>
              </w:tabs>
              <w:jc w:val="center"/>
              <w:rPr>
                <w:rFonts w:ascii="Times New Roman" w:eastAsia="Times New Roman" w:hAnsi="Times New Roman"/>
                <w:sz w:val="24"/>
                <w:szCs w:val="28"/>
              </w:rPr>
            </w:pPr>
            <w:r w:rsidRPr="003755F0">
              <w:rPr>
                <w:rFonts w:ascii="Times New Roman" w:eastAsia="Times New Roman" w:hAnsi="Times New Roman"/>
                <w:sz w:val="24"/>
                <w:szCs w:val="28"/>
              </w:rPr>
              <w:t>150,0</w:t>
            </w:r>
          </w:p>
        </w:tc>
      </w:tr>
      <w:tr w14:paraId="39DBFC53" w14:textId="77777777" w:rsidTr="003755F0">
        <w:tblPrEx>
          <w:tblW w:w="0" w:type="auto"/>
          <w:tblLook w:val="04A0"/>
        </w:tblPrEx>
        <w:tc>
          <w:tcPr>
            <w:tcW w:w="566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2A8EF66" w14:textId="77777777">
            <w:pPr>
              <w:tabs>
                <w:tab w:val="left" w:pos="851"/>
              </w:tabs>
              <w:jc w:val="center"/>
              <w:rPr>
                <w:rFonts w:ascii="Times New Roman" w:eastAsia="Times New Roman" w:hAnsi="Times New Roman"/>
                <w:sz w:val="24"/>
                <w:szCs w:val="28"/>
              </w:rPr>
            </w:pPr>
            <w:r w:rsidRPr="003755F0">
              <w:rPr>
                <w:rFonts w:ascii="Times New Roman" w:eastAsia="Times New Roman" w:hAnsi="Times New Roman"/>
                <w:sz w:val="24"/>
                <w:szCs w:val="28"/>
              </w:rPr>
              <w:t>Державне стимулювання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F4C2A5" w14:textId="77777777">
            <w:pPr>
              <w:tabs>
                <w:tab w:val="left" w:pos="851"/>
              </w:tabs>
              <w:jc w:val="center"/>
              <w:rPr>
                <w:rFonts w:ascii="Times New Roman" w:eastAsia="Times New Roman" w:hAnsi="Times New Roman"/>
                <w:sz w:val="24"/>
                <w:szCs w:val="28"/>
              </w:rPr>
            </w:pPr>
            <w:r w:rsidRPr="003755F0">
              <w:rPr>
                <w:rFonts w:ascii="Times New Roman" w:eastAsia="Times New Roman" w:hAnsi="Times New Roman"/>
                <w:sz w:val="24"/>
                <w:szCs w:val="28"/>
              </w:rPr>
              <w:t>150,0</w:t>
            </w:r>
          </w:p>
        </w:tc>
      </w:tr>
      <w:tr w14:paraId="5C11BDB2" w14:textId="77777777" w:rsidTr="003755F0">
        <w:tblPrEx>
          <w:tblW w:w="0" w:type="auto"/>
          <w:tblLook w:val="04A0"/>
        </w:tblPrEx>
        <w:tc>
          <w:tcPr>
            <w:tcW w:w="566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6BD877" w14:textId="77777777">
            <w:pPr>
              <w:tabs>
                <w:tab w:val="left" w:pos="851"/>
              </w:tabs>
              <w:jc w:val="center"/>
              <w:rPr>
                <w:rFonts w:ascii="Times New Roman" w:eastAsia="Times New Roman" w:hAnsi="Times New Roman"/>
                <w:sz w:val="24"/>
                <w:szCs w:val="28"/>
              </w:rPr>
            </w:pPr>
            <w:r w:rsidRPr="003755F0">
              <w:rPr>
                <w:rFonts w:ascii="Times New Roman" w:eastAsia="Times New Roman" w:hAnsi="Times New Roman"/>
                <w:sz w:val="24"/>
                <w:szCs w:val="28"/>
              </w:rPr>
              <w:t>Учасники та інші суб’єкти індустріального парку (будівництво промислових й інших господарських об’єктів)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5C1EAE" w14:textId="77777777">
            <w:pPr>
              <w:jc w:val="center"/>
              <w:rPr>
                <w:rFonts w:ascii="Times New Roman" w:eastAsia="Times New Roman" w:hAnsi="Times New Roman"/>
                <w:sz w:val="24"/>
                <w:szCs w:val="28"/>
              </w:rPr>
            </w:pPr>
            <w:r w:rsidRPr="003755F0">
              <w:rPr>
                <w:rFonts w:ascii="Times New Roman" w:eastAsia="Times New Roman" w:hAnsi="Times New Roman"/>
                <w:sz w:val="24"/>
                <w:szCs w:val="28"/>
              </w:rPr>
              <w:t>960,0</w:t>
            </w:r>
          </w:p>
        </w:tc>
      </w:tr>
      <w:tr w14:paraId="732A3910" w14:textId="77777777" w:rsidTr="003755F0">
        <w:tblPrEx>
          <w:tblW w:w="0" w:type="auto"/>
          <w:tblLook w:val="04A0"/>
        </w:tblPrEx>
        <w:tc>
          <w:tcPr>
            <w:tcW w:w="566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FA73041"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Разом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F2F83E"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1260,0</w:t>
            </w:r>
          </w:p>
        </w:tc>
      </w:tr>
    </w:tbl>
    <w:p w:rsidR="003755F0" w:rsidRPr="003755F0" w:rsidP="003755F0" w14:paraId="35DC132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6D767DA"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Трудові ресурси</w:t>
      </w:r>
    </w:p>
    <w:p w:rsidR="003755F0" w:rsidRPr="003755F0" w:rsidP="003755F0" w14:paraId="20B8083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Очікувана потреба індустріального парку в трудових ресурсах складає 500 працівників.</w:t>
      </w:r>
    </w:p>
    <w:p w:rsidR="003755F0" w:rsidRPr="003755F0" w:rsidP="003755F0" w14:paraId="4F20D12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Чисельність населення Київської області, за наявними статистичними даними, становить 1 млн 789 тис. осіб, у тому числі в Броварському районі – 242 тис. осіб. З них зайняте населення у віці 15–70 років становить 771,4 тис. осіб. Безробітне населення області, за методологією МОП, складає 48,4 тис. осіб. осіб. Середньомісячна заробітна плата штатних працівників, зайнятих в економіці області, за наявними оцінками, складала близько 26,5 тис. грн на липень 2025 р. </w:t>
      </w:r>
    </w:p>
    <w:p w:rsidR="003755F0" w:rsidRPr="003755F0" w:rsidP="003755F0" w14:paraId="390543A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Київська обласна служба зайнятості активно співпрацює з роботодавцями, надаючи фінансову підтримку для розвитку бізнесу та створення нових робочих місць. Станом на серпень 2025 року, партнерські відносини встановлено з 4333 роботодавцями регіону, з яких 4175 подавали вакансії, 797 скористалися активними програмами сприяння зайнятості.</w:t>
      </w:r>
    </w:p>
    <w:p w:rsidR="003755F0" w:rsidRPr="003755F0" w:rsidP="003755F0" w14:paraId="1A00254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 перші сім місяців 2025 року на реалізацію програм підтримки бізнесу в регіоні через державну службу зайнятості спрямовано понад 200 млн гривень державного фінансування.</w:t>
      </w:r>
    </w:p>
    <w:p w:rsidR="003755F0" w:rsidRPr="003755F0" w:rsidP="003755F0" w14:paraId="12A2A13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Серед ключових програм компенсацій для роботодавців Київщини:</w:t>
      </w:r>
    </w:p>
    <w:p w:rsidR="003755F0" w:rsidRPr="003755F0" w:rsidP="003755F0" w14:paraId="0410341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компенсація єдиного соціального внеску (ЄСВ) за працевлаштування безробітних;</w:t>
      </w:r>
    </w:p>
    <w:p w:rsidR="003755F0" w:rsidRPr="003755F0" w:rsidP="003755F0" w14:paraId="7CAC3B0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відшкодування мінімальної заробітної плати за працевлаштування внутрішньо переміщених осіб (ВПО);</w:t>
      </w:r>
    </w:p>
    <w:p w:rsidR="003755F0" w:rsidRPr="003755F0" w:rsidP="003755F0" w14:paraId="7660D34E"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компенсація витрат на облаштування робочих місць для людей з інвалідністю;</w:t>
      </w:r>
    </w:p>
    <w:p w:rsidR="003755F0" w:rsidRPr="003755F0" w:rsidP="003755F0" w14:paraId="7B9742DB"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фінансова підтримка за працевлаштування зареєстрованих безробітних із соціально вразливих категорій.</w:t>
      </w:r>
    </w:p>
    <w:p w:rsidR="003755F0" w:rsidRPr="003755F0" w:rsidP="003755F0" w14:paraId="74ECBE92"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Наведені дані свідчать про значний потенціал ринку праці Київської області, що створює сприятливі умови для найму кваліфікованих фахівців промисловими підприємствами. Це є важливою передумовою успішної реалізації інвестиційних </w:t>
      </w:r>
      <w:r w:rsidRPr="003755F0">
        <w:rPr>
          <w:rFonts w:ascii="Times New Roman" w:eastAsia="Calibri" w:hAnsi="Times New Roman" w:cs="Times New Roman"/>
          <w:kern w:val="2"/>
          <w:sz w:val="28"/>
          <w:szCs w:val="28"/>
          <w:lang w:eastAsia="en-US"/>
          <w14:ligatures w14:val="standardContextual"/>
        </w:rPr>
        <w:t>проєктів</w:t>
      </w:r>
      <w:r w:rsidRPr="003755F0">
        <w:rPr>
          <w:rFonts w:ascii="Times New Roman" w:eastAsia="Calibri" w:hAnsi="Times New Roman" w:cs="Times New Roman"/>
          <w:kern w:val="2"/>
          <w:sz w:val="28"/>
          <w:szCs w:val="28"/>
          <w:lang w:eastAsia="en-US"/>
          <w14:ligatures w14:val="standardContextual"/>
        </w:rPr>
        <w:t>, зокрема в індустріальних парках.</w:t>
      </w:r>
    </w:p>
    <w:p w:rsidR="003755F0" w:rsidRPr="003755F0" w:rsidP="003755F0" w14:paraId="3957E059" w14:textId="77777777">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bookmarkStart w:id="15" w:name="_Toc194054633"/>
      <w:r w:rsidRPr="003755F0">
        <w:rPr>
          <w:rFonts w:ascii="Times New Roman" w:eastAsia="Times New Roman" w:hAnsi="Times New Roman" w:cs="Times New Roman"/>
          <w:b/>
          <w:kern w:val="2"/>
          <w:sz w:val="28"/>
          <w:szCs w:val="28"/>
          <w:lang w:eastAsia="en-US"/>
          <w14:ligatures w14:val="standardContextual"/>
        </w:rPr>
        <w:t xml:space="preserve"> Організаційна модель функціонування індустріального парку</w:t>
      </w:r>
      <w:bookmarkEnd w:id="15"/>
    </w:p>
    <w:p w:rsidR="003755F0" w:rsidRPr="003755F0" w:rsidP="003755F0" w14:paraId="7B46932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Індустріальний парк «БУДШЛЯХМАШ» створюється відповідно до вимог чинного законодавства, зокрема Закону України «Про індустріальні парки» та інших нормативно-правових актів, що регулюють порядок його заснування та діяльності.</w:t>
      </w:r>
    </w:p>
    <w:p w:rsidR="003755F0" w:rsidRPr="003755F0" w:rsidP="003755F0" w14:paraId="5D88B47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Організаційна структура парку базуватиметься на </w:t>
      </w:r>
      <w:r w:rsidRPr="003755F0">
        <w:rPr>
          <w:rFonts w:ascii="Times New Roman" w:eastAsia="Calibri" w:hAnsi="Times New Roman" w:cs="Times New Roman"/>
          <w:kern w:val="2"/>
          <w:sz w:val="28"/>
          <w:szCs w:val="28"/>
          <w:lang w:eastAsia="en-US"/>
          <w14:ligatures w14:val="standardContextual"/>
        </w:rPr>
        <w:t>трирівневій</w:t>
      </w:r>
      <w:r w:rsidRPr="003755F0">
        <w:rPr>
          <w:rFonts w:ascii="Times New Roman" w:eastAsia="Calibri" w:hAnsi="Times New Roman" w:cs="Times New Roman"/>
          <w:kern w:val="2"/>
          <w:sz w:val="28"/>
          <w:szCs w:val="28"/>
          <w:lang w:eastAsia="en-US"/>
          <w14:ligatures w14:val="standardContextual"/>
        </w:rPr>
        <w:t xml:space="preserve"> моделі управління, яка включає:</w:t>
      </w:r>
    </w:p>
    <w:p w:rsidR="003755F0" w:rsidRPr="003755F0" w:rsidP="003755F0" w14:paraId="6080C732"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ініціатора — засновника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відповідального за стратегічне планування та залучення інвестицій;</w:t>
      </w:r>
    </w:p>
    <w:p w:rsidR="003755F0" w:rsidRPr="003755F0" w:rsidP="003755F0" w14:paraId="4766B45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керуючу компанію — оператора, що забезпечує адміністрування, розвиток інфраструктури та координацію діяльності;</w:t>
      </w:r>
    </w:p>
    <w:p w:rsidR="003755F0" w:rsidRPr="003755F0" w:rsidP="003755F0" w14:paraId="4A20312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учасників та інших суб’єктів — підприємств, які здійснюватимуть господарську діяльність на території парку.</w:t>
      </w:r>
    </w:p>
    <w:p w:rsidR="003755F0" w:rsidRPr="003755F0" w:rsidP="003755F0" w14:paraId="500AD26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Права та обов’язки кожного елемента цієї структури чітко визначені, що гарантує прозорість, ефективність управління та дотримання законодавчих норм. Схема організаційної моделі індустріального парку «БУДШЛЯХМАШ» має наступний вигляд:</w:t>
      </w:r>
    </w:p>
    <w:p w:rsidR="003755F0" w:rsidRPr="003755F0" w:rsidP="003755F0" w14:paraId="4A369175"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noProof/>
          <w:kern w:val="2"/>
          <w:sz w:val="28"/>
          <w:szCs w:val="28"/>
          <w:lang w:eastAsia="en-US"/>
        </w:rPr>
        <w:drawing>
          <wp:inline distT="0" distB="0" distL="0" distR="0">
            <wp:extent cx="5238750" cy="43910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8750" cy="4391025"/>
                    </a:xfrm>
                    <a:prstGeom prst="rect">
                      <a:avLst/>
                    </a:prstGeom>
                    <a:noFill/>
                    <a:ln>
                      <a:noFill/>
                    </a:ln>
                  </pic:spPr>
                </pic:pic>
              </a:graphicData>
            </a:graphic>
          </wp:inline>
        </w:drawing>
      </w:r>
    </w:p>
    <w:p w:rsidR="003755F0" w:rsidRPr="003755F0" w:rsidP="003755F0" w14:paraId="2A771FC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3709F852"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Діяльність ініціатора, керуючої компанії, учасників та інших суб’єктів індустріального парку «БУДШЛЯХМАШ» відповідатиме вимогам чинного законодавства України, включаючи Цивільний і Податковий кодекси, Земельний кодекс, Закон «Про індустріальні парки» та інші нормативно-правові акти. Крім того, їхня робота регулюватиметься концепцією парку, договором про його створення та функціонування (укладеним між ініціатором і керуючою компанією), а також окремими угодами про господарську діяльність, що укладати</w:t>
      </w:r>
      <w:r w:rsidRPr="003755F0">
        <w:rPr>
          <w:rFonts w:ascii="Times New Roman" w:eastAsia="Calibri" w:hAnsi="Times New Roman" w:cs="Times New Roman"/>
          <w:kern w:val="2"/>
          <w:sz w:val="28"/>
          <w:szCs w:val="24"/>
          <w:lang w:eastAsia="en-US"/>
          <w14:ligatures w14:val="standardContextual"/>
        </w:rPr>
        <w:softHyphen/>
        <w:t>муться між керуючою компанією та учасниками.</w:t>
      </w:r>
    </w:p>
    <w:p w:rsidR="003755F0" w:rsidRPr="003755F0" w:rsidP="003755F0" w14:paraId="14882707" w14:textId="77777777">
      <w:pPr>
        <w:spacing w:after="0" w:line="240" w:lineRule="auto"/>
        <w:ind w:firstLine="426"/>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Ініціатором</w:t>
      </w:r>
      <w:r w:rsidRPr="003755F0">
        <w:rPr>
          <w:rFonts w:ascii="Times New Roman" w:eastAsia="Calibri" w:hAnsi="Times New Roman" w:cs="Times New Roman"/>
          <w:kern w:val="2"/>
          <w:sz w:val="28"/>
          <w:szCs w:val="24"/>
          <w:lang w:eastAsia="en-US"/>
          <w14:ligatures w14:val="standardContextual"/>
        </w:rPr>
        <w:t xml:space="preserve"> створення індустріального парку є Товариство з обмеженою відповідальністю «АТОМІС».</w:t>
      </w:r>
    </w:p>
    <w:p w:rsidR="003755F0" w:rsidRPr="003755F0" w:rsidP="003755F0" w14:paraId="464DE4BA" w14:textId="77777777">
      <w:pPr>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Ініціатор індустріального парку має такі права та обов’язки:</w:t>
      </w:r>
    </w:p>
    <w:p w:rsidR="003755F0" w:rsidRPr="003755F0" w:rsidP="003755F0" w14:paraId="354C7B5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розробляти та затверджувати концепцію парку, контролюючи її дотримання на всіх етапах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w:t>
      </w:r>
    </w:p>
    <w:p w:rsidR="003755F0" w:rsidRPr="003755F0" w:rsidP="003755F0" w14:paraId="522505F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забезпечувати облаштування інфраструктури парку як за рахунок власних коштів, так і залучених інвестицій; </w:t>
      </w:r>
    </w:p>
    <w:p w:rsidR="003755F0" w:rsidRPr="003755F0" w:rsidP="003755F0" w14:paraId="716369A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самостійно призначати керуючу компанію та встановлювати порядок взаємодії з нею;</w:t>
      </w:r>
    </w:p>
    <w:p w:rsidR="003755F0" w:rsidRPr="003755F0" w:rsidP="003755F0" w14:paraId="0DD985CA"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передати в оренду керуючій компанії земельну ділянку, виділену для створення парку, та контролювати стан переданого майна, запобігаючи його пошкодженню або вимагаючи відшкодування збитків у разі їх виникнення;</w:t>
      </w:r>
    </w:p>
    <w:p w:rsidR="003755F0" w:rsidRPr="003755F0" w:rsidP="003755F0" w14:paraId="6CEE4091"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надавати організаційну та консалтингову підтримку керуючій компанії та учасникам парку, а також раз на півроку отримувати звіти від керуючої компанії щодо ходу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w:t>
      </w:r>
    </w:p>
    <w:p w:rsidR="003755F0" w:rsidRPr="003755F0" w:rsidP="003755F0" w14:paraId="0B2FDEA2"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Ініціатор створення індустріального парку є орендарем земельної ділянки, тому керуюча компанія такого парку визначається ініціатором самостійно з письмовим повідомленням про це відповідного органу державної влади, органу місцевого самоврядування та орендодавця не пізніше трьох робочих днів. Земельна ділянка або її частини передаються ініціатором у суборенду безпосередньо учасникам відповідно умов договору оренди земельної ділянки.</w:t>
      </w:r>
    </w:p>
    <w:p w:rsidR="003755F0" w:rsidRPr="003755F0" w:rsidP="003755F0" w14:paraId="467CAC51"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Керуюча компанія</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 це створена згідно із законодавством України юридична особа незалежно від організаційно-правової форми і вибрана відповідно до Закону України «Про індустріальні парки», з якою ініціатором створення парку укладений договір про створення та функціонування індустріального парку.</w:t>
      </w:r>
    </w:p>
    <w:p w:rsidR="003755F0" w:rsidRPr="003755F0" w:rsidP="003755F0" w14:paraId="37EB737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До прав та обов’язків керуючої компанії належать:</w:t>
      </w:r>
    </w:p>
    <w:p w:rsidR="003755F0" w:rsidRPr="003755F0" w:rsidP="003755F0" w14:paraId="5EBAA155"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Управління активами — адміністрування земельних ділянок, будівель та інфраструктури парку.</w:t>
      </w:r>
    </w:p>
    <w:p w:rsidR="003755F0" w:rsidRPr="003755F0" w:rsidP="003755F0" w14:paraId="38CC1DA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Залучення учасників та інших суб’єктів індустріального парку — відбір, переговори та укладення угод з потенційними учасниками парку.</w:t>
      </w:r>
    </w:p>
    <w:p w:rsidR="003755F0" w:rsidRPr="003755F0" w:rsidP="003755F0" w14:paraId="099B9A52"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Будівництво та розвиток інфраструктури — залучення підрядників для </w:t>
      </w:r>
      <w:r w:rsidRPr="003755F0">
        <w:rPr>
          <w:rFonts w:ascii="Times New Roman" w:eastAsia="Calibri" w:hAnsi="Times New Roman" w:cs="Times New Roman"/>
          <w:kern w:val="2"/>
          <w:sz w:val="28"/>
          <w:szCs w:val="28"/>
          <w:lang w:eastAsia="en-US"/>
          <w14:ligatures w14:val="standardContextual"/>
        </w:rPr>
        <w:t>проєктування</w:t>
      </w:r>
      <w:r w:rsidRPr="003755F0">
        <w:rPr>
          <w:rFonts w:ascii="Times New Roman" w:eastAsia="Calibri" w:hAnsi="Times New Roman" w:cs="Times New Roman"/>
          <w:kern w:val="2"/>
          <w:sz w:val="28"/>
          <w:szCs w:val="28"/>
          <w:lang w:eastAsia="en-US"/>
          <w14:ligatures w14:val="standardContextual"/>
        </w:rPr>
        <w:t>, будівництва та модернізації промислових об’єктів, інженерних мереж та комунікацій.</w:t>
      </w:r>
    </w:p>
    <w:p w:rsidR="003755F0" w:rsidRPr="003755F0" w:rsidP="003755F0" w14:paraId="317BE3CD"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Експлуатація та технічне обслуговування — підтримка в робочому стані інженерних мереж, адміністративних і офісних приміщень.</w:t>
      </w:r>
    </w:p>
    <w:p w:rsidR="003755F0" w:rsidRPr="003755F0" w:rsidP="003755F0" w14:paraId="78DF092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Благоустрій та озеленення — обслуговування території, забезпечення чистоти, ландшафтного дизайну та екологічної збалансованості.</w:t>
      </w:r>
    </w:p>
    <w:p w:rsidR="003755F0" w:rsidRPr="003755F0" w:rsidP="003755F0" w14:paraId="1F6F53FF"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Адміністративна та консалтингова підтримка — надання учасникам парку юридичного супроводу, інформаційних, PR- та консалтингових послуг.</w:t>
      </w:r>
    </w:p>
    <w:p w:rsidR="003755F0" w:rsidRPr="003755F0" w:rsidP="003755F0" w14:paraId="0CF618E9"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Звітність та дотримання вимог — подання звітів уповноваженим державним органам, моніторинг змін у законодавстві для забезпечення відповідності діяльності парку чинним нормам.</w:t>
      </w:r>
    </w:p>
    <w:p w:rsidR="003755F0" w:rsidRPr="003755F0" w:rsidP="003755F0" w14:paraId="582649C2"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Координація та співпраця — налагодження взаємодії між учасниками парку для досягнення синергії та спільного розвитку.</w:t>
      </w:r>
    </w:p>
    <w:p w:rsidR="003755F0" w:rsidRPr="003755F0" w:rsidP="003755F0" w14:paraId="4FE86A46"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Інноваційний розвиток — розробка та впровадження </w:t>
      </w:r>
      <w:r w:rsidRPr="003755F0">
        <w:rPr>
          <w:rFonts w:ascii="Times New Roman" w:eastAsia="Calibri" w:hAnsi="Times New Roman" w:cs="Times New Roman"/>
          <w:kern w:val="2"/>
          <w:sz w:val="28"/>
          <w:szCs w:val="28"/>
          <w:lang w:eastAsia="en-US"/>
          <w14:ligatures w14:val="standardContextual"/>
        </w:rPr>
        <w:t>проєктів</w:t>
      </w:r>
      <w:r w:rsidRPr="003755F0">
        <w:rPr>
          <w:rFonts w:ascii="Times New Roman" w:eastAsia="Calibri" w:hAnsi="Times New Roman" w:cs="Times New Roman"/>
          <w:kern w:val="2"/>
          <w:sz w:val="28"/>
          <w:szCs w:val="28"/>
          <w:lang w:eastAsia="en-US"/>
          <w14:ligatures w14:val="standardContextual"/>
        </w:rPr>
        <w:t>, спрямованих на підвищення конкурентоспроможності парку та його резидентів.</w:t>
      </w:r>
    </w:p>
    <w:p w:rsidR="003755F0" w:rsidRPr="003755F0" w:rsidP="003755F0" w14:paraId="2241CE42"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Енергоефективність та екологічність — реалізація програм зменшення негативного впливу на довкілля та оптимізації ресурсів.</w:t>
      </w:r>
    </w:p>
    <w:p w:rsidR="003755F0" w:rsidRPr="003755F0" w:rsidP="003755F0" w14:paraId="519270C0"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Інформаційна політика — медійне висвітлення діяльності парку, просування його іміджу та досягнень учасників.</w:t>
      </w:r>
    </w:p>
    <w:p w:rsidR="003755F0" w:rsidRPr="003755F0" w:rsidP="003755F0" w14:paraId="79FC471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 xml:space="preserve">Учасник </w:t>
      </w:r>
      <w:r w:rsidRPr="003755F0">
        <w:rPr>
          <w:rFonts w:ascii="Times New Roman" w:eastAsia="Calibri" w:hAnsi="Times New Roman" w:cs="Times New Roman"/>
          <w:kern w:val="2"/>
          <w:sz w:val="28"/>
          <w:szCs w:val="28"/>
          <w:lang w:eastAsia="en-US"/>
          <w14:ligatures w14:val="standardContextual"/>
        </w:rPr>
        <w:t xml:space="preserve">індустріального парку – це 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парку, уклав з керуючою </w:t>
      </w:r>
      <w:r w:rsidRPr="003755F0">
        <w:rPr>
          <w:rFonts w:ascii="Times New Roman" w:eastAsia="Calibri" w:hAnsi="Times New Roman" w:cs="Times New Roman"/>
          <w:kern w:val="2"/>
          <w:sz w:val="28"/>
          <w:szCs w:val="28"/>
          <w:lang w:eastAsia="en-US"/>
          <w14:ligatures w14:val="standardContextual"/>
        </w:rPr>
        <w:t xml:space="preserve">компанією договір про здійснення господарської діяльності у межах парку відповідно до концепції індустріального парку та повинен здійснювати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 в межах індустріального парку. </w:t>
      </w:r>
    </w:p>
    <w:p w:rsidR="003755F0" w:rsidRPr="003755F0" w:rsidP="003755F0" w14:paraId="5E415424"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Юридичні особи, які зареєстровані в межах індустріального парку, але здійснюють господарську діяльність поза сферою промислового виробництва, отримують статус «</w:t>
      </w:r>
      <w:r w:rsidRPr="003755F0">
        <w:rPr>
          <w:rFonts w:ascii="Times New Roman" w:eastAsia="Calibri" w:hAnsi="Times New Roman" w:cs="Times New Roman"/>
          <w:b/>
          <w:bCs/>
          <w:kern w:val="2"/>
          <w:sz w:val="28"/>
          <w:szCs w:val="28"/>
          <w:lang w:eastAsia="en-US"/>
          <w14:ligatures w14:val="standardContextual"/>
        </w:rPr>
        <w:t>інші суб’єкти</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На відміну від учасників парку, вони не мають права на державну підтримку та пільги, передбачені законодавством для індустріальних парків.</w:t>
      </w:r>
    </w:p>
    <w:p w:rsidR="003755F0" w:rsidRPr="003755F0" w:rsidP="003755F0" w14:paraId="0B45C7D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Учасники та інші суб’єкти зобов’язані:</w:t>
      </w:r>
    </w:p>
    <w:p w:rsidR="003755F0" w:rsidRPr="003755F0" w:rsidP="003755F0" w14:paraId="0F113A8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вести господарську діяльність відповідно до профілю парку та чинного законодавства.</w:t>
      </w:r>
    </w:p>
    <w:p w:rsidR="003755F0" w:rsidRPr="003755F0" w:rsidP="003755F0" w14:paraId="22FE632C"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будувати та експлуатувати об’єкти основного призначення на переданих у (</w:t>
      </w:r>
      <w:r w:rsidRPr="003755F0">
        <w:rPr>
          <w:rFonts w:ascii="Times New Roman" w:eastAsia="Calibri" w:hAnsi="Times New Roman" w:cs="Times New Roman"/>
          <w:kern w:val="2"/>
          <w:sz w:val="28"/>
          <w:szCs w:val="28"/>
          <w:lang w:eastAsia="en-US"/>
          <w14:ligatures w14:val="standardContextual"/>
        </w:rPr>
        <w:t>суб</w:t>
      </w:r>
      <w:r w:rsidRPr="003755F0">
        <w:rPr>
          <w:rFonts w:ascii="Times New Roman" w:eastAsia="Calibri" w:hAnsi="Times New Roman" w:cs="Times New Roman"/>
          <w:kern w:val="2"/>
          <w:sz w:val="28"/>
          <w:szCs w:val="28"/>
          <w:lang w:eastAsia="en-US"/>
          <w14:ligatures w14:val="standardContextual"/>
        </w:rPr>
        <w:t>)оренду земельних ділянках та інфраструктурі.</w:t>
      </w:r>
    </w:p>
    <w:p w:rsidR="003755F0" w:rsidRPr="003755F0" w:rsidP="003755F0" w14:paraId="142F4F9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дбати про стан активів — підтримувати в належному технічному та екологічному стані орендовані землі, споруди та комунікації.</w:t>
      </w:r>
    </w:p>
    <w:p w:rsidR="003755F0" w:rsidRPr="003755F0" w:rsidP="003755F0" w14:paraId="760C83E7"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впроваджувати інновації — використовувати сучасні технології та екологічні практики для забезпечення сталості виробництва.</w:t>
      </w:r>
    </w:p>
    <w:p w:rsidR="003755F0" w:rsidRPr="003755F0" w:rsidP="003755F0" w14:paraId="592D3C63" w14:textId="77777777">
      <w:pPr>
        <w:numPr>
          <w:ilvl w:val="0"/>
          <w:numId w:val="5"/>
        </w:numPr>
        <w:tabs>
          <w:tab w:val="num" w:pos="1276"/>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співпрацювати з партнерами — взаємодіяти з іншими учасниками та суб’єктами парку для реалізації спільних ініціатив та розвитку кластеру.</w:t>
      </w:r>
    </w:p>
    <w:p w:rsidR="003755F0" w:rsidRPr="003755F0" w:rsidP="003755F0" w14:paraId="37728B64"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Договір про здійснення господарської діяльності у межах індустріального парку</w:t>
      </w:r>
    </w:p>
    <w:p w:rsidR="003755F0" w:rsidRPr="003755F0" w:rsidP="003755F0" w14:paraId="405A449C"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Договір про здійснення господарської діяльності у межах індустріального парку уклада</w:t>
      </w:r>
      <w:r w:rsidRPr="003755F0">
        <w:rPr>
          <w:rFonts w:ascii="Times New Roman" w:eastAsia="Calibri" w:hAnsi="Times New Roman" w:cs="Times New Roman"/>
          <w:kern w:val="2"/>
          <w:sz w:val="28"/>
          <w:szCs w:val="28"/>
          <w:lang w:eastAsia="en-US"/>
          <w14:ligatures w14:val="standardContextual"/>
        </w:rPr>
        <w:softHyphen/>
        <w:t>ється між керуючою компанією та суб’єктом господарювання, який має намір набути статусу учасника/іншого суб’єкта індустріального парку. Об’єкти інженерно-транспортної інфраструк</w:t>
      </w:r>
      <w:r w:rsidRPr="003755F0">
        <w:rPr>
          <w:rFonts w:ascii="Times New Roman" w:eastAsia="Calibri" w:hAnsi="Times New Roman" w:cs="Times New Roman"/>
          <w:kern w:val="2"/>
          <w:sz w:val="28"/>
          <w:szCs w:val="28"/>
          <w:lang w:eastAsia="en-US"/>
          <w14:ligatures w14:val="standardContextual"/>
        </w:rPr>
        <w:softHyphen/>
        <w:t>тури індустріального парку та інші об’єкти, розташовані у межах індустріального парку, які надані керуючій компанії у користування (управління), учасникам у власність не передаються. Учасник не має права передавати третім особам свої права та/або обов’язки за договором про здійснення господарської діяльності у межах індустріального парку. Договір про здійснення господарської діяльності у межах індустріального парку припиняється у разі закінчення строку, на який його укладено, якщо сторони не домовилися про інше. У разі ліквідації керуючої компанії, статус учасників залишається незмінним до підписання договорів про здійснення господарської діяльності у межах індустріального парку між новою керуючою компанією та учасниками у межах строку, на який створено індустріальний парк.</w:t>
      </w:r>
    </w:p>
    <w:p w:rsidR="003755F0" w:rsidRPr="003755F0" w:rsidP="003755F0" w14:paraId="6206E0DF"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Основною умовою для учасників індустріального парку є обов’язкова реєстрація суб’єкта господарювання безпосередньо на його території. Крім того, потенційний учасник повинен укласти з керуючою компанією договір про господарську діяльність, що відповідає вимогам ст. 30 ЗУ «Про індустріальні парки». Серед інших ключових вимог — пріоритетне працевла</w:t>
      </w:r>
      <w:r w:rsidRPr="003755F0">
        <w:rPr>
          <w:rFonts w:ascii="Times New Roman" w:eastAsia="Calibri" w:hAnsi="Times New Roman" w:cs="Times New Roman"/>
          <w:kern w:val="2"/>
          <w:sz w:val="28"/>
          <w:szCs w:val="28"/>
          <w:lang w:eastAsia="en-US"/>
          <w14:ligatures w14:val="standardContextual"/>
        </w:rPr>
        <w:softHyphen/>
        <w:t xml:space="preserve">штування </w:t>
      </w:r>
      <w:r w:rsidRPr="003755F0">
        <w:rPr>
          <w:rFonts w:ascii="Times New Roman" w:eastAsia="Calibri" w:hAnsi="Times New Roman" w:cs="Times New Roman"/>
          <w:kern w:val="2"/>
          <w:sz w:val="28"/>
          <w:szCs w:val="28"/>
          <w:lang w:eastAsia="en-US"/>
          <w14:ligatures w14:val="standardContextual"/>
        </w:rPr>
        <w:t>громадян України, зокрема мешканців Броварської міської територіальної громади, міста Києва та Київської обл. Учасники зобов’язані виконувати свої інвестиційні зобов’язання, неухильно дотримуватися чинного законодавства — податкового, екологічного, земельного, інвестиційного та інших нормативно-правових актів.</w:t>
      </w:r>
    </w:p>
    <w:p w:rsidR="003755F0" w:rsidRPr="003755F0" w:rsidP="003755F0" w14:paraId="3CEDC0CD"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Перевага при відборі надаватиметься компаніям машинобудівного спрямування, стратегія розвитку яких передбачає впровадження інноваційних технологій — енергозбереження, низьковуглецеві рішення — та спрямована на постійне підвищення продуктивності праці та якості продукції.</w:t>
      </w:r>
    </w:p>
    <w:p w:rsidR="003755F0" w:rsidRPr="003755F0" w:rsidP="003755F0" w14:paraId="080A40A2" w14:textId="77777777">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bookmarkStart w:id="16" w:name="_Toc194054634"/>
      <w:r w:rsidRPr="003755F0">
        <w:rPr>
          <w:rFonts w:ascii="Times New Roman" w:eastAsia="Times New Roman" w:hAnsi="Times New Roman" w:cs="Times New Roman"/>
          <w:b/>
          <w:kern w:val="2"/>
          <w:sz w:val="28"/>
          <w:szCs w:val="28"/>
          <w:lang w:eastAsia="en-US"/>
          <w14:ligatures w14:val="standardContextual"/>
        </w:rPr>
        <w:t xml:space="preserve">  Очікувані результати функціонування індустріального парку</w:t>
      </w:r>
      <w:bookmarkEnd w:id="16"/>
    </w:p>
    <w:p w:rsidR="003755F0" w:rsidRPr="003755F0" w:rsidP="003755F0" w14:paraId="0C5E3742"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Створення індустріального парку принесе значні </w:t>
      </w:r>
      <w:r w:rsidRPr="003755F0">
        <w:rPr>
          <w:rFonts w:ascii="Times New Roman" w:eastAsia="Calibri" w:hAnsi="Times New Roman" w:cs="Times New Roman"/>
          <w:b/>
          <w:bCs/>
          <w:kern w:val="2"/>
          <w:sz w:val="28"/>
          <w:szCs w:val="28"/>
          <w:lang w:eastAsia="en-US"/>
          <w14:ligatures w14:val="standardContextual"/>
        </w:rPr>
        <w:t>економічні ефекти</w:t>
      </w:r>
      <w:r w:rsidRPr="003755F0">
        <w:rPr>
          <w:rFonts w:ascii="Times New Roman" w:eastAsia="Calibri" w:hAnsi="Times New Roman" w:cs="Times New Roman"/>
          <w:kern w:val="2"/>
          <w:sz w:val="28"/>
          <w:szCs w:val="28"/>
          <w:lang w:eastAsia="en-US"/>
          <w14:ligatures w14:val="standardContextual"/>
        </w:rPr>
        <w:t xml:space="preserve"> для регіону і країни в цілому.</w:t>
      </w:r>
    </w:p>
    <w:p w:rsidR="003755F0" w:rsidRPr="003755F0" w:rsidP="003755F0" w14:paraId="157A9F7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По-перше, </w:t>
      </w:r>
      <w:r w:rsidRPr="003755F0">
        <w:rPr>
          <w:rFonts w:ascii="Times New Roman" w:eastAsia="Calibri" w:hAnsi="Times New Roman" w:cs="Times New Roman"/>
          <w:kern w:val="2"/>
          <w:sz w:val="28"/>
          <w:szCs w:val="28"/>
          <w:lang w:eastAsia="en-US"/>
          <w14:ligatures w14:val="standardContextual"/>
        </w:rPr>
        <w:t>проєкт</w:t>
      </w:r>
      <w:r w:rsidRPr="003755F0">
        <w:rPr>
          <w:rFonts w:ascii="Times New Roman" w:eastAsia="Calibri" w:hAnsi="Times New Roman" w:cs="Times New Roman"/>
          <w:kern w:val="2"/>
          <w:sz w:val="28"/>
          <w:szCs w:val="28"/>
          <w:lang w:eastAsia="en-US"/>
          <w14:ligatures w14:val="standardContextual"/>
        </w:rPr>
        <w:t xml:space="preserve"> забезпечить притік інвестицій та створення нових робочих місць, що суттєво підвищить економічну активність і конкурентоспроможність регіону. По-друге, розбу</w:t>
      </w:r>
      <w:r w:rsidRPr="003755F0">
        <w:rPr>
          <w:rFonts w:ascii="Times New Roman" w:eastAsia="Calibri" w:hAnsi="Times New Roman" w:cs="Times New Roman"/>
          <w:kern w:val="2"/>
          <w:sz w:val="28"/>
          <w:szCs w:val="28"/>
          <w:lang w:eastAsia="en-US"/>
          <w14:ligatures w14:val="standardContextual"/>
        </w:rPr>
        <w:softHyphen/>
        <w:t>дова сучасної інфраструктури — електропостачання, газопостачання, водозабезпечення та інші інженерно-транспортні комунікації — стане основою для розвитку не лише самого парку, а й прилеглих територій.</w:t>
      </w:r>
    </w:p>
    <w:p w:rsidR="003755F0" w:rsidRPr="003755F0" w:rsidP="003755F0" w14:paraId="1C456750"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По-третє, модернізація виробництва на базі новітніх технологій дозволить ефективніше використовувати природні і людські ресурси, сприяючи технологічному прогресу. По-четверте, сприятливе географічне розташування парку у поєднанні з конкурентними перевагами віт</w:t>
      </w:r>
      <w:r w:rsidRPr="003755F0">
        <w:rPr>
          <w:rFonts w:ascii="Times New Roman" w:eastAsia="Calibri" w:hAnsi="Times New Roman" w:cs="Times New Roman"/>
          <w:kern w:val="2"/>
          <w:sz w:val="28"/>
          <w:szCs w:val="28"/>
          <w:lang w:eastAsia="en-US"/>
          <w14:ligatures w14:val="standardContextual"/>
        </w:rPr>
        <w:softHyphen/>
        <w:t>чизняної машинобудівної промисловості посилить експортний потенціал України, сприяючи зростанню обсягів товарного експорту.</w:t>
      </w:r>
    </w:p>
    <w:p w:rsidR="003755F0" w:rsidRPr="003755F0" w:rsidP="003755F0" w14:paraId="2D9926E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Нарешті, активізація бізнес-процесів завдяки індустріальному парку збільшить податкові надходження як до місцевого, так і до державного бюджету, зміцнюючи фінансову стійкість регіону.</w:t>
      </w:r>
    </w:p>
    <w:p w:rsidR="003755F0" w:rsidRPr="003755F0" w:rsidP="003755F0" w14:paraId="67773B25"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Реалізація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матиме вагомі </w:t>
      </w:r>
      <w:r w:rsidRPr="003755F0">
        <w:rPr>
          <w:rFonts w:ascii="Times New Roman" w:eastAsia="Calibri" w:hAnsi="Times New Roman" w:cs="Times New Roman"/>
          <w:b/>
          <w:bCs/>
          <w:kern w:val="2"/>
          <w:sz w:val="28"/>
          <w:szCs w:val="28"/>
          <w:lang w:eastAsia="en-US"/>
          <w14:ligatures w14:val="standardContextual"/>
        </w:rPr>
        <w:t>соціальні наслідки</w:t>
      </w:r>
      <w:r w:rsidRPr="003755F0">
        <w:rPr>
          <w:rFonts w:ascii="Times New Roman" w:eastAsia="Calibri" w:hAnsi="Times New Roman" w:cs="Times New Roman"/>
          <w:kern w:val="2"/>
          <w:sz w:val="28"/>
          <w:szCs w:val="28"/>
          <w:lang w:eastAsia="en-US"/>
          <w14:ligatures w14:val="standardContextual"/>
        </w:rPr>
        <w:t xml:space="preserve"> для регіону.</w:t>
      </w:r>
    </w:p>
    <w:p w:rsidR="003755F0" w:rsidRPr="003755F0" w:rsidP="003755F0" w14:paraId="6424ED9B"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Зокрема, створення високооплачуваних робочих місць сприятиме зростанню доходів населення та поліпшенню його добробуту. Розвиток інфраструктури парку та підвищення стандартів праці піднімуть якість життя місцевих мешканців, роблячи регіон привабливішим для проживання.</w:t>
      </w:r>
    </w:p>
    <w:p w:rsidR="003755F0" w:rsidRPr="003755F0" w:rsidP="003755F0" w14:paraId="77BC341D"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Крім того, організація освітніх програм і навчальних центрів у рамках парку сприятиме професійному зростанню місцевих кадрів, особливо серед активної молоді, забезпечуючи їх конкурентними навичками на ринку праці. Це, у свою чергу, зміцнить соціальну стабільність — завдяки зменшенню безробіття та міграції, а також формуванню стійкої економічної бази для розвитку громади.</w:t>
      </w:r>
    </w:p>
    <w:p w:rsidR="003755F0" w:rsidRPr="003755F0" w:rsidP="003755F0" w14:paraId="0A283074"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Індустріальний парк сприятиме позитивним </w:t>
      </w:r>
      <w:r w:rsidRPr="003755F0">
        <w:rPr>
          <w:rFonts w:ascii="Times New Roman" w:eastAsia="Calibri" w:hAnsi="Times New Roman" w:cs="Times New Roman"/>
          <w:b/>
          <w:bCs/>
          <w:kern w:val="2"/>
          <w:sz w:val="28"/>
          <w:szCs w:val="28"/>
          <w:lang w:eastAsia="en-US"/>
          <w14:ligatures w14:val="standardContextual"/>
        </w:rPr>
        <w:t xml:space="preserve">екологічним трансформаціям </w:t>
      </w:r>
      <w:r w:rsidRPr="003755F0">
        <w:rPr>
          <w:rFonts w:ascii="Times New Roman" w:eastAsia="Calibri" w:hAnsi="Times New Roman" w:cs="Times New Roman"/>
          <w:kern w:val="2"/>
          <w:sz w:val="28"/>
          <w:szCs w:val="28"/>
          <w:lang w:eastAsia="en-US"/>
          <w14:ligatures w14:val="standardContextual"/>
        </w:rPr>
        <w:t>у регіоні.</w:t>
      </w:r>
    </w:p>
    <w:p w:rsidR="003755F0" w:rsidRPr="003755F0" w:rsidP="003755F0" w14:paraId="42D7859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По-перше, централізоване управління виробництвом дозволить мінімізувати негативний вплив на довкілля, зменшуючи обсяги відходів та викидів завдяки суворому контролю та оптимізації процесів. </w:t>
      </w:r>
    </w:p>
    <w:p w:rsidR="003755F0" w:rsidRPr="003755F0" w:rsidP="003755F0" w14:paraId="612DD012"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По-друге, спільне використання ресурсів і інфраструктури підвищить ефективність споживання енергії та води, а також зменшить викиди парникових газів.</w:t>
      </w:r>
    </w:p>
    <w:p w:rsidR="003755F0" w:rsidRPr="003755F0" w:rsidP="003755F0" w14:paraId="35941BE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По-третє, парк стане майданчиком для впровадження інноваційних </w:t>
      </w:r>
      <w:r w:rsidRPr="003755F0">
        <w:rPr>
          <w:rFonts w:ascii="Times New Roman" w:eastAsia="Calibri" w:hAnsi="Times New Roman" w:cs="Times New Roman"/>
          <w:kern w:val="2"/>
          <w:sz w:val="28"/>
          <w:szCs w:val="28"/>
          <w:lang w:eastAsia="en-US"/>
          <w14:ligatures w14:val="standardContextual"/>
        </w:rPr>
        <w:t>екотехнологій</w:t>
      </w:r>
      <w:r w:rsidRPr="003755F0">
        <w:rPr>
          <w:rFonts w:ascii="Times New Roman" w:eastAsia="Calibri" w:hAnsi="Times New Roman" w:cs="Times New Roman"/>
          <w:kern w:val="2"/>
          <w:sz w:val="28"/>
          <w:szCs w:val="28"/>
          <w:lang w:eastAsia="en-US"/>
          <w14:ligatures w14:val="standardContextual"/>
        </w:rPr>
        <w:t xml:space="preserve"> — систем очищення стічних вод, переробки відходів та використання відновлюваних джерел енергії. Це не лише покращить екологічну ситуацію, а й забезпечить баланс між економічним зростанням і збереженням навколишнього середовища, сприяючи досягненню цілей сталого розвитку регіону.</w:t>
      </w:r>
    </w:p>
    <w:p w:rsidR="003755F0" w:rsidRPr="003755F0" w:rsidP="003755F0" w14:paraId="0E0047B0" w14:textId="77777777">
      <w:pPr>
        <w:spacing w:after="0" w:line="240" w:lineRule="auto"/>
        <w:ind w:firstLine="567"/>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Кількість створених робочих місць</w:t>
      </w:r>
    </w:p>
    <w:p w:rsidR="003755F0" w:rsidRPr="003755F0" w:rsidP="003755F0" w14:paraId="3BCAF6B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 даними Організації Об'єднаних Націй з промислового розвитку (UNIDO) і вітчизняного досвіду, кожен гектар території індустріального парку (ІП) в середньому забезпечує створення близько 50 робочих місць. Цей показник включає працівників промислових підприємств, робітничих спеціальностей, офісного персоналу, фахівців логістики, складського господарства, а також співробітників керуючої компанії та тих, хто займається обслуговуванням учасників парку та його розвитком. Втім, беручи до уваги зростаючий рівень автоматизації виробництва на сучасному етапі у галузях, які відповідають функціональному призначенню індустріального парку, кількість створених робочих місць на території парку очікується з розрахунку близько 44 працівників на гектар. Таким чином, запланована кількість робочих місць, які будуть створені в індустріальному парку, оцінюється у 500 одиниць. Вони будуть створюватися поступово, у міру заповнення та розвитку парку. Орієнтовна динаміка створення робочих місць на території індустріального парку «БУДШЛЯХМАШ» наведена у таблиці 11.</w:t>
      </w:r>
    </w:p>
    <w:p w:rsidR="003755F0" w:rsidRPr="003755F0" w:rsidP="003755F0" w14:paraId="7466B046" w14:textId="77777777">
      <w:pPr>
        <w:tabs>
          <w:tab w:val="left" w:pos="851"/>
        </w:tabs>
        <w:spacing w:after="0" w:line="240" w:lineRule="auto"/>
        <w:jc w:val="center"/>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Табл. 11.</w:t>
      </w:r>
      <w:r w:rsidRPr="003755F0">
        <w:rPr>
          <w:rFonts w:ascii="Times New Roman" w:eastAsia="Calibri" w:hAnsi="Times New Roman" w:cs="Times New Roman"/>
          <w:kern w:val="2"/>
          <w:sz w:val="28"/>
          <w:szCs w:val="24"/>
          <w:lang w:eastAsia="en-US"/>
          <w14:ligatures w14:val="standardContextual"/>
        </w:rPr>
        <w:t xml:space="preserve"> Прогнозна динаміка створення робочих місць в ІП «БУДШЛЯХМАШ»</w:t>
      </w:r>
    </w:p>
    <w:tbl>
      <w:tblPr>
        <w:tblStyle w:val="11"/>
        <w:tblW w:w="0" w:type="auto"/>
        <w:tblInd w:w="0" w:type="dxa"/>
        <w:tblLook w:val="04A0"/>
      </w:tblPr>
      <w:tblGrid>
        <w:gridCol w:w="2917"/>
        <w:gridCol w:w="938"/>
        <w:gridCol w:w="939"/>
        <w:gridCol w:w="939"/>
        <w:gridCol w:w="938"/>
        <w:gridCol w:w="939"/>
        <w:gridCol w:w="939"/>
        <w:gridCol w:w="939"/>
      </w:tblGrid>
      <w:tr w14:paraId="30F3754D"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shd w:val="clear" w:color="auto" w:fill="809EC2"/>
          </w:tcPr>
          <w:p w:rsidR="003755F0" w:rsidRPr="003755F0" w:rsidP="003755F0" w14:paraId="228574AD" w14:textId="77777777">
            <w:pPr>
              <w:tabs>
                <w:tab w:val="left" w:pos="851"/>
              </w:tabs>
              <w:jc w:val="center"/>
              <w:rPr>
                <w:rFonts w:ascii="Times New Roman" w:hAnsi="Times New Roman"/>
                <w:b/>
                <w:bCs/>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4D9E570"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643FCA9"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940CCB7"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5FA62D9"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1AED48F"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B1D2E7D"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98D689F"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2035</w:t>
            </w:r>
          </w:p>
        </w:tc>
      </w:tr>
      <w:tr w14:paraId="1E80FEF9"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E7E723"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9AED3B"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8B96CD"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235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124E9F2"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325</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2FE0F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D5A3AB"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F4A559"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781316"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325</w:t>
            </w:r>
          </w:p>
        </w:tc>
      </w:tr>
      <w:tr w14:paraId="7014DB56"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C250FA"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A95B58"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35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E21EE3F"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70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6BDD854"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C20E8A7"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8A3C36"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34D2E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C8B1E44"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80</w:t>
            </w:r>
          </w:p>
        </w:tc>
      </w:tr>
      <w:tr w14:paraId="2A8CB316"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2F5AC4"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2B9FA08"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35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B9BCE2"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50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78FD185"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60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3657D4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60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78331AE"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60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F15BED8"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60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474E1E"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60</w:t>
            </w:r>
          </w:p>
        </w:tc>
      </w:tr>
      <w:tr w14:paraId="3C52D2A3"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2BF12D4"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4245EE"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4817921"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10AD45"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20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8D41871"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20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BA81DD"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20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D14DAD1"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20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41B748B"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20</w:t>
            </w:r>
          </w:p>
        </w:tc>
      </w:tr>
      <w:tr w14:paraId="3D59B476"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677E65"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D68D7F6"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31C818"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2D5FE62"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8CE23F"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5D07344"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E2AC3A"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F6139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15</w:t>
            </w:r>
          </w:p>
        </w:tc>
      </w:tr>
      <w:tr w14:paraId="14F1ADD9" w14:textId="77777777" w:rsidTr="003755F0">
        <w:tblPrEx>
          <w:tblW w:w="0" w:type="auto"/>
          <w:tblInd w:w="0" w:type="dxa"/>
          <w:tblLook w:val="04A0"/>
        </w:tblPrEx>
        <w:trPr>
          <w:trHeight w:val="538"/>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6CE657" w14:textId="77777777">
            <w:pPr>
              <w:tabs>
                <w:tab w:val="left" w:pos="851"/>
              </w:tabs>
              <w:rPr>
                <w:rFonts w:ascii="Times New Roman" w:eastAsia="Times New Roman" w:hAnsi="Times New Roman"/>
                <w:b/>
                <w:bCs/>
                <w:sz w:val="24"/>
                <w:szCs w:val="24"/>
              </w:rPr>
            </w:pPr>
            <w:r w:rsidRPr="003755F0">
              <w:rPr>
                <w:rFonts w:ascii="Times New Roman" w:eastAsia="Times New Roman" w:hAnsi="Times New Roman"/>
                <w:b/>
                <w:bCs/>
                <w:sz w:val="24"/>
                <w:szCs w:val="24"/>
              </w:rPr>
              <w:t>Всього</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DCD586B"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250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9C5DF48"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380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713A1E6"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500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36DF1A"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500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19CDAD"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500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F42889"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500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0C3DC93"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500</w:t>
            </w:r>
          </w:p>
        </w:tc>
      </w:tr>
    </w:tbl>
    <w:p w:rsidR="003755F0" w:rsidRPr="003755F0" w:rsidP="003755F0" w14:paraId="16A72B63" w14:textId="77777777">
      <w:pPr>
        <w:tabs>
          <w:tab w:val="left" w:pos="851"/>
        </w:tabs>
        <w:spacing w:after="0" w:line="240" w:lineRule="auto"/>
        <w:jc w:val="center"/>
        <w:rPr>
          <w:rFonts w:ascii="Times New Roman" w:eastAsia="Calibri" w:hAnsi="Times New Roman" w:cs="Times New Roman"/>
          <w:kern w:val="2"/>
          <w:sz w:val="28"/>
          <w:szCs w:val="24"/>
          <w:lang w:eastAsia="en-US"/>
          <w14:ligatures w14:val="standardContextual"/>
        </w:rPr>
      </w:pPr>
    </w:p>
    <w:p w:rsidR="003755F0" w:rsidRPr="003755F0" w:rsidP="003755F0" w14:paraId="2638285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37168DA" w14:textId="77777777">
      <w:pPr>
        <w:tabs>
          <w:tab w:val="left" w:pos="851"/>
        </w:tabs>
        <w:spacing w:after="0" w:line="240" w:lineRule="auto"/>
        <w:jc w:val="center"/>
        <w:rPr>
          <w:rFonts w:ascii="Times New Roman" w:eastAsia="Calibri" w:hAnsi="Times New Roman" w:cs="Times New Roman"/>
          <w:b/>
          <w:bCs/>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Рівень оплати праці</w:t>
      </w:r>
    </w:p>
    <w:p w:rsidR="003755F0" w:rsidRPr="003755F0" w:rsidP="003755F0" w14:paraId="40D050B5" w14:textId="77777777">
      <w:pPr>
        <w:tabs>
          <w:tab w:val="left" w:pos="851"/>
        </w:tabs>
        <w:spacing w:after="0" w:line="240" w:lineRule="auto"/>
        <w:ind w:firstLine="567"/>
        <w:jc w:val="both"/>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kern w:val="2"/>
          <w:sz w:val="28"/>
          <w:szCs w:val="24"/>
          <w:lang w:eastAsia="en-US"/>
          <w14:ligatures w14:val="standardContextual"/>
        </w:rPr>
        <w:t>Враховуючи досвід країн, де успішно функціонують індустріальні парки, можна побачити, що середній рівень заробітних плат працівників підприємств, які є учасниками парку, зазвичай вищі, ніж середній рівень зарплат у регіоні. Беручи до уваги цю властивість, а також очікуваний високий рівень автоматизації промислового виробництва, який очікується на підприємствах індустріального парку, середньомісячний обсяг заробітної плати в «БУДШЛЯХМАШ» складе до 83 тис. грн на одного працівника. При цьому заплановано щорічне зростання заробітної плати з метою індексування інфляції (5% на рік) (табл. 12).</w:t>
      </w:r>
    </w:p>
    <w:p w:rsidR="003755F0" w:rsidRPr="003755F0" w:rsidP="003755F0" w14:paraId="12B4FD9C" w14:textId="77777777">
      <w:pPr>
        <w:tabs>
          <w:tab w:val="left" w:pos="851"/>
        </w:tabs>
        <w:spacing w:after="0" w:line="240" w:lineRule="auto"/>
        <w:jc w:val="both"/>
        <w:rPr>
          <w:rFonts w:ascii="Times New Roman" w:eastAsia="Calibri" w:hAnsi="Times New Roman" w:cs="Times New Roman"/>
          <w:b/>
          <w:bCs/>
          <w:kern w:val="2"/>
          <w:sz w:val="28"/>
          <w:szCs w:val="24"/>
          <w:lang w:eastAsia="en-US"/>
          <w14:ligatures w14:val="standardContextual"/>
        </w:rPr>
      </w:pPr>
    </w:p>
    <w:p w:rsidR="003755F0" w:rsidRPr="003755F0" w:rsidP="003755F0" w14:paraId="4471F295" w14:textId="77777777">
      <w:pPr>
        <w:tabs>
          <w:tab w:val="left" w:pos="851"/>
        </w:tabs>
        <w:spacing w:after="0" w:line="240" w:lineRule="auto"/>
        <w:jc w:val="center"/>
        <w:rPr>
          <w:rFonts w:ascii="Times New Roman" w:eastAsia="Calibri" w:hAnsi="Times New Roman" w:cs="Times New Roman"/>
          <w:kern w:val="2"/>
          <w:sz w:val="28"/>
          <w:szCs w:val="24"/>
          <w:lang w:eastAsia="en-US"/>
          <w14:ligatures w14:val="standardContextual"/>
        </w:rPr>
      </w:pPr>
      <w:r w:rsidRPr="003755F0">
        <w:rPr>
          <w:rFonts w:ascii="Times New Roman" w:eastAsia="Calibri" w:hAnsi="Times New Roman" w:cs="Times New Roman"/>
          <w:b/>
          <w:bCs/>
          <w:kern w:val="2"/>
          <w:sz w:val="28"/>
          <w:szCs w:val="24"/>
          <w:lang w:eastAsia="en-US"/>
          <w14:ligatures w14:val="standardContextual"/>
        </w:rPr>
        <w:t>Табл. 12.</w:t>
      </w:r>
      <w:r w:rsidRPr="003755F0">
        <w:rPr>
          <w:rFonts w:ascii="Times New Roman" w:eastAsia="Calibri" w:hAnsi="Times New Roman" w:cs="Times New Roman"/>
          <w:kern w:val="2"/>
          <w:sz w:val="28"/>
          <w:szCs w:val="24"/>
          <w:lang w:eastAsia="en-US"/>
          <w14:ligatures w14:val="standardContextual"/>
        </w:rPr>
        <w:t xml:space="preserve"> Прогнозна динаміка середньомісячної зарплати в ІП «БУДШЛЯХМАШ», грн</w:t>
      </w:r>
    </w:p>
    <w:tbl>
      <w:tblPr>
        <w:tblStyle w:val="12"/>
        <w:tblW w:w="0" w:type="auto"/>
        <w:tblInd w:w="0" w:type="dxa"/>
        <w:tblLook w:val="04A0"/>
      </w:tblPr>
      <w:tblGrid>
        <w:gridCol w:w="2861"/>
        <w:gridCol w:w="935"/>
        <w:gridCol w:w="949"/>
        <w:gridCol w:w="949"/>
        <w:gridCol w:w="947"/>
        <w:gridCol w:w="949"/>
        <w:gridCol w:w="949"/>
        <w:gridCol w:w="949"/>
      </w:tblGrid>
      <w:tr w14:paraId="3E74317A"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shd w:val="clear" w:color="auto" w:fill="809EC2"/>
          </w:tcPr>
          <w:p w:rsidR="003755F0" w:rsidRPr="003755F0" w:rsidP="003755F0" w14:paraId="62741EB6" w14:textId="77777777">
            <w:pPr>
              <w:tabs>
                <w:tab w:val="left" w:pos="851"/>
              </w:tabs>
              <w:jc w:val="center"/>
              <w:rPr>
                <w:rFonts w:ascii="Times New Roman" w:hAnsi="Times New Roman"/>
                <w:b/>
                <w:bCs/>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BCB0B21"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776B0C0"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F67A5B0"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64C5F60"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AF3CB40"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5C94D3C"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6A4E1B8"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2035</w:t>
            </w:r>
          </w:p>
        </w:tc>
      </w:tr>
      <w:tr w14:paraId="5ADDB6D9"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9AE2CD"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2FB7EE7"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83000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40591B"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87150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0A73DF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91508</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B003E4A"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96083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3625A66"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100887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F32E544"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105931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923A91"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111228</w:t>
            </w:r>
          </w:p>
        </w:tc>
      </w:tr>
      <w:tr w14:paraId="1F0F22C5"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BC8B70"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3DEAAF"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76000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460E86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79800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BFC2E8"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83790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A506D0"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87980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032CCF"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92378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5DAD379"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96997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EF8D5E"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101847</w:t>
            </w:r>
          </w:p>
        </w:tc>
      </w:tr>
      <w:tr w14:paraId="0E3744C1"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2B5AE51"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EED2F98"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85000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C47AFB6"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89250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2CBC9F"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93713</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4D01FE"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98398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5524C2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103318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13F8C8B"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108484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DFF8251"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113908</w:t>
            </w:r>
          </w:p>
        </w:tc>
      </w:tr>
      <w:tr w14:paraId="1071369C"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556618"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C3A9995"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97000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22D480"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101850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3F1782"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106943</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D758402"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112290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5619E4"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117904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22C1F8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123799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1C1BCB4"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129989</w:t>
            </w:r>
          </w:p>
        </w:tc>
      </w:tr>
      <w:tr w14:paraId="7A8FD0CF" w14:textId="77777777" w:rsidTr="003755F0">
        <w:tblPrEx>
          <w:tblW w:w="0" w:type="auto"/>
          <w:tblInd w:w="0" w:type="dxa"/>
          <w:tblLook w:val="04A0"/>
        </w:tblPrEx>
        <w:trPr>
          <w:trHeight w:val="537"/>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248C3C1"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C8AAF16"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79500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6BAF05"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83475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2605FE"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87649</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C0BD70"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92031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F303532"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96633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75B241"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101464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444173" w14:textId="77777777">
            <w:pPr>
              <w:tabs>
                <w:tab w:val="left" w:pos="851"/>
              </w:tabs>
              <w:jc w:val="center"/>
              <w:rPr>
                <w:rFonts w:ascii="Times New Roman" w:eastAsia="Times New Roman" w:hAnsi="Times New Roman"/>
                <w:sz w:val="24"/>
                <w:szCs w:val="24"/>
              </w:rPr>
            </w:pPr>
            <w:r w:rsidRPr="003755F0">
              <w:rPr>
                <w:rFonts w:ascii="Times New Roman" w:eastAsia="Times New Roman" w:hAnsi="Times New Roman"/>
                <w:sz w:val="24"/>
                <w:szCs w:val="24"/>
              </w:rPr>
              <w:t>106538</w:t>
            </w:r>
          </w:p>
        </w:tc>
      </w:tr>
      <w:tr w14:paraId="62C7AC7E" w14:textId="77777777" w:rsidTr="003755F0">
        <w:tblPrEx>
          <w:tblW w:w="0" w:type="auto"/>
          <w:tblInd w:w="0" w:type="dxa"/>
          <w:tblLook w:val="04A0"/>
        </w:tblPrEx>
        <w:trPr>
          <w:trHeight w:val="538"/>
        </w:trPr>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4A94F3" w14:textId="77777777">
            <w:pPr>
              <w:tabs>
                <w:tab w:val="left" w:pos="851"/>
              </w:tabs>
              <w:rPr>
                <w:rFonts w:ascii="Times New Roman" w:eastAsia="Times New Roman" w:hAnsi="Times New Roman"/>
                <w:b/>
                <w:bCs/>
                <w:sz w:val="24"/>
                <w:szCs w:val="24"/>
              </w:rPr>
            </w:pPr>
            <w:r w:rsidRPr="003755F0">
              <w:rPr>
                <w:rFonts w:ascii="Times New Roman" w:eastAsia="Times New Roman" w:hAnsi="Times New Roman"/>
                <w:b/>
                <w:bCs/>
                <w:sz w:val="24"/>
                <w:szCs w:val="24"/>
              </w:rPr>
              <w:t>У середньому по індустріальному парку</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4122F1"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83000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E64A59"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131565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BF0728"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122095</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B8266AB"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95591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4A97F7E"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100370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8CE8A7"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105389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9C62D61"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110658</w:t>
            </w:r>
          </w:p>
        </w:tc>
      </w:tr>
    </w:tbl>
    <w:p w:rsidR="003755F0" w:rsidRPr="003755F0" w:rsidP="003755F0" w14:paraId="213137D7" w14:textId="77777777">
      <w:pPr>
        <w:spacing w:after="0" w:line="240" w:lineRule="auto"/>
        <w:ind w:firstLine="567"/>
        <w:jc w:val="both"/>
        <w:rPr>
          <w:rFonts w:ascii="Times New Roman" w:eastAsia="Calibri" w:hAnsi="Times New Roman" w:cs="Times New Roman"/>
          <w:kern w:val="2"/>
          <w:sz w:val="24"/>
          <w:szCs w:val="24"/>
          <w:lang w:eastAsia="en-US"/>
          <w14:ligatures w14:val="standardContextual"/>
        </w:rPr>
      </w:pPr>
    </w:p>
    <w:p w:rsidR="003755F0" w:rsidRPr="003755F0" w:rsidP="003755F0" w14:paraId="7837F351" w14:textId="77777777">
      <w:pPr>
        <w:tabs>
          <w:tab w:val="left" w:pos="851"/>
        </w:tabs>
        <w:spacing w:after="0" w:line="240" w:lineRule="auto"/>
        <w:jc w:val="center"/>
        <w:rPr>
          <w:rFonts w:ascii="Times New Roman" w:eastAsia="Calibri" w:hAnsi="Times New Roman" w:cs="Times New Roman"/>
          <w:b/>
          <w:bCs/>
          <w:caps/>
          <w:kern w:val="2"/>
          <w:sz w:val="28"/>
          <w:szCs w:val="28"/>
          <w:lang w:eastAsia="en-US"/>
          <w14:ligatures w14:val="standardContextual"/>
        </w:rPr>
      </w:pPr>
      <w:r w:rsidRPr="003755F0">
        <w:rPr>
          <w:rFonts w:ascii="Times New Roman" w:eastAsia="Calibri" w:hAnsi="Times New Roman" w:cs="Times New Roman"/>
          <w:b/>
          <w:bCs/>
          <w:caps/>
          <w:kern w:val="2"/>
          <w:sz w:val="28"/>
          <w:szCs w:val="28"/>
          <w:lang w:eastAsia="en-US"/>
          <w14:ligatures w14:val="standardContextual"/>
        </w:rPr>
        <w:t>Фінансові результати діяльності індустріального парку</w:t>
      </w:r>
    </w:p>
    <w:p w:rsidR="003755F0" w:rsidRPr="003755F0" w:rsidP="003755F0" w14:paraId="157E5DD1"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Обсяг реалізованої продукції</w:t>
      </w:r>
    </w:p>
    <w:p w:rsidR="003755F0" w:rsidRPr="003755F0" w:rsidP="003755F0" w14:paraId="2BE1EA4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Виходячи з перспективи розміщення в індустріальному парку виробництва машин і </w:t>
      </w:r>
      <w:r w:rsidRPr="003755F0">
        <w:rPr>
          <w:rFonts w:ascii="Times New Roman" w:eastAsia="Calibri" w:hAnsi="Times New Roman" w:cs="Times New Roman"/>
          <w:kern w:val="2"/>
          <w:sz w:val="28"/>
          <w:szCs w:val="28"/>
          <w:lang w:eastAsia="en-US"/>
          <w14:ligatures w14:val="standardContextual"/>
        </w:rPr>
        <w:t>устатковання</w:t>
      </w:r>
      <w:r w:rsidRPr="003755F0">
        <w:rPr>
          <w:rFonts w:ascii="Times New Roman" w:eastAsia="Calibri" w:hAnsi="Times New Roman" w:cs="Times New Roman"/>
          <w:kern w:val="2"/>
          <w:sz w:val="28"/>
          <w:szCs w:val="28"/>
          <w:lang w:eastAsia="en-US"/>
          <w14:ligatures w14:val="standardContextual"/>
        </w:rPr>
        <w:t xml:space="preserve"> та виробництва автотранспортних засобів, причепів і напівпричепів , очікуваний обсяг валового випуску основних учасників індустріального парку становитиме 9 млрд грн, який буде досягнуто на третій рік після запуску парку.</w:t>
      </w:r>
    </w:p>
    <w:p w:rsidR="003755F0" w:rsidRPr="003755F0" w:rsidP="003755F0" w14:paraId="14E566FC"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Очікуваний обсяг послуг, що надаватимуться суб’єктами індустріального парку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 — адміністративними, господарсько-побутовими, логістичними і складськими структурами — розраховано на основі середнього виробітку на одного працівника. Прогнозні показники враховують щорічне зростання валового випуску індустріального парку на 4%, що обумовлено:</w:t>
      </w:r>
    </w:p>
    <w:p w:rsidR="003755F0" w:rsidRPr="003755F0" w:rsidP="003755F0" w14:paraId="3FAC8612" w14:textId="77777777">
      <w:pPr>
        <w:numPr>
          <w:ilvl w:val="0"/>
          <w:numId w:val="6"/>
        </w:numPr>
        <w:tabs>
          <w:tab w:val="num" w:pos="1134"/>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підвищенням продуктивності праці завдяки оптимізації виробничих та логістичних процесів;</w:t>
      </w:r>
    </w:p>
    <w:p w:rsidR="003755F0" w:rsidRPr="003755F0" w:rsidP="003755F0" w14:paraId="58A0470A" w14:textId="77777777">
      <w:pPr>
        <w:numPr>
          <w:ilvl w:val="0"/>
          <w:numId w:val="6"/>
        </w:numPr>
        <w:tabs>
          <w:tab w:val="num" w:pos="1134"/>
        </w:tabs>
        <w:spacing w:after="0" w:line="240" w:lineRule="auto"/>
        <w:ind w:left="851" w:hanging="284"/>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вдосконаленням бізнес-моделі управління парком, спрямованим на підвищення ефективності операційної діяльності (табл. 13).</w:t>
      </w:r>
    </w:p>
    <w:p w:rsidR="003755F0" w:rsidRPr="003755F0" w:rsidP="003755F0" w14:paraId="17D2370F"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13.</w:t>
      </w:r>
      <w:r w:rsidRPr="003755F0">
        <w:rPr>
          <w:rFonts w:ascii="Times New Roman" w:eastAsia="Calibri" w:hAnsi="Times New Roman" w:cs="Times New Roman"/>
          <w:kern w:val="2"/>
          <w:sz w:val="28"/>
          <w:szCs w:val="28"/>
          <w:lang w:eastAsia="en-US"/>
          <w14:ligatures w14:val="standardContextual"/>
        </w:rPr>
        <w:t xml:space="preserve"> Прогнозна динаміка обсягу валового випуску ІП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 млн грн</w:t>
      </w:r>
    </w:p>
    <w:tbl>
      <w:tblPr>
        <w:tblStyle w:val="13"/>
        <w:tblW w:w="0" w:type="auto"/>
        <w:tblInd w:w="0" w:type="dxa"/>
        <w:tblLook w:val="04A0"/>
      </w:tblPr>
      <w:tblGrid>
        <w:gridCol w:w="2483"/>
        <w:gridCol w:w="998"/>
        <w:gridCol w:w="998"/>
        <w:gridCol w:w="999"/>
        <w:gridCol w:w="998"/>
        <w:gridCol w:w="999"/>
        <w:gridCol w:w="1006"/>
        <w:gridCol w:w="1007"/>
      </w:tblGrid>
      <w:tr w14:paraId="2A57D1D1"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7696E78E" w14:textId="77777777">
            <w:pPr>
              <w:tabs>
                <w:tab w:val="left" w:pos="851"/>
              </w:tabs>
              <w:jc w:val="center"/>
              <w:rPr>
                <w:rFonts w:ascii="Times New Roman" w:hAnsi="Times New Roman"/>
                <w:b/>
                <w:bCs/>
                <w:sz w:val="24"/>
                <w:szCs w:val="28"/>
              </w:rPr>
            </w:pPr>
            <w:r w:rsidRPr="003755F0">
              <w:rPr>
                <w:rFonts w:ascii="Times New Roman" w:eastAsia="Times New Roman" w:hAnsi="Times New Roman"/>
                <w:b/>
                <w:bCs/>
                <w:sz w:val="24"/>
                <w:szCs w:val="28"/>
              </w:rPr>
              <w:t>Сфера діяльності</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63E19C4"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2029</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76F2C53"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2030</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F0447DE"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2031</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245CFB6"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2032</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B3E5E92"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2033</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2BEDEA2"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2034</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F6FAD4A"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2035</w:t>
            </w:r>
          </w:p>
        </w:tc>
      </w:tr>
      <w:tr w14:paraId="79968348"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061918EB"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Виробництво промислової продукції</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BDDA89F"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4182,7</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19A868C"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5784,6</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02877D6"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8000,0</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8A1174"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8320,0</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CC5846"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8652,8</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C6333B2"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8998,9</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C30B54"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9358,9</w:t>
            </w:r>
          </w:p>
        </w:tc>
      </w:tr>
      <w:tr w14:paraId="02EF2F2F"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1E376568"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Ремонт машин та устаткування</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3A112F"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117,6</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4B22014"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162,7</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85573C"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225,0</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708CEF"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234,0</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6DB9B7E"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243,4</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1E9158D"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253,1</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ECA7D4"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263,2</w:t>
            </w:r>
          </w:p>
        </w:tc>
      </w:tr>
      <w:tr w14:paraId="40B282C8"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2CF1D646"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Транспортне і складське господарство</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4B5F7C0"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385,4</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EE53B2"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440,4</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0DB06D"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646,8</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D361A7E"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672,7</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A325E6"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699,6</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0F19F08"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727,6</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6EAB68"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756,7</w:t>
            </w:r>
          </w:p>
        </w:tc>
      </w:tr>
      <w:tr w14:paraId="62827252"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1B501B55"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Інші послуги</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355C3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91,6</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1F05F0"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164,8</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33BA4E"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128,2</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7F0E6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133,3</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57D3D1"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138,7</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65C979"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144,2</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EF0AE8"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150,0</w:t>
            </w:r>
          </w:p>
        </w:tc>
      </w:tr>
      <w:tr w14:paraId="4EFD1823"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4168A05C" w14:textId="77777777">
            <w:pPr>
              <w:tabs>
                <w:tab w:val="left" w:pos="851"/>
              </w:tabs>
              <w:ind w:right="-57"/>
              <w:jc w:val="both"/>
              <w:rPr>
                <w:rFonts w:ascii="Times New Roman" w:eastAsia="Times New Roman" w:hAnsi="Times New Roman"/>
                <w:sz w:val="24"/>
                <w:szCs w:val="28"/>
              </w:rPr>
            </w:pPr>
            <w:r w:rsidRPr="003755F0">
              <w:rPr>
                <w:rFonts w:ascii="Times New Roman" w:eastAsia="Times New Roman" w:hAnsi="Times New Roman"/>
                <w:sz w:val="24"/>
                <w:szCs w:val="28"/>
              </w:rPr>
              <w:t>Разом</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DCCAD4"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4777,3</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25E05F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6552,5</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171A70" w14:textId="77777777">
            <w:pPr>
              <w:tabs>
                <w:tab w:val="left" w:pos="851"/>
              </w:tabs>
              <w:ind w:left="-57" w:right="-57"/>
              <w:jc w:val="right"/>
              <w:rPr>
                <w:rFonts w:ascii="Times New Roman" w:eastAsia="Times New Roman" w:hAnsi="Times New Roman"/>
                <w:b/>
                <w:bCs/>
                <w:sz w:val="24"/>
                <w:szCs w:val="28"/>
              </w:rPr>
            </w:pPr>
            <w:r w:rsidRPr="003755F0">
              <w:rPr>
                <w:rFonts w:ascii="Times New Roman" w:eastAsia="Times New Roman" w:hAnsi="Times New Roman"/>
                <w:b/>
                <w:bCs/>
                <w:sz w:val="24"/>
                <w:szCs w:val="28"/>
              </w:rPr>
              <w:t>9000,0</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D5E0864"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9360,0</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B74A5AB"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9734,4</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5045396"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10123,8</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207596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10528,7</w:t>
            </w:r>
          </w:p>
        </w:tc>
      </w:tr>
    </w:tbl>
    <w:p w:rsidR="003755F0" w:rsidRPr="003755F0" w:rsidP="003755F0" w14:paraId="5E93C324" w14:textId="77777777">
      <w:pPr>
        <w:tabs>
          <w:tab w:val="left" w:pos="851"/>
        </w:tabs>
        <w:spacing w:before="240"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Податок на додану вартість</w:t>
      </w:r>
    </w:p>
    <w:p w:rsidR="003755F0" w:rsidRPr="003755F0" w:rsidP="003755F0" w14:paraId="65B22068"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Для розрахунку наступних показників необхідно визначити показник матеріалоємності, який визначається у відсотках від валового продукту індустріального парку. Відповідно до статичних даних показник матеріалоємності, розрахований на основі даних міжгалузевого балансу «витрати–випуск», становить: у машинобудуванні – 70,4%, ремонті устаткування та машин – 63,6%, транспорті і складському господарстві – 56,3%, діяльність у сфері адміністративного та допоміжного обслуговування – 49,4%. На основі аналізу вказаних даних визначено відповідну частку даного показника за галузями і розраховано значення у вартісному вираженні (табл. 14).</w:t>
      </w:r>
    </w:p>
    <w:p w:rsidR="003755F0" w:rsidRPr="003755F0" w:rsidP="003755F0" w14:paraId="7D9217EF"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14.</w:t>
      </w:r>
      <w:r w:rsidRPr="003755F0">
        <w:rPr>
          <w:rFonts w:ascii="Times New Roman" w:eastAsia="Calibri" w:hAnsi="Times New Roman" w:cs="Times New Roman"/>
          <w:kern w:val="2"/>
          <w:sz w:val="28"/>
          <w:szCs w:val="28"/>
          <w:lang w:eastAsia="en-US"/>
          <w14:ligatures w14:val="standardContextual"/>
        </w:rPr>
        <w:t xml:space="preserve"> Прогнозна матеріалоємність валового випуску ІП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 млн грн</w:t>
      </w:r>
    </w:p>
    <w:tbl>
      <w:tblPr>
        <w:tblStyle w:val="13"/>
        <w:tblW w:w="0" w:type="auto"/>
        <w:tblInd w:w="0" w:type="dxa"/>
        <w:tblLook w:val="04A0"/>
      </w:tblPr>
      <w:tblGrid>
        <w:gridCol w:w="2490"/>
        <w:gridCol w:w="1000"/>
        <w:gridCol w:w="1000"/>
        <w:gridCol w:w="1000"/>
        <w:gridCol w:w="999"/>
        <w:gridCol w:w="1000"/>
        <w:gridCol w:w="999"/>
        <w:gridCol w:w="1000"/>
      </w:tblGrid>
      <w:tr w14:paraId="5928B301"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68AD2A14" w14:textId="77777777">
            <w:pPr>
              <w:tabs>
                <w:tab w:val="left" w:pos="851"/>
              </w:tabs>
              <w:jc w:val="center"/>
              <w:rPr>
                <w:rFonts w:ascii="Times New Roman" w:hAnsi="Times New Roman"/>
                <w:b/>
                <w:bCs/>
                <w:sz w:val="24"/>
                <w:szCs w:val="28"/>
              </w:rPr>
            </w:pPr>
            <w:r w:rsidRPr="003755F0">
              <w:rPr>
                <w:rFonts w:ascii="Times New Roman" w:eastAsia="Times New Roman" w:hAnsi="Times New Roman"/>
                <w:b/>
                <w:bCs/>
                <w:sz w:val="24"/>
                <w:szCs w:val="28"/>
              </w:rPr>
              <w:t>Сфера діяльності</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6341DA7"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2029</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8626816"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2030</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23FD45B"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2031</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5C28206"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2032</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202E749"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2033</w:t>
            </w:r>
          </w:p>
        </w:tc>
        <w:tc>
          <w:tcPr>
            <w:tcW w:w="101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46FC3D2"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2034</w:t>
            </w:r>
          </w:p>
        </w:tc>
        <w:tc>
          <w:tcPr>
            <w:tcW w:w="1012"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EB82322"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2035</w:t>
            </w:r>
          </w:p>
        </w:tc>
      </w:tr>
      <w:tr w14:paraId="783E380E"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09681D89"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Виробництво промислової продукції</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41C105"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2943,8</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96DC1F"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4071,2</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875C1F"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5630,4</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0E5AFFC"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5855,6</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9D1C28"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6089,8</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4E0606"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6333,4</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049BF57"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6586,8</w:t>
            </w:r>
          </w:p>
        </w:tc>
      </w:tr>
      <w:tr w14:paraId="3C4CD2CC"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05F96DEC"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Ремонт машин та устаткування</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FA9B86"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82,8</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2D44A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114,5</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AEFCB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158,4</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2156E9"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164,7</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2101A76"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171,3</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ED3F769"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178,1</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C7491E"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185,3</w:t>
            </w:r>
          </w:p>
        </w:tc>
      </w:tr>
      <w:tr w14:paraId="39D3348D"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6A3FC036"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Транспортне і складське господарство</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BDCB3C"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271,2</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2A7AB0"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310,0</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B18D20"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455,2</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7FE0A4"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473,4</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0D9A927"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492,4</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93B122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512,1</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A33A1CE"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532,5</w:t>
            </w:r>
          </w:p>
        </w:tc>
      </w:tr>
      <w:tr w14:paraId="4398A746"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7693E175" w14:textId="77777777">
            <w:pPr>
              <w:tabs>
                <w:tab w:val="left" w:pos="851"/>
              </w:tabs>
              <w:ind w:right="-57"/>
              <w:rPr>
                <w:rFonts w:ascii="Times New Roman" w:eastAsia="Times New Roman" w:hAnsi="Times New Roman"/>
                <w:sz w:val="24"/>
                <w:szCs w:val="28"/>
              </w:rPr>
            </w:pPr>
            <w:r w:rsidRPr="003755F0">
              <w:rPr>
                <w:rFonts w:ascii="Times New Roman" w:eastAsia="Times New Roman" w:hAnsi="Times New Roman"/>
                <w:sz w:val="24"/>
                <w:szCs w:val="28"/>
              </w:rPr>
              <w:t>Інші послуги</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23D3659"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64,4</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5ABD17"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116,0</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14DD25"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90,2</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8749A5A"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93,8</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C52343A"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97,6</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AA847C"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101,5</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0A98D25"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105,6</w:t>
            </w:r>
          </w:p>
        </w:tc>
      </w:tr>
      <w:tr w14:paraId="58A0BCA7" w14:textId="77777777" w:rsidTr="003755F0">
        <w:tblPrEx>
          <w:tblW w:w="0" w:type="auto"/>
          <w:tblInd w:w="0" w:type="dxa"/>
          <w:tblLook w:val="04A0"/>
        </w:tblPrEx>
        <w:tc>
          <w:tcPr>
            <w:tcW w:w="2547" w:type="dxa"/>
            <w:tcBorders>
              <w:top w:val="single" w:sz="4" w:space="0" w:color="auto"/>
              <w:left w:val="single" w:sz="4" w:space="0" w:color="auto"/>
              <w:bottom w:val="single" w:sz="4" w:space="0" w:color="auto"/>
              <w:right w:val="single" w:sz="4" w:space="0" w:color="auto"/>
            </w:tcBorders>
            <w:hideMark/>
          </w:tcPr>
          <w:p w:rsidR="003755F0" w:rsidRPr="003755F0" w:rsidP="003755F0" w14:paraId="5255F24F" w14:textId="77777777">
            <w:pPr>
              <w:tabs>
                <w:tab w:val="left" w:pos="851"/>
              </w:tabs>
              <w:ind w:right="-57"/>
              <w:jc w:val="both"/>
              <w:rPr>
                <w:rFonts w:ascii="Times New Roman" w:eastAsia="Times New Roman" w:hAnsi="Times New Roman"/>
                <w:sz w:val="24"/>
                <w:szCs w:val="28"/>
              </w:rPr>
            </w:pPr>
            <w:r w:rsidRPr="003755F0">
              <w:rPr>
                <w:rFonts w:ascii="Times New Roman" w:eastAsia="Times New Roman" w:hAnsi="Times New Roman"/>
                <w:sz w:val="24"/>
                <w:szCs w:val="28"/>
              </w:rPr>
              <w:t>Разом</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3D9E49"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3362,3</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EE2B57"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4611,7</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00173C3"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6334,2</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2C2BA6F"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6587,6</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3770FD1"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6851,1</w:t>
            </w:r>
          </w:p>
        </w:tc>
        <w:tc>
          <w:tcPr>
            <w:tcW w:w="101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9A67DF2"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7125,1</w:t>
            </w:r>
          </w:p>
        </w:tc>
        <w:tc>
          <w:tcPr>
            <w:tcW w:w="101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3A8F85" w14:textId="77777777">
            <w:pPr>
              <w:tabs>
                <w:tab w:val="left" w:pos="851"/>
              </w:tabs>
              <w:ind w:left="-57" w:right="-57"/>
              <w:jc w:val="right"/>
              <w:rPr>
                <w:rFonts w:ascii="Times New Roman" w:eastAsia="Times New Roman" w:hAnsi="Times New Roman"/>
                <w:sz w:val="24"/>
                <w:szCs w:val="28"/>
              </w:rPr>
            </w:pPr>
            <w:r w:rsidRPr="003755F0">
              <w:rPr>
                <w:rFonts w:ascii="Times New Roman" w:eastAsia="Times New Roman" w:hAnsi="Times New Roman"/>
                <w:sz w:val="24"/>
                <w:szCs w:val="28"/>
              </w:rPr>
              <w:t>7410,1</w:t>
            </w:r>
          </w:p>
        </w:tc>
      </w:tr>
    </w:tbl>
    <w:p w:rsidR="003755F0" w:rsidRPr="003755F0" w:rsidP="003755F0" w14:paraId="29723C9E"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1E8C4D19" w14:textId="77777777">
      <w:pPr>
        <w:widowControl w:val="0"/>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 основі визначеного значення матеріалоємності випуску в парку розраховується сума податкового кредиту, що становить 20% від одержаного обсягу. Поряд з цим, визначивши далі податкові зобов’язання учасників індустріального парку зі сплати ПДВ, можна розрахувати їх чистий внесок у сплату цього податку до бюджету як різницю між значенням цих зобов’язань та сумою податкового кредиту. Розрахунки свідчать, що сплата ПДВ учасниками й іншими суб’єктами парку сягне 623,7 млн грн на рік у 2035 році (табл. 15).</w:t>
      </w:r>
    </w:p>
    <w:p w:rsidR="003755F0" w:rsidRPr="003755F0" w:rsidP="003755F0" w14:paraId="07766771" w14:textId="77777777">
      <w:pPr>
        <w:widowControl w:val="0"/>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646B05BB" w14:textId="77777777">
      <w:pPr>
        <w:tabs>
          <w:tab w:val="left" w:pos="851"/>
        </w:tabs>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15.</w:t>
      </w:r>
      <w:r w:rsidRPr="003755F0">
        <w:rPr>
          <w:rFonts w:ascii="Times New Roman" w:eastAsia="Calibri" w:hAnsi="Times New Roman" w:cs="Times New Roman"/>
          <w:kern w:val="2"/>
          <w:sz w:val="28"/>
          <w:szCs w:val="28"/>
          <w:lang w:eastAsia="en-US"/>
          <w14:ligatures w14:val="standardContextual"/>
        </w:rPr>
        <w:t xml:space="preserve"> Розрахунок сплати ПДВ учасниками ІП «БУДШЛЯХМАШ», млн грн</w:t>
      </w:r>
    </w:p>
    <w:tbl>
      <w:tblPr>
        <w:tblStyle w:val="13"/>
        <w:tblW w:w="0" w:type="auto"/>
        <w:tblInd w:w="0" w:type="dxa"/>
        <w:tblLook w:val="04A0"/>
      </w:tblPr>
      <w:tblGrid>
        <w:gridCol w:w="2894"/>
        <w:gridCol w:w="937"/>
        <w:gridCol w:w="943"/>
        <w:gridCol w:w="943"/>
        <w:gridCol w:w="942"/>
        <w:gridCol w:w="943"/>
        <w:gridCol w:w="943"/>
        <w:gridCol w:w="943"/>
      </w:tblGrid>
      <w:tr w14:paraId="55CF9A16"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78C7D329" w14:textId="77777777">
            <w:pPr>
              <w:tabs>
                <w:tab w:val="left" w:pos="851"/>
              </w:tabs>
              <w:spacing w:before="80" w:after="80"/>
              <w:jc w:val="center"/>
              <w:rPr>
                <w:rFonts w:ascii="Times New Roman" w:hAnsi="Times New Roman"/>
                <w:b/>
                <w:bCs/>
                <w:sz w:val="24"/>
                <w:szCs w:val="24"/>
              </w:rPr>
            </w:pPr>
            <w:r w:rsidRPr="003755F0">
              <w:rPr>
                <w:rFonts w:ascii="Times New Roman" w:eastAsia="Times New Roman" w:hAnsi="Times New Roman"/>
                <w:b/>
                <w:bCs/>
                <w:sz w:val="24"/>
                <w:szCs w:val="24"/>
              </w:rPr>
              <w:t>Сфера діяльності</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4FCD23E"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21A623A"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9370C69"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FE3DA9A"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3464A92"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AA78A00"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865D600"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2035</w:t>
            </w:r>
          </w:p>
        </w:tc>
      </w:tr>
      <w:tr w14:paraId="6195E867" w14:textId="77777777" w:rsidTr="003755F0">
        <w:tblPrEx>
          <w:tblW w:w="0" w:type="auto"/>
          <w:tblInd w:w="0" w:type="dxa"/>
          <w:tblLook w:val="04A0"/>
        </w:tblPrEx>
        <w:tc>
          <w:tcPr>
            <w:tcW w:w="9627" w:type="dxa"/>
            <w:gridSpan w:val="8"/>
            <w:tcBorders>
              <w:top w:val="single" w:sz="4" w:space="0" w:color="auto"/>
              <w:left w:val="single" w:sz="4" w:space="0" w:color="auto"/>
              <w:bottom w:val="single" w:sz="4" w:space="0" w:color="auto"/>
              <w:right w:val="single" w:sz="4" w:space="0" w:color="auto"/>
            </w:tcBorders>
            <w:hideMark/>
          </w:tcPr>
          <w:p w:rsidR="003755F0" w:rsidRPr="003755F0" w:rsidP="003755F0" w14:paraId="185720E6" w14:textId="77777777">
            <w:pPr>
              <w:tabs>
                <w:tab w:val="left" w:pos="851"/>
              </w:tabs>
              <w:spacing w:before="40"/>
              <w:ind w:right="-57"/>
              <w:rPr>
                <w:rFonts w:ascii="Times New Roman" w:eastAsia="Times New Roman" w:hAnsi="Times New Roman"/>
                <w:b/>
                <w:bCs/>
                <w:sz w:val="24"/>
                <w:szCs w:val="24"/>
              </w:rPr>
            </w:pPr>
            <w:r w:rsidRPr="003755F0">
              <w:rPr>
                <w:rFonts w:ascii="Times New Roman" w:eastAsia="Times New Roman" w:hAnsi="Times New Roman"/>
                <w:b/>
                <w:bCs/>
                <w:sz w:val="24"/>
                <w:szCs w:val="24"/>
              </w:rPr>
              <w:t>Податковий кредит зі сплати ПДВ</w:t>
            </w:r>
          </w:p>
        </w:tc>
      </w:tr>
      <w:tr w14:paraId="74B851F1"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4F0190E2"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20034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588,8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2B423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814,2</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B9910E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1126,1</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A293EB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1171,1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58989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1218,0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E216EB"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1266,7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96153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1317,4</w:t>
            </w:r>
          </w:p>
        </w:tc>
      </w:tr>
      <w:tr w14:paraId="2A6EFEA4"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5E2C7386"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A58C7F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AFBA12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22,9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263046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31,7</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ACC12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32,9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D7AD7E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34,3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CBA620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35,6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4EC88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37,1</w:t>
            </w:r>
          </w:p>
        </w:tc>
      </w:tr>
      <w:tr w14:paraId="293E4445"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7F2BA421"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8447BE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54,2</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53095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62,0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A9A2B1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91,0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730A8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94,7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368F28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98,5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2E0CE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102,4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DB2A3A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106,5</w:t>
            </w:r>
          </w:p>
        </w:tc>
      </w:tr>
      <w:tr w14:paraId="7E2AA142"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54CDE0C9"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Інші послуги</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35511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D73CF0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23,2</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EDAB92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FD028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57B3B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19,5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963AD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20,3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15B146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21,1</w:t>
            </w:r>
          </w:p>
        </w:tc>
      </w:tr>
      <w:tr w14:paraId="7859B274"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44796C1E" w14:textId="77777777">
            <w:pPr>
              <w:tabs>
                <w:tab w:val="left" w:pos="851"/>
              </w:tabs>
              <w:ind w:right="-57"/>
              <w:jc w:val="both"/>
              <w:rPr>
                <w:rFonts w:ascii="Times New Roman" w:eastAsia="Times New Roman" w:hAnsi="Times New Roman"/>
                <w:sz w:val="24"/>
                <w:szCs w:val="24"/>
              </w:rPr>
            </w:pPr>
            <w:r w:rsidRPr="003755F0">
              <w:rPr>
                <w:rFonts w:ascii="Times New Roman" w:eastAsia="Times New Roman" w:hAnsi="Times New Roman"/>
                <w:sz w:val="24"/>
                <w:szCs w:val="24"/>
              </w:rPr>
              <w:t>Разом</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35A09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672,5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5E13E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922,3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12E38F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1266,8</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4D56D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1317,5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08D97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1370,2</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8AC51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1425,0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B8D1E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1482,0</w:t>
            </w:r>
          </w:p>
        </w:tc>
      </w:tr>
      <w:tr w14:paraId="7D60D3E2" w14:textId="77777777" w:rsidTr="003755F0">
        <w:tblPrEx>
          <w:tblW w:w="0" w:type="auto"/>
          <w:tblInd w:w="0" w:type="dxa"/>
          <w:tblLook w:val="04A0"/>
        </w:tblPrEx>
        <w:tc>
          <w:tcPr>
            <w:tcW w:w="9627" w:type="dxa"/>
            <w:gridSpan w:val="8"/>
            <w:tcBorders>
              <w:top w:val="single" w:sz="4" w:space="0" w:color="auto"/>
              <w:left w:val="single" w:sz="4" w:space="0" w:color="auto"/>
              <w:bottom w:val="single" w:sz="4" w:space="0" w:color="auto"/>
              <w:right w:val="single" w:sz="4" w:space="0" w:color="auto"/>
            </w:tcBorders>
            <w:hideMark/>
          </w:tcPr>
          <w:p w:rsidR="003755F0" w:rsidRPr="003755F0" w:rsidP="003755F0" w14:paraId="2420120A" w14:textId="77777777">
            <w:pPr>
              <w:tabs>
                <w:tab w:val="left" w:pos="851"/>
              </w:tabs>
              <w:spacing w:before="40"/>
              <w:ind w:right="-57"/>
              <w:rPr>
                <w:rFonts w:ascii="Times New Roman" w:eastAsia="Times New Roman" w:hAnsi="Times New Roman"/>
                <w:b/>
                <w:bCs/>
                <w:sz w:val="24"/>
                <w:szCs w:val="24"/>
              </w:rPr>
            </w:pPr>
            <w:r w:rsidRPr="003755F0">
              <w:rPr>
                <w:rFonts w:ascii="Times New Roman" w:eastAsia="Times New Roman" w:hAnsi="Times New Roman"/>
                <w:b/>
                <w:bCs/>
                <w:sz w:val="24"/>
                <w:szCs w:val="24"/>
              </w:rPr>
              <w:t xml:space="preserve">Податкові зобов’язання зі сплати ПДВ </w:t>
            </w:r>
          </w:p>
        </w:tc>
      </w:tr>
      <w:tr w14:paraId="3CE69D4A"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06AD8588"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E872C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836,5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87CA8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1156,9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718A8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1600,0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DBABF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1664,0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60FD9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1730,6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8EE7CE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1799,8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3A6FF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1871,8</w:t>
            </w:r>
          </w:p>
        </w:tc>
      </w:tr>
      <w:tr w14:paraId="69326085"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762D070E"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874A8D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23,5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E7ED4A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32,5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2B1684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45,0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AFB5D9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46,8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41465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48,7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B352A9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50,6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AF9D4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52,6</w:t>
            </w:r>
          </w:p>
        </w:tc>
      </w:tr>
      <w:tr w14:paraId="1C79F846"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4CADCE71"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2D5B61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77,1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B87A6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88,1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3CDC0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129,4</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CD094E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134,5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ED8F3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139,9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C9C831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145,5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B5D7C6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151,3</w:t>
            </w:r>
          </w:p>
        </w:tc>
      </w:tr>
      <w:tr w14:paraId="34993C1F"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0E365725"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Інші послуги</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B9E56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7A1AA4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33,0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00D6EA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25,6</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E5B043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26,7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BD7C1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27,7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4E241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28,8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4CC81B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30,0</w:t>
            </w:r>
          </w:p>
        </w:tc>
      </w:tr>
      <w:tr w14:paraId="6B14A513"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75A447A7"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Разом</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A5DBC1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955,5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904AF5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1310,5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C699C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1800,0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0661F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1872,0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0E88E6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1946,9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AAF6A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2024,8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DC64A1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2105,7</w:t>
            </w:r>
          </w:p>
        </w:tc>
      </w:tr>
      <w:tr w14:paraId="3288A82A" w14:textId="77777777" w:rsidTr="003755F0">
        <w:tblPrEx>
          <w:tblW w:w="0" w:type="auto"/>
          <w:tblInd w:w="0" w:type="dxa"/>
          <w:tblLook w:val="04A0"/>
        </w:tblPrEx>
        <w:tc>
          <w:tcPr>
            <w:tcW w:w="9627" w:type="dxa"/>
            <w:gridSpan w:val="8"/>
            <w:tcBorders>
              <w:top w:val="single" w:sz="4" w:space="0" w:color="auto"/>
              <w:left w:val="single" w:sz="4" w:space="0" w:color="auto"/>
              <w:bottom w:val="single" w:sz="4" w:space="0" w:color="auto"/>
              <w:right w:val="single" w:sz="4" w:space="0" w:color="auto"/>
            </w:tcBorders>
            <w:hideMark/>
          </w:tcPr>
          <w:p w:rsidR="003755F0" w:rsidRPr="003755F0" w:rsidP="003755F0" w14:paraId="120DB295" w14:textId="77777777">
            <w:pPr>
              <w:tabs>
                <w:tab w:val="left" w:pos="851"/>
              </w:tabs>
              <w:spacing w:before="40"/>
              <w:ind w:right="-57"/>
              <w:rPr>
                <w:rFonts w:ascii="Times New Roman" w:eastAsia="Times New Roman" w:hAnsi="Times New Roman"/>
                <w:b/>
                <w:bCs/>
                <w:sz w:val="24"/>
                <w:szCs w:val="24"/>
              </w:rPr>
            </w:pPr>
            <w:r w:rsidRPr="003755F0">
              <w:rPr>
                <w:rFonts w:ascii="Times New Roman" w:eastAsia="Times New Roman" w:hAnsi="Times New Roman"/>
                <w:b/>
                <w:bCs/>
                <w:sz w:val="24"/>
                <w:szCs w:val="24"/>
              </w:rPr>
              <w:t>Очікувана сплата ПДВ</w:t>
            </w:r>
          </w:p>
        </w:tc>
      </w:tr>
      <w:tr w14:paraId="2551DB5A"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3FA82947"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Виробництво промислової продукції</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44505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247,8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4CB521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342,7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18AAC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473,9</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5B474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492,9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CABCEB"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512,6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CBE77E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533,1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20A044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554,4</w:t>
            </w:r>
          </w:p>
        </w:tc>
      </w:tr>
      <w:tr w14:paraId="2A8C88EB"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5058C5D7"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Ремонт машин та устаткування</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AAA12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4F4F2B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40F39A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13,3</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723B53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EB573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27CE1B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EB3CE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15,6</w:t>
            </w:r>
          </w:p>
        </w:tc>
      </w:tr>
      <w:tr w14:paraId="7326D534"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6C6D63C7"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Транспортне і складське господарство</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99C34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22,8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E5498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26,1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432FA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38,3</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88624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39,8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A2E14C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41,4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4DF125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43,1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CF98D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44,8</w:t>
            </w:r>
          </w:p>
        </w:tc>
      </w:tr>
      <w:tr w14:paraId="610CD755"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33CE2427" w14:textId="77777777">
            <w:pPr>
              <w:tabs>
                <w:tab w:val="left" w:pos="851"/>
              </w:tabs>
              <w:ind w:right="-57"/>
              <w:jc w:val="both"/>
              <w:rPr>
                <w:rFonts w:ascii="Times New Roman" w:eastAsia="Times New Roman" w:hAnsi="Times New Roman"/>
                <w:sz w:val="24"/>
                <w:szCs w:val="24"/>
              </w:rPr>
            </w:pPr>
            <w:r w:rsidRPr="003755F0">
              <w:rPr>
                <w:rFonts w:ascii="Times New Roman" w:eastAsia="Times New Roman" w:hAnsi="Times New Roman"/>
                <w:sz w:val="24"/>
                <w:szCs w:val="24"/>
              </w:rPr>
              <w:t>Інші послуги</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4DB42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E05EB2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1C0C7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7,6</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17197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8386A7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8,2</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758D2F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A1F3A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8,9</w:t>
            </w:r>
          </w:p>
        </w:tc>
      </w:tr>
      <w:tr w14:paraId="5EC21042"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44ADC25A" w14:textId="77777777">
            <w:pPr>
              <w:tabs>
                <w:tab w:val="left" w:pos="851"/>
              </w:tabs>
              <w:ind w:right="-57"/>
              <w:jc w:val="both"/>
              <w:rPr>
                <w:rFonts w:ascii="Times New Roman" w:eastAsia="Times New Roman" w:hAnsi="Times New Roman"/>
                <w:sz w:val="24"/>
                <w:szCs w:val="24"/>
              </w:rPr>
            </w:pPr>
            <w:r w:rsidRPr="003755F0">
              <w:rPr>
                <w:rFonts w:ascii="Times New Roman" w:eastAsia="Times New Roman" w:hAnsi="Times New Roman"/>
                <w:sz w:val="24"/>
                <w:szCs w:val="24"/>
              </w:rPr>
              <w:t>Разом</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905D4C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283,0</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C1C21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388,2</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73F013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533,2</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1E31D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554,5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6AA19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576,7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C5858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599,7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9F7E6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623,7</w:t>
            </w:r>
          </w:p>
        </w:tc>
      </w:tr>
    </w:tbl>
    <w:p w:rsidR="003755F0" w:rsidRPr="003755F0" w:rsidP="003755F0" w14:paraId="55F6AD1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735A1221"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Податок на прибуток</w:t>
      </w:r>
    </w:p>
    <w:p w:rsidR="003755F0" w:rsidRPr="003755F0" w:rsidP="003755F0" w14:paraId="61767B97"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У липні 2022 року набрав чинності Закон України «Про внесення змін до Податкового кодексу України щодо створення сприятливих умов для діяльності індустріальних парків в Україні» від 21 червня 2022 року №2330-IX (далі – Закон №2330), яким внесені зміни, зокрема, до Податкового кодексу України (далі – ПКУ), а саме:</w:t>
      </w:r>
    </w:p>
    <w:p w:rsidR="003755F0" w:rsidRPr="003755F0" w:rsidP="003755F0" w14:paraId="19703696" w14:textId="77777777">
      <w:pPr>
        <w:numPr>
          <w:ilvl w:val="0"/>
          <w:numId w:val="8"/>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звільнено від оподаткування прибуток учасників індустріальних парків від здійснення господарської діяльності у сферах переробної промисловості (розділ 10, клас 11.07 розділу 11, розділи 13-17, 20-33 КВЕД, крім класу 24.10 розділу 24 КВЕД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і видалення відходів; відновлення матеріалів (розділ 38 КВЕД), крім захоронення відходів, або </w:t>
      </w:r>
      <w:r w:rsidRPr="003755F0">
        <w:rPr>
          <w:rFonts w:ascii="Times New Roman" w:eastAsia="Times New Roman" w:hAnsi="Times New Roman" w:cs="Times New Roman"/>
          <w:sz w:val="28"/>
          <w:szCs w:val="28"/>
        </w:rPr>
        <w:t xml:space="preserve">науково-дослідної діяльності (розділ 72 КВЕД) виключно на території (в межах) індустріального парку, протягом десяти послідовних років. </w:t>
      </w:r>
    </w:p>
    <w:p w:rsidR="003755F0" w:rsidRPr="003755F0" w:rsidP="003755F0" w14:paraId="00EACD19"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Застосування визначених правил оподаткування допускається за умови, що учасник індустріального парку матиме статус такого учасника впродовж не менше 10 років і протягом цих десяти років: </w:t>
      </w:r>
    </w:p>
    <w:p w:rsidR="003755F0" w:rsidRPr="003755F0" w:rsidP="003755F0" w14:paraId="4ACAD8D3" w14:textId="77777777">
      <w:pPr>
        <w:numPr>
          <w:ilvl w:val="0"/>
          <w:numId w:val="8"/>
        </w:numPr>
        <w:tabs>
          <w:tab w:val="left" w:pos="567"/>
        </w:tabs>
        <w:spacing w:after="0" w:line="240" w:lineRule="auto"/>
        <w:ind w:firstLine="284"/>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w:t>
      </w:r>
    </w:p>
    <w:p w:rsidR="003755F0" w:rsidRPr="003755F0" w:rsidP="003755F0" w14:paraId="62ECFEF4" w14:textId="77777777">
      <w:pPr>
        <w:numPr>
          <w:ilvl w:val="0"/>
          <w:numId w:val="8"/>
        </w:numPr>
        <w:tabs>
          <w:tab w:val="left" w:pos="567"/>
        </w:tabs>
        <w:spacing w:after="0" w:line="240" w:lineRule="auto"/>
        <w:ind w:firstLine="284"/>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не нараховує і не виплачує дивіденди (прирівняні до них платежі) на користь власників корпоративних прав.</w:t>
      </w:r>
    </w:p>
    <w:p w:rsidR="003755F0" w:rsidRPr="003755F0" w:rsidP="003755F0" w14:paraId="38FDB5F3" w14:textId="77777777">
      <w:pPr>
        <w:tabs>
          <w:tab w:val="left" w:pos="1843"/>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Беручи до уваги вказане вище, а також оцінений обсяг валового випуску індустріального парку і середньогалузеві показники рентабельності операційної діяльності підприємств ІП, які вестимуть господарську діяльність за кодами КВЕД, не передбаченими Законом №2330, був розрахований очікуваний обсяг сплати податку на прибуток (ставка податку 18%) учасниками й іншими суб’єктами індустріального парку «БУДШЛЯХМАШ» (табл. 16).</w:t>
      </w:r>
    </w:p>
    <w:p w:rsidR="003755F0" w:rsidRPr="003755F0" w:rsidP="003755F0" w14:paraId="783A06E9"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16.</w:t>
      </w:r>
      <w:r w:rsidRPr="003755F0">
        <w:rPr>
          <w:rFonts w:ascii="Times New Roman" w:eastAsia="Calibri" w:hAnsi="Times New Roman" w:cs="Times New Roman"/>
          <w:kern w:val="2"/>
          <w:sz w:val="28"/>
          <w:szCs w:val="28"/>
          <w:lang w:eastAsia="en-US"/>
          <w14:ligatures w14:val="standardContextual"/>
        </w:rPr>
        <w:t xml:space="preserve"> Розрахунок податку на прибуток учасників ІП «БУДШЛЯХМАШ», млн грн</w:t>
      </w:r>
    </w:p>
    <w:tbl>
      <w:tblPr>
        <w:tblStyle w:val="13"/>
        <w:tblW w:w="0" w:type="auto"/>
        <w:tblInd w:w="0" w:type="dxa"/>
        <w:tblLook w:val="04A0"/>
      </w:tblPr>
      <w:tblGrid>
        <w:gridCol w:w="2610"/>
        <w:gridCol w:w="975"/>
        <w:gridCol w:w="978"/>
        <w:gridCol w:w="985"/>
        <w:gridCol w:w="985"/>
        <w:gridCol w:w="985"/>
        <w:gridCol w:w="985"/>
        <w:gridCol w:w="985"/>
      </w:tblGrid>
      <w:tr w14:paraId="0BA200F4"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65281E77" w14:textId="77777777">
            <w:pPr>
              <w:tabs>
                <w:tab w:val="left" w:pos="851"/>
              </w:tabs>
              <w:spacing w:before="80" w:after="80"/>
              <w:jc w:val="center"/>
              <w:rPr>
                <w:rFonts w:ascii="Times New Roman" w:hAnsi="Times New Roman"/>
                <w:b/>
                <w:bCs/>
                <w:sz w:val="24"/>
                <w:szCs w:val="24"/>
              </w:rPr>
            </w:pPr>
            <w:r w:rsidRPr="003755F0">
              <w:rPr>
                <w:rFonts w:ascii="Times New Roman" w:eastAsia="Times New Roman" w:hAnsi="Times New Roman"/>
                <w:b/>
                <w:bCs/>
                <w:sz w:val="24"/>
                <w:szCs w:val="24"/>
              </w:rPr>
              <w:t>Сфера діяльності</w:t>
            </w:r>
          </w:p>
        </w:tc>
        <w:tc>
          <w:tcPr>
            <w:tcW w:w="986"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F25A4F4"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2029</w:t>
            </w:r>
          </w:p>
        </w:tc>
        <w:tc>
          <w:tcPr>
            <w:tcW w:w="989"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23609CB"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2030</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E2292D4"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2031</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F67A004"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2032</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35727A7E"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2033</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3D200BB"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2034</w:t>
            </w:r>
          </w:p>
        </w:tc>
        <w:tc>
          <w:tcPr>
            <w:tcW w:w="997"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A72A7F4" w14:textId="77777777">
            <w:pPr>
              <w:tabs>
                <w:tab w:val="left" w:pos="851"/>
              </w:tabs>
              <w:spacing w:before="80" w:after="80"/>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2035</w:t>
            </w:r>
          </w:p>
        </w:tc>
      </w:tr>
      <w:tr w14:paraId="2506ABA2"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610B44CA"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Валовий випуск промислових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85AE36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4300,4</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D2E77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5947,3</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305D20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8225,0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568F8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8554,0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0CC66E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8896,2</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95D09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9252,0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A6F25B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9622,1</w:t>
            </w:r>
          </w:p>
        </w:tc>
      </w:tr>
      <w:tr w14:paraId="0553ED8E"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0BF32AA4"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Середній розмір прибутку промислових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B77F5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C9C009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285,5</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CEB91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723,8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09F1E8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752,8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62772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782,9</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82252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814,2</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2D7368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846,7</w:t>
            </w:r>
          </w:p>
        </w:tc>
      </w:tr>
      <w:tr w14:paraId="21B65F8D"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7FCD1482"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Податок на прибуток промислових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98BAB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3F98C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51,4</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D5013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130,3</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B9C0BE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135,5</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C82230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140,9</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8638D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146,6</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3EF7D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152,4</w:t>
            </w:r>
          </w:p>
        </w:tc>
      </w:tr>
      <w:tr w14:paraId="65373372"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6C7C6E67"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Реінвестування нарахованого податку на прибуток у діяльність ІП</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CA44F8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8B5C9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51,4</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6BB40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130,3</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DE6E3C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135,5</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DBC7AB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140,9</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2BBC3C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146,6</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51625B"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152,4</w:t>
            </w:r>
          </w:p>
        </w:tc>
      </w:tr>
      <w:tr w14:paraId="5BE2DDD7"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11BD8D09"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Перерахування податку на прибуток в держбюджет</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FD845F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0121A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75908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635C0F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379EB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D1938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216485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r>
      <w:tr w14:paraId="352D103C" w14:textId="77777777" w:rsidTr="003755F0">
        <w:tblPrEx>
          <w:tblW w:w="0" w:type="auto"/>
          <w:tblInd w:w="0" w:type="dxa"/>
          <w:tblLook w:val="04A0"/>
        </w:tblPrEx>
        <w:tc>
          <w:tcPr>
            <w:tcW w:w="9627" w:type="dxa"/>
            <w:gridSpan w:val="8"/>
            <w:tcBorders>
              <w:top w:val="single" w:sz="4" w:space="0" w:color="auto"/>
              <w:left w:val="single" w:sz="4" w:space="0" w:color="auto"/>
              <w:bottom w:val="single" w:sz="4" w:space="0" w:color="auto"/>
              <w:right w:val="single" w:sz="4" w:space="0" w:color="auto"/>
            </w:tcBorders>
          </w:tcPr>
          <w:p w:rsidR="003755F0" w:rsidRPr="003755F0" w:rsidP="003755F0" w14:paraId="29657B04" w14:textId="77777777">
            <w:pPr>
              <w:tabs>
                <w:tab w:val="left" w:pos="851"/>
              </w:tabs>
              <w:ind w:right="-57"/>
              <w:jc w:val="right"/>
              <w:rPr>
                <w:rFonts w:ascii="Times New Roman" w:eastAsia="Times New Roman" w:hAnsi="Times New Roman"/>
                <w:sz w:val="24"/>
                <w:szCs w:val="24"/>
              </w:rPr>
            </w:pPr>
          </w:p>
        </w:tc>
      </w:tr>
      <w:tr w14:paraId="05A4D6D2"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1CD4A817"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Валовий випуск решти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41291D"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476,9</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D2FE33"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605,2</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6EBAFF"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775,0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F08CBFC"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806,0</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F866C6C"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838,2</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2FA380A"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871,8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449213"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906,6</w:t>
            </w:r>
          </w:p>
        </w:tc>
      </w:tr>
      <w:tr w14:paraId="0F7028B1"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1FD1E9C4"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Середній розмір прибутку решти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301D5E0"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876CBC5"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29,1</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73EC6D"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68,2</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A4203B8"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70,9</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954F76"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73,8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161C62"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76,7</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34BD67D"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79,8</w:t>
            </w:r>
          </w:p>
        </w:tc>
      </w:tr>
      <w:tr w14:paraId="248FFC91"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5CD5D961"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Податок на прибуток решти підприємств</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3014F3C"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44960FA"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5,2</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E1A28CA"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12,3</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9BC2A5"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12,8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E871820"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13,3</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FB5317B"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13,8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5381BD2"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14,4</w:t>
            </w:r>
          </w:p>
        </w:tc>
      </w:tr>
      <w:tr w14:paraId="4D9DBBAE" w14:textId="77777777" w:rsidTr="003755F0">
        <w:tblPrEx>
          <w:tblW w:w="0" w:type="auto"/>
          <w:tblInd w:w="0" w:type="dxa"/>
          <w:tblLook w:val="04A0"/>
        </w:tblPrEx>
        <w:tc>
          <w:tcPr>
            <w:tcW w:w="2667" w:type="dxa"/>
            <w:tcBorders>
              <w:top w:val="single" w:sz="4" w:space="0" w:color="auto"/>
              <w:left w:val="single" w:sz="4" w:space="0" w:color="auto"/>
              <w:bottom w:val="single" w:sz="4" w:space="0" w:color="auto"/>
              <w:right w:val="single" w:sz="4" w:space="0" w:color="auto"/>
            </w:tcBorders>
            <w:hideMark/>
          </w:tcPr>
          <w:p w:rsidR="003755F0" w:rsidRPr="003755F0" w:rsidP="003755F0" w14:paraId="42D8FFC5" w14:textId="77777777">
            <w:pPr>
              <w:tabs>
                <w:tab w:val="left" w:pos="851"/>
              </w:tabs>
              <w:ind w:right="-57"/>
              <w:rPr>
                <w:rFonts w:ascii="Times New Roman" w:eastAsia="Times New Roman" w:hAnsi="Times New Roman"/>
                <w:sz w:val="24"/>
                <w:szCs w:val="24"/>
              </w:rPr>
            </w:pPr>
            <w:r w:rsidRPr="003755F0">
              <w:rPr>
                <w:rFonts w:ascii="Times New Roman" w:eastAsia="Times New Roman" w:hAnsi="Times New Roman"/>
                <w:sz w:val="24"/>
                <w:szCs w:val="24"/>
              </w:rPr>
              <w:t>Перерахування податку на прибуток в держбюджет</w:t>
            </w:r>
          </w:p>
        </w:tc>
        <w:tc>
          <w:tcPr>
            <w:tcW w:w="98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9D91225"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0,0</w:t>
            </w:r>
          </w:p>
        </w:tc>
        <w:tc>
          <w:tcPr>
            <w:tcW w:w="989"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99C64C"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5,2</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591592"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12,3</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19D5236"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12,8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B67C918"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13,3</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9A71B7"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13,8</w:t>
            </w:r>
          </w:p>
        </w:tc>
        <w:tc>
          <w:tcPr>
            <w:tcW w:w="997"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0944B6" w14:textId="77777777">
            <w:pPr>
              <w:tabs>
                <w:tab w:val="left" w:pos="851"/>
              </w:tabs>
              <w:ind w:right="-57"/>
              <w:jc w:val="right"/>
              <w:rPr>
                <w:rFonts w:ascii="Times New Roman" w:eastAsia="Times New Roman" w:hAnsi="Times New Roman"/>
                <w:sz w:val="24"/>
                <w:szCs w:val="24"/>
              </w:rPr>
            </w:pPr>
            <w:r w:rsidRPr="003755F0">
              <w:rPr>
                <w:rFonts w:ascii="Times New Roman" w:eastAsia="Times New Roman" w:hAnsi="Times New Roman"/>
                <w:sz w:val="24"/>
                <w:szCs w:val="24"/>
              </w:rPr>
              <w:t>14,4</w:t>
            </w:r>
          </w:p>
        </w:tc>
      </w:tr>
    </w:tbl>
    <w:p w:rsidR="003755F0" w:rsidRPr="003755F0" w:rsidP="003755F0" w14:paraId="3735D994" w14:textId="77777777">
      <w:pPr>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27E8D4AA" w14:textId="77777777">
      <w:pPr>
        <w:spacing w:after="0" w:line="240" w:lineRule="auto"/>
        <w:ind w:firstLine="426"/>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 основу розрахунків покладено очікувану середню рентабельність операційної діяльності учасників та інших суб’єктів індустріального парку на рівні 8,8%. Оскільки започаткування учасниками парку виробництва (зведення і облаштування приміщень, придбання обладнання та устаткування, </w:t>
      </w:r>
      <w:r w:rsidRPr="003755F0">
        <w:rPr>
          <w:rFonts w:ascii="Times New Roman" w:eastAsia="Calibri" w:hAnsi="Times New Roman" w:cs="Times New Roman"/>
          <w:kern w:val="2"/>
          <w:sz w:val="28"/>
          <w:szCs w:val="28"/>
          <w:lang w:eastAsia="en-US"/>
          <w14:ligatures w14:val="standardContextual"/>
        </w:rPr>
        <w:t>пуско</w:t>
      </w:r>
      <w:r w:rsidRPr="003755F0">
        <w:rPr>
          <w:rFonts w:ascii="Times New Roman" w:eastAsia="Calibri" w:hAnsi="Times New Roman" w:cs="Times New Roman"/>
          <w:kern w:val="2"/>
          <w:sz w:val="28"/>
          <w:szCs w:val="28"/>
          <w:lang w:eastAsia="en-US"/>
          <w14:ligatures w14:val="standardContextual"/>
        </w:rPr>
        <w:t xml:space="preserve">-налагоджувальні роботи тощо) вимагає значних фінансових витрат та певного періоду часу для їх повного покриття отриманим прибутком, у 2029 році одержання прибутку не передбачене, а для 2030 року закладена рентабельність на рівні 4,8%. </w:t>
      </w:r>
    </w:p>
    <w:p w:rsidR="003755F0" w:rsidRPr="003755F0" w:rsidP="003755F0" w14:paraId="2A3345B1"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Податок на доходи фізичних осіб</w:t>
      </w:r>
    </w:p>
    <w:p w:rsidR="003755F0" w:rsidRPr="003755F0" w:rsidP="003755F0" w14:paraId="0C05592B"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Ставка податку з доходів фізичних осіб (найманих працівників господарюючих суб’єктів індустріального парку) складає 18%. Таким чином, відповідно до очікуваної динаміки появи нових робочих (див. табл. 11) та прогнозної динаміки оплати праці найманих працівників (див. табл. 12), річний обсяг бюджетних надходжень з ПДФО становитиме від 44,8 млн до 119,5 млн грн (табл. 17).</w:t>
      </w:r>
    </w:p>
    <w:p w:rsidR="003755F0" w:rsidRPr="003755F0" w:rsidP="003755F0" w14:paraId="443A6D22"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17.</w:t>
      </w:r>
      <w:r w:rsidRPr="003755F0">
        <w:rPr>
          <w:rFonts w:ascii="Times New Roman" w:eastAsia="Calibri" w:hAnsi="Times New Roman" w:cs="Times New Roman"/>
          <w:kern w:val="2"/>
          <w:sz w:val="28"/>
          <w:szCs w:val="28"/>
          <w:lang w:eastAsia="en-US"/>
          <w14:ligatures w14:val="standardContextual"/>
        </w:rPr>
        <w:t xml:space="preserve"> Розрахунок податку на доходи фізичних осіб ІП «БУДШЛЯХМАШ», млн грн</w:t>
      </w:r>
    </w:p>
    <w:tbl>
      <w:tblPr>
        <w:tblStyle w:val="13"/>
        <w:tblW w:w="0" w:type="auto"/>
        <w:tblInd w:w="0" w:type="dxa"/>
        <w:tblLook w:val="04A0"/>
      </w:tblPr>
      <w:tblGrid>
        <w:gridCol w:w="2782"/>
        <w:gridCol w:w="958"/>
        <w:gridCol w:w="958"/>
        <w:gridCol w:w="958"/>
        <w:gridCol w:w="958"/>
        <w:gridCol w:w="958"/>
        <w:gridCol w:w="958"/>
        <w:gridCol w:w="958"/>
      </w:tblGrid>
      <w:tr w14:paraId="6BB64B5F"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shd w:val="clear" w:color="auto" w:fill="809EC2"/>
          </w:tcPr>
          <w:p w:rsidR="003755F0" w:rsidRPr="003755F0" w:rsidP="003755F0" w14:paraId="10799921" w14:textId="77777777">
            <w:pPr>
              <w:tabs>
                <w:tab w:val="left" w:pos="851"/>
              </w:tabs>
              <w:jc w:val="center"/>
              <w:rPr>
                <w:rFonts w:ascii="Times New Roman" w:hAnsi="Times New Roman"/>
                <w:b/>
                <w:bCs/>
                <w:sz w:val="24"/>
                <w:szCs w:val="24"/>
              </w:rPr>
            </w:pP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3F4506C"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2029</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EBDF302"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2030</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8208147"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2031</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20C237C"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2032</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6BA29B6"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2033</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EDEE08B"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2034</w:t>
            </w:r>
          </w:p>
        </w:tc>
        <w:tc>
          <w:tcPr>
            <w:tcW w:w="97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3758FB87"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2035</w:t>
            </w:r>
          </w:p>
        </w:tc>
      </w:tr>
      <w:tr w14:paraId="3C9CE37D"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B7679D7"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промислових підприємств</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B2D108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27,8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E0330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44,2</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129CE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64,2</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319884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67,5</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8E078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70,8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4C28F1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74,4</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6F769A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78,1</w:t>
            </w:r>
          </w:p>
        </w:tc>
      </w:tr>
      <w:tr w14:paraId="51C5F27F"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D0189C"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транспортно-логістичної інфраструктури</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F4D0F9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5,7</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A5BAB1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9BF2A7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14,5</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CC9EA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15,2</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5EF1F7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16,0</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971E4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D7161E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17,6</w:t>
            </w:r>
          </w:p>
        </w:tc>
      </w:tr>
      <w:tr w14:paraId="78E94F49"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F4DD96"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підприємств сфери послуг</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9E5891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6,4</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5C97A7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9,6</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D6C272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261F8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93CE9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13,4</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6A37B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8E79FC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14,8</w:t>
            </w:r>
          </w:p>
        </w:tc>
      </w:tr>
      <w:tr w14:paraId="4734FF3A"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99393FD"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Адміністрація і співробітники керуючої компанії</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DA11D1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8E6B0F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3,3</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1F958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4,6</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B80C7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4,9</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C2584B"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CC1F7C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5,3</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84B98E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5,6</w:t>
            </w:r>
          </w:p>
        </w:tc>
      </w:tr>
      <w:tr w14:paraId="61B08655"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73027D7"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господарсько-побутового блоку</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D753FC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1,7</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1D1CA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5E1C8B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4,7</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DE640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3,0</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BB0664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51077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3,3</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49921B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3,5</w:t>
            </w:r>
          </w:p>
        </w:tc>
      </w:tr>
      <w:tr w14:paraId="6F113935"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3755F0" w:rsidRPr="003755F0" w:rsidP="003755F0" w14:paraId="4C1E64F0" w14:textId="77777777">
            <w:pPr>
              <w:tabs>
                <w:tab w:val="left" w:pos="851"/>
              </w:tabs>
              <w:jc w:val="both"/>
              <w:rPr>
                <w:rFonts w:ascii="Times New Roman" w:eastAsia="Times New Roman" w:hAnsi="Times New Roman"/>
                <w:sz w:val="24"/>
                <w:szCs w:val="24"/>
              </w:rPr>
            </w:pPr>
            <w:r w:rsidRPr="003755F0">
              <w:rPr>
                <w:rFonts w:ascii="Times New Roman" w:eastAsia="Times New Roman" w:hAnsi="Times New Roman"/>
                <w:sz w:val="24"/>
                <w:szCs w:val="24"/>
              </w:rPr>
              <w:t>Всього ПДФО</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1320E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44,8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E2365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71,0</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64B0A6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100,2</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7DA319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103,2</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8AD151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108,4</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31000A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113,8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7F50D6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119,5</w:t>
            </w:r>
          </w:p>
        </w:tc>
      </w:tr>
      <w:tr w14:paraId="556AB268" w14:textId="77777777" w:rsidTr="003755F0">
        <w:tblPrEx>
          <w:tblW w:w="0" w:type="auto"/>
          <w:tblInd w:w="0" w:type="dxa"/>
          <w:tblLook w:val="04A0"/>
        </w:tblPrEx>
        <w:tc>
          <w:tcPr>
            <w:tcW w:w="2830" w:type="dxa"/>
            <w:tcBorders>
              <w:top w:val="single" w:sz="4" w:space="0" w:color="auto"/>
              <w:left w:val="single" w:sz="4" w:space="0" w:color="auto"/>
              <w:bottom w:val="single" w:sz="4" w:space="0" w:color="auto"/>
              <w:right w:val="single" w:sz="4" w:space="0" w:color="auto"/>
            </w:tcBorders>
            <w:hideMark/>
          </w:tcPr>
          <w:p w:rsidR="003755F0" w:rsidRPr="003755F0" w:rsidP="003755F0" w14:paraId="02CC96F3" w14:textId="77777777">
            <w:pPr>
              <w:tabs>
                <w:tab w:val="left" w:pos="851"/>
              </w:tabs>
              <w:ind w:left="176"/>
              <w:rPr>
                <w:rFonts w:ascii="Times New Roman" w:eastAsia="Times New Roman" w:hAnsi="Times New Roman"/>
                <w:sz w:val="24"/>
                <w:szCs w:val="24"/>
              </w:rPr>
            </w:pPr>
            <w:r w:rsidRPr="003755F0">
              <w:rPr>
                <w:rFonts w:ascii="Times New Roman" w:eastAsia="Times New Roman" w:hAnsi="Times New Roman"/>
                <w:sz w:val="24"/>
                <w:szCs w:val="24"/>
              </w:rPr>
              <w:t>у т. ч. відрахування в місцевий бюджет (64%)</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DC7A2F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28,7</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EC3005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45,5</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F220F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64,1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8E87A1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66,1</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9A027E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69,4</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26E20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72,8</w:t>
            </w:r>
          </w:p>
        </w:tc>
        <w:tc>
          <w:tcPr>
            <w:tcW w:w="97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EBA8AC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76,5</w:t>
            </w:r>
          </w:p>
        </w:tc>
      </w:tr>
    </w:tbl>
    <w:p w:rsidR="003755F0" w:rsidRPr="003755F0" w:rsidP="003755F0" w14:paraId="794B2FF2" w14:textId="77777777">
      <w:pPr>
        <w:tabs>
          <w:tab w:val="left" w:pos="851"/>
        </w:tabs>
        <w:spacing w:after="0" w:line="240" w:lineRule="auto"/>
        <w:jc w:val="both"/>
        <w:rPr>
          <w:rFonts w:ascii="Times New Roman" w:eastAsia="Calibri" w:hAnsi="Times New Roman" w:cs="Times New Roman"/>
          <w:kern w:val="2"/>
          <w:sz w:val="28"/>
          <w:szCs w:val="28"/>
          <w:lang w:eastAsia="en-US"/>
          <w14:ligatures w14:val="standardContextual"/>
        </w:rPr>
      </w:pPr>
    </w:p>
    <w:p w:rsidR="003755F0" w:rsidRPr="003755F0" w:rsidP="003755F0" w14:paraId="547B53E5"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 поточними умовами оподаткування та бюджетного регулювання (зокрема, стаття 49 ЗУ «Про державний бюджет України на 2025 рік» № 4059-IX від 19.11.2024 р.), до загального фонду бюджетів сільських, селищних, міських територіальних громад ПДФО зараховується у розмірі 64%. Враховуючи попередній розрахунок, можна зробити прогноз, що сума податку, яка надійде до місцевого бюджету, становитиме від 28,7 млн до 76,5 млн грн на рік. За  весь період з 2029 по 2035 роки загальний обсяг ПДФО, який надійде з індустріального парку до місцевого бюджету, сягне 423,1 млн грн.</w:t>
      </w:r>
    </w:p>
    <w:p w:rsidR="003755F0" w:rsidRPr="003755F0" w:rsidP="003755F0" w14:paraId="1A4E5122"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rsidR="003755F0" w:rsidRPr="003755F0" w:rsidP="003755F0" w14:paraId="498B5021"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Військовий збір</w:t>
      </w:r>
    </w:p>
    <w:p w:rsidR="003755F0" w:rsidRPr="003755F0" w:rsidP="003755F0" w14:paraId="008DE679"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Відповідно до Закону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 4015-IX від 10 жовтня 2024 року, з 1 січня 2025 року ставка військового збору, що стягується з доходів найманих працівників, збільшена з 1,5% до 5%. Це підвищення спрямоване на додаткове фінансування оборонних потреб та забезпечення стабільності бюджету в умовах воєнного стану. З урахуванням цієї зміни очікувані бюджетні надходження від сплати військового збору найманими працівниками ІП «БУДШЛЯХМАШ» оцінюються від 12,5 млн у 2029 році до 33,2 млн грн за підсумками 2035 року. </w:t>
      </w:r>
    </w:p>
    <w:p w:rsidR="003755F0" w:rsidRPr="003755F0" w:rsidP="003755F0" w14:paraId="5ECF5352"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Очікуваний розподіл нарахувань наведено у табл. 18.</w:t>
      </w:r>
    </w:p>
    <w:p w:rsidR="003755F0" w:rsidRPr="003755F0" w:rsidP="003755F0" w14:paraId="52BC66CD"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18.</w:t>
      </w:r>
      <w:r w:rsidRPr="003755F0">
        <w:rPr>
          <w:rFonts w:ascii="Times New Roman" w:eastAsia="Calibri" w:hAnsi="Times New Roman" w:cs="Times New Roman"/>
          <w:kern w:val="2"/>
          <w:sz w:val="28"/>
          <w:szCs w:val="28"/>
          <w:lang w:eastAsia="en-US"/>
          <w14:ligatures w14:val="standardContextual"/>
        </w:rPr>
        <w:t xml:space="preserve"> Розрахунок військового збору з ІП «БУДШЛЯХМАШ», млн грн</w:t>
      </w:r>
    </w:p>
    <w:tbl>
      <w:tblPr>
        <w:tblStyle w:val="13"/>
        <w:tblW w:w="0" w:type="auto"/>
        <w:tblInd w:w="0" w:type="dxa"/>
        <w:tblLook w:val="04A0"/>
      </w:tblPr>
      <w:tblGrid>
        <w:gridCol w:w="2917"/>
        <w:gridCol w:w="938"/>
        <w:gridCol w:w="939"/>
        <w:gridCol w:w="939"/>
        <w:gridCol w:w="938"/>
        <w:gridCol w:w="939"/>
        <w:gridCol w:w="939"/>
        <w:gridCol w:w="939"/>
      </w:tblGrid>
      <w:tr w14:paraId="2163071D"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shd w:val="clear" w:color="auto" w:fill="809EC2"/>
          </w:tcPr>
          <w:p w:rsidR="003755F0" w:rsidRPr="003755F0" w:rsidP="003755F0" w14:paraId="20C0AF00" w14:textId="77777777">
            <w:pPr>
              <w:tabs>
                <w:tab w:val="left" w:pos="851"/>
              </w:tabs>
              <w:jc w:val="center"/>
              <w:rPr>
                <w:rFonts w:ascii="Times New Roman" w:hAnsi="Times New Roman"/>
                <w:b/>
                <w:bCs/>
                <w:sz w:val="24"/>
                <w:szCs w:val="24"/>
              </w:rPr>
            </w:pP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B065564"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2029</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D068E41"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2030</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F8C44E7"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2031</w:t>
            </w:r>
          </w:p>
        </w:tc>
        <w:tc>
          <w:tcPr>
            <w:tcW w:w="95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33C4456"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2032</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5A1658BA"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2033</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2656CE55"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2034</w:t>
            </w:r>
          </w:p>
        </w:tc>
        <w:tc>
          <w:tcPr>
            <w:tcW w:w="95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B3668E5"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2035</w:t>
            </w:r>
          </w:p>
        </w:tc>
      </w:tr>
      <w:tr w14:paraId="53B43519"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F14A8FE"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промислових підприємств</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A400B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CBC9B2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A98771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17,8</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61C897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D350B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19,7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8CD0B5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20,7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D39210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21,7</w:t>
            </w:r>
          </w:p>
        </w:tc>
      </w:tr>
      <w:tr w14:paraId="4615B1CC"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365E516"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транспортно-логістичної інфраструктури</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712512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4BF84E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2598B6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4,0</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46865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4,2</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C9CF58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84E74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1AA874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4,9</w:t>
            </w:r>
          </w:p>
        </w:tc>
      </w:tr>
      <w:tr w14:paraId="772B6B25"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52BF9E"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підприємств сфери послуг</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8DE87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D1AFAF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F19926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3,4</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11F1E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27AE4A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A255C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1C2545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4,1</w:t>
            </w:r>
          </w:p>
        </w:tc>
      </w:tr>
      <w:tr w14:paraId="7282EF2F"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7BA51D7"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Адміністрація і співробітники керуючої компанії</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1E2986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CFE2F9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E7585B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D974B4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02F59B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920F3B"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55F426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w:t>
            </w:r>
          </w:p>
        </w:tc>
      </w:tr>
      <w:tr w14:paraId="546B9888"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41EDDC1"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господарсько-побутового блоку</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2DFC5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237986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9DDD99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EF0741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0,8</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9A20C6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C22C2B"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0,9</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C2577A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1,0</w:t>
            </w:r>
          </w:p>
        </w:tc>
      </w:tr>
      <w:tr w14:paraId="0082C424" w14:textId="77777777" w:rsidTr="003755F0">
        <w:tblPrEx>
          <w:tblW w:w="0" w:type="auto"/>
          <w:tblInd w:w="0" w:type="dxa"/>
          <w:tblLook w:val="04A0"/>
        </w:tblPrEx>
        <w:tc>
          <w:tcPr>
            <w:tcW w:w="2972" w:type="dxa"/>
            <w:tcBorders>
              <w:top w:val="single" w:sz="4" w:space="0" w:color="auto"/>
              <w:left w:val="single" w:sz="4" w:space="0" w:color="auto"/>
              <w:bottom w:val="single" w:sz="4" w:space="0" w:color="auto"/>
              <w:right w:val="single" w:sz="4" w:space="0" w:color="auto"/>
            </w:tcBorders>
            <w:hideMark/>
          </w:tcPr>
          <w:p w:rsidR="003755F0" w:rsidRPr="003755F0" w:rsidP="003755F0" w14:paraId="3EC77DF6" w14:textId="77777777">
            <w:pPr>
              <w:tabs>
                <w:tab w:val="left" w:pos="851"/>
              </w:tabs>
              <w:jc w:val="both"/>
              <w:rPr>
                <w:rFonts w:ascii="Times New Roman" w:eastAsia="Times New Roman" w:hAnsi="Times New Roman"/>
                <w:sz w:val="24"/>
                <w:szCs w:val="24"/>
              </w:rPr>
            </w:pPr>
            <w:r w:rsidRPr="003755F0">
              <w:rPr>
                <w:rFonts w:ascii="Times New Roman" w:eastAsia="Times New Roman" w:hAnsi="Times New Roman"/>
                <w:sz w:val="24"/>
                <w:szCs w:val="24"/>
              </w:rPr>
              <w:t>Всього військовий збір</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38171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12,5</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0D9B2B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19,7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A980D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27,8</w:t>
            </w:r>
          </w:p>
        </w:tc>
        <w:tc>
          <w:tcPr>
            <w:tcW w:w="95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3C00BE6"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28,7</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99549F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30,1</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F42CF7D"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31,6</w:t>
            </w:r>
          </w:p>
        </w:tc>
        <w:tc>
          <w:tcPr>
            <w:tcW w:w="95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11EAA9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33,2</w:t>
            </w:r>
          </w:p>
        </w:tc>
      </w:tr>
    </w:tbl>
    <w:p w:rsidR="003755F0" w:rsidRPr="003755F0" w:rsidP="003755F0" w14:paraId="33AB3A6C"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AED148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України «Про внесення змін до Податкового кодексу України та деяких законодавчих актів України щодо забезпечення збалансованості бюджетних надхо</w:t>
      </w:r>
      <w:r w:rsidRPr="003755F0">
        <w:rPr>
          <w:rFonts w:ascii="Times New Roman" w:eastAsia="Calibri" w:hAnsi="Times New Roman" w:cs="Times New Roman"/>
          <w:kern w:val="2"/>
          <w:sz w:val="28"/>
          <w:szCs w:val="28"/>
          <w:lang w:eastAsia="en-US"/>
          <w14:ligatures w14:val="standardContextual"/>
        </w:rPr>
        <w:softHyphen/>
        <w:t xml:space="preserve">джень у 2016 році» від 24.12.2015 р. № 909-VIII, для підприємств розмір єдиного соціального внеску (ЄСВ) становить 22% від загального фонду заробітної плати. </w:t>
      </w:r>
    </w:p>
    <w:p w:rsidR="003755F0" w:rsidRPr="003755F0" w:rsidP="003755F0" w14:paraId="043A7055"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50F4157D"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 попередніми розрахунками, очікувана сума річних надходжень до Пенсійного фонду та фондів загальнообов’язкового державного соціального страхування, які будуть сплачені у вигляді єдиного соціального внеску підприємствами, за умови фіксованої заробітної плати та того, що розмір заробітної плати на жодного працівника не перевищуватиме максимальний розміру нарахування ЄСВ, може скласти від 54,8 млн грн у 2029 р. до 146,1 млн грн у 2035 р. Це зростання буде обумовлене поступовим розширенням діяльності парку: як збільшенням кількості працівників, так і підвищенням фонду оплати праці (табл. 19).</w:t>
      </w:r>
    </w:p>
    <w:p w:rsidR="003755F0" w:rsidRPr="003755F0" w:rsidP="003755F0" w14:paraId="3EE9477C"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1668292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350087FA"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19.</w:t>
      </w:r>
      <w:r w:rsidRPr="003755F0">
        <w:rPr>
          <w:rFonts w:ascii="Times New Roman" w:eastAsia="Calibri" w:hAnsi="Times New Roman" w:cs="Times New Roman"/>
          <w:kern w:val="2"/>
          <w:sz w:val="28"/>
          <w:szCs w:val="28"/>
          <w:lang w:eastAsia="en-US"/>
          <w14:ligatures w14:val="standardContextual"/>
        </w:rPr>
        <w:t xml:space="preserve"> Розрахунок ЄСВ з ІП «БУДШЛЯХМАШ», млн грн</w:t>
      </w:r>
    </w:p>
    <w:p w:rsidR="003755F0" w:rsidRPr="003755F0" w:rsidP="003755F0" w14:paraId="706D597C"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p>
    <w:tbl>
      <w:tblPr>
        <w:tblStyle w:val="14"/>
        <w:tblW w:w="0" w:type="auto"/>
        <w:tblInd w:w="0" w:type="dxa"/>
        <w:tblLook w:val="04A0"/>
      </w:tblPr>
      <w:tblGrid>
        <w:gridCol w:w="3052"/>
        <w:gridCol w:w="919"/>
        <w:gridCol w:w="919"/>
        <w:gridCol w:w="920"/>
        <w:gridCol w:w="919"/>
        <w:gridCol w:w="920"/>
        <w:gridCol w:w="919"/>
        <w:gridCol w:w="920"/>
      </w:tblGrid>
      <w:tr w14:paraId="0D1CF169" w14:textId="77777777" w:rsidTr="003755F0">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shd w:val="clear" w:color="auto" w:fill="809EC2"/>
          </w:tcPr>
          <w:p w:rsidR="003755F0" w:rsidRPr="003755F0" w:rsidP="003755F0" w14:paraId="2E0ED7D1" w14:textId="77777777">
            <w:pPr>
              <w:tabs>
                <w:tab w:val="left" w:pos="851"/>
              </w:tabs>
              <w:jc w:val="center"/>
              <w:rPr>
                <w:rFonts w:ascii="Times New Roman" w:hAnsi="Times New Roman"/>
                <w:b/>
                <w:bCs/>
                <w:sz w:val="24"/>
                <w:szCs w:val="24"/>
              </w:rPr>
            </w:pP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0A7A4AD1"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2029</w:t>
            </w: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1094D7E5"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2030</w:t>
            </w:r>
          </w:p>
        </w:tc>
        <w:tc>
          <w:tcPr>
            <w:tcW w:w="93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392B26DC"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2031</w:t>
            </w: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477EA861"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2032</w:t>
            </w:r>
          </w:p>
        </w:tc>
        <w:tc>
          <w:tcPr>
            <w:tcW w:w="93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610E5EA3"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2033</w:t>
            </w:r>
          </w:p>
        </w:tc>
        <w:tc>
          <w:tcPr>
            <w:tcW w:w="930"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F518567"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2034</w:t>
            </w:r>
          </w:p>
        </w:tc>
        <w:tc>
          <w:tcPr>
            <w:tcW w:w="931" w:type="dxa"/>
            <w:tcBorders>
              <w:top w:val="single" w:sz="4" w:space="0" w:color="auto"/>
              <w:left w:val="single" w:sz="4" w:space="0" w:color="auto"/>
              <w:bottom w:val="single" w:sz="4" w:space="0" w:color="auto"/>
              <w:right w:val="single" w:sz="4" w:space="0" w:color="auto"/>
            </w:tcBorders>
            <w:shd w:val="clear" w:color="auto" w:fill="809EC2"/>
            <w:vAlign w:val="center"/>
            <w:hideMark/>
          </w:tcPr>
          <w:p w:rsidR="003755F0" w:rsidRPr="003755F0" w:rsidP="003755F0" w14:paraId="7577B9B9" w14:textId="77777777">
            <w:pPr>
              <w:tabs>
                <w:tab w:val="left" w:pos="851"/>
              </w:tabs>
              <w:jc w:val="center"/>
              <w:rPr>
                <w:rFonts w:ascii="Times New Roman" w:eastAsia="Times New Roman" w:hAnsi="Times New Roman"/>
                <w:b/>
                <w:bCs/>
                <w:sz w:val="24"/>
                <w:szCs w:val="24"/>
              </w:rPr>
            </w:pPr>
            <w:r w:rsidRPr="003755F0">
              <w:rPr>
                <w:rFonts w:ascii="Times New Roman" w:eastAsia="Times New Roman" w:hAnsi="Times New Roman"/>
                <w:b/>
                <w:bCs/>
                <w:sz w:val="24"/>
                <w:szCs w:val="24"/>
              </w:rPr>
              <w:t>2035</w:t>
            </w:r>
          </w:p>
        </w:tc>
      </w:tr>
      <w:tr w14:paraId="63C4FA42" w14:textId="77777777" w:rsidTr="003755F0">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A65FEB8"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промислових підприємств</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5E9ADD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34,0</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0BDDDA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54,1</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EED286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78,5</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B3313D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82,4</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18CE99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86,6</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5E9E81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90,9</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979E14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95,4</w:t>
            </w:r>
          </w:p>
        </w:tc>
      </w:tr>
      <w:tr w14:paraId="075BB1E9" w14:textId="77777777" w:rsidTr="003755F0">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6C1AFD0"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транспортно-логістичної інфраструктури</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827F6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7,0</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5D644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14,7</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5DD194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17,7</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E1F09F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18,6</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CE0E6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19,5</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70BCF8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20,5</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B2436E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21,5</w:t>
            </w:r>
          </w:p>
        </w:tc>
      </w:tr>
      <w:tr w14:paraId="24EC1D0D" w14:textId="77777777" w:rsidTr="003755F0">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C4F7A2"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підприємств сфери послуг</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65CE057"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7,9</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4171EF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11,8</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60B5D1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14,8</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CFE3AA0"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15,6</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01C0A1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16,4</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EBB882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17,2</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B62B5F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18,0</w:t>
            </w:r>
          </w:p>
        </w:tc>
      </w:tr>
      <w:tr w14:paraId="5304A2D4" w14:textId="77777777" w:rsidTr="003755F0">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1233E69"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Адміністрація і співробітники керуючої компанії</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01E0EF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3,8</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C303AB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4,0</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14998C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5,6</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F76245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5,9</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25C091A"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6,2</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D5DD79"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6,5</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A9E392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6,9</w:t>
            </w:r>
          </w:p>
        </w:tc>
      </w:tr>
      <w:tr w14:paraId="47C6C8B6" w14:textId="77777777" w:rsidTr="003755F0">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3E78849" w14:textId="77777777">
            <w:pPr>
              <w:tabs>
                <w:tab w:val="left" w:pos="851"/>
              </w:tabs>
              <w:rPr>
                <w:rFonts w:ascii="Times New Roman" w:eastAsia="Times New Roman" w:hAnsi="Times New Roman"/>
                <w:sz w:val="24"/>
                <w:szCs w:val="24"/>
              </w:rPr>
            </w:pPr>
            <w:r w:rsidRPr="003755F0">
              <w:rPr>
                <w:rFonts w:ascii="Times New Roman" w:eastAsia="Times New Roman" w:hAnsi="Times New Roman"/>
                <w:sz w:val="24"/>
                <w:szCs w:val="24"/>
              </w:rPr>
              <w:t>Працівники господарсько-побутового блоку</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4646098"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2,1</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9DA554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2,2</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80739A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5,8</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83B6481"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3,6</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98B828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3,8</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81C4552"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4,0</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F9C3C6C"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4,2</w:t>
            </w:r>
          </w:p>
        </w:tc>
      </w:tr>
      <w:tr w14:paraId="6A5F8B3F" w14:textId="77777777" w:rsidTr="003755F0">
        <w:tblPrEx>
          <w:tblW w:w="0" w:type="auto"/>
          <w:tblInd w:w="0" w:type="dxa"/>
          <w:tblLook w:val="04A0"/>
        </w:tblPrEx>
        <w:tc>
          <w:tcPr>
            <w:tcW w:w="3114" w:type="dxa"/>
            <w:tcBorders>
              <w:top w:val="single" w:sz="4" w:space="0" w:color="auto"/>
              <w:left w:val="single" w:sz="4" w:space="0" w:color="auto"/>
              <w:bottom w:val="single" w:sz="4" w:space="0" w:color="auto"/>
              <w:right w:val="single" w:sz="4" w:space="0" w:color="auto"/>
            </w:tcBorders>
            <w:hideMark/>
          </w:tcPr>
          <w:p w:rsidR="003755F0" w:rsidRPr="003755F0" w:rsidP="003755F0" w14:paraId="300EC0EA" w14:textId="77777777">
            <w:pPr>
              <w:tabs>
                <w:tab w:val="left" w:pos="851"/>
              </w:tabs>
              <w:jc w:val="both"/>
              <w:rPr>
                <w:rFonts w:ascii="Times New Roman" w:eastAsia="Times New Roman" w:hAnsi="Times New Roman"/>
                <w:sz w:val="24"/>
                <w:szCs w:val="24"/>
              </w:rPr>
            </w:pPr>
            <w:r w:rsidRPr="003755F0">
              <w:rPr>
                <w:rFonts w:ascii="Times New Roman" w:eastAsia="Times New Roman" w:hAnsi="Times New Roman"/>
                <w:sz w:val="24"/>
                <w:szCs w:val="24"/>
              </w:rPr>
              <w:t>Всього ЄСВ</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10B9FD5"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54,8</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5FF8B8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86,8</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7981853"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122,5</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0EA0C2E"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126,2</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DE22D5B"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132,5</w:t>
            </w:r>
          </w:p>
        </w:tc>
        <w:tc>
          <w:tcPr>
            <w:tcW w:w="930"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28F2E46F"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139,1</w:t>
            </w:r>
          </w:p>
        </w:tc>
        <w:tc>
          <w:tcPr>
            <w:tcW w:w="931"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9325124" w14:textId="77777777">
            <w:pPr>
              <w:tabs>
                <w:tab w:val="left" w:pos="851"/>
              </w:tabs>
              <w:ind w:left="-57" w:right="-57"/>
              <w:jc w:val="right"/>
              <w:rPr>
                <w:rFonts w:ascii="Times New Roman" w:eastAsia="Times New Roman" w:hAnsi="Times New Roman"/>
                <w:sz w:val="24"/>
                <w:szCs w:val="24"/>
              </w:rPr>
            </w:pPr>
            <w:r w:rsidRPr="003755F0">
              <w:rPr>
                <w:rFonts w:ascii="Times New Roman" w:eastAsia="Times New Roman" w:hAnsi="Times New Roman"/>
                <w:sz w:val="24"/>
                <w:szCs w:val="24"/>
              </w:rPr>
              <w:t>146,1</w:t>
            </w:r>
          </w:p>
        </w:tc>
      </w:tr>
    </w:tbl>
    <w:p w:rsidR="003755F0" w:rsidRPr="003755F0" w:rsidP="003755F0" w14:paraId="6E6DE06D" w14:textId="77777777">
      <w:pPr>
        <w:tabs>
          <w:tab w:val="left" w:pos="851"/>
        </w:tabs>
        <w:spacing w:after="0" w:line="240" w:lineRule="auto"/>
        <w:rPr>
          <w:rFonts w:ascii="Times New Roman" w:eastAsia="Calibri" w:hAnsi="Times New Roman" w:cs="Times New Roman"/>
          <w:b/>
          <w:bCs/>
          <w:kern w:val="2"/>
          <w:sz w:val="28"/>
          <w:szCs w:val="28"/>
          <w:lang w:eastAsia="en-US"/>
          <w14:ligatures w14:val="standardContextual"/>
        </w:rPr>
      </w:pPr>
    </w:p>
    <w:p w:rsidR="003755F0" w:rsidRPr="003755F0" w:rsidP="003755F0" w14:paraId="0847AF0F"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Імпорт устаткування й обладнання</w:t>
      </w:r>
    </w:p>
    <w:p w:rsidR="003755F0" w:rsidRPr="003755F0" w:rsidP="003755F0" w14:paraId="411396DC"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rsidR="003755F0" w:rsidRPr="003755F0" w:rsidP="003755F0" w14:paraId="278F498B"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Відповідно до частини шостої статті 287 Митного кодексу України, при ввезенні нового устаткування (обладнання) та комплектуючих виробів для нього за визначеними кодами УКТ ЗЕД учасники індустріальних парків звільняються від сплати мита. </w:t>
      </w:r>
    </w:p>
    <w:p w:rsidR="003755F0" w:rsidRPr="003755F0" w:rsidP="003755F0" w14:paraId="3F05283F"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3E5CF0E"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Таке звільнення надається за умови, якщо зазначене устаткування (обладнання) та комплектуючі вироби до нього:</w:t>
      </w:r>
    </w:p>
    <w:p w:rsidR="003755F0" w:rsidRPr="003755F0" w:rsidP="003755F0" w14:paraId="62452194"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11260E46" w14:textId="77777777">
      <w:pPr>
        <w:numPr>
          <w:ilvl w:val="0"/>
          <w:numId w:val="8"/>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є новими (з дати виготовлення до дати ввезення на митну територію України пройшло не більше трьох років); </w:t>
      </w:r>
    </w:p>
    <w:p w:rsidR="003755F0" w:rsidRPr="003755F0" w:rsidP="003755F0" w14:paraId="7BFE4F4B" w14:textId="77777777">
      <w:pPr>
        <w:tabs>
          <w:tab w:val="left" w:pos="851"/>
        </w:tabs>
        <w:spacing w:after="0" w:line="240" w:lineRule="auto"/>
        <w:ind w:left="567"/>
        <w:contextualSpacing/>
        <w:jc w:val="both"/>
        <w:rPr>
          <w:rFonts w:ascii="Times New Roman" w:eastAsia="Times New Roman" w:hAnsi="Times New Roman" w:cs="Times New Roman"/>
          <w:sz w:val="28"/>
          <w:szCs w:val="28"/>
        </w:rPr>
      </w:pPr>
    </w:p>
    <w:p w:rsidR="003755F0" w:rsidRPr="003755F0" w:rsidP="003755F0" w14:paraId="6634F577" w14:textId="77777777">
      <w:pPr>
        <w:numPr>
          <w:ilvl w:val="0"/>
          <w:numId w:val="8"/>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не були у використанні; </w:t>
      </w:r>
    </w:p>
    <w:p w:rsidR="003755F0" w:rsidRPr="003755F0" w:rsidP="003755F0" w14:paraId="18B9D4F0" w14:textId="77777777">
      <w:pPr>
        <w:tabs>
          <w:tab w:val="left" w:pos="851"/>
        </w:tabs>
        <w:spacing w:after="0" w:line="240" w:lineRule="auto"/>
        <w:contextualSpacing/>
        <w:jc w:val="both"/>
        <w:rPr>
          <w:rFonts w:ascii="Times New Roman" w:eastAsia="Times New Roman" w:hAnsi="Times New Roman" w:cs="Times New Roman"/>
          <w:sz w:val="28"/>
          <w:szCs w:val="28"/>
        </w:rPr>
      </w:pPr>
    </w:p>
    <w:p w:rsidR="003755F0" w:rsidRPr="003755F0" w:rsidP="003755F0" w14:paraId="2C2AB496" w14:textId="77777777">
      <w:pPr>
        <w:numPr>
          <w:ilvl w:val="0"/>
          <w:numId w:val="8"/>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 xml:space="preserve">ввозяться учасниками індустріальних парків виключно для власного використання на території (у межах) індустріального парку без права відчуження, передання в оренду, лізинг чи інше право користування третім особам на будь-яких умовах раніше п’яти років з дати їх ввезення на митну територію України; </w:t>
      </w:r>
    </w:p>
    <w:p w:rsidR="003755F0" w:rsidRPr="003755F0" w:rsidP="003755F0" w14:paraId="7D5E9736" w14:textId="77777777">
      <w:pPr>
        <w:tabs>
          <w:tab w:val="left" w:pos="851"/>
        </w:tabs>
        <w:spacing w:after="0" w:line="240" w:lineRule="auto"/>
        <w:contextualSpacing/>
        <w:jc w:val="both"/>
        <w:rPr>
          <w:rFonts w:ascii="Times New Roman" w:eastAsia="Times New Roman" w:hAnsi="Times New Roman" w:cs="Times New Roman"/>
          <w:sz w:val="28"/>
          <w:szCs w:val="28"/>
        </w:rPr>
      </w:pPr>
    </w:p>
    <w:p w:rsidR="003755F0" w:rsidRPr="003755F0" w:rsidP="003755F0" w14:paraId="30DBDFB7" w14:textId="77777777">
      <w:pPr>
        <w:numPr>
          <w:ilvl w:val="0"/>
          <w:numId w:val="8"/>
        </w:numPr>
        <w:tabs>
          <w:tab w:val="left" w:pos="851"/>
        </w:tabs>
        <w:spacing w:after="0" w:line="240" w:lineRule="auto"/>
        <w:ind w:firstLine="567"/>
        <w:contextualSpacing/>
        <w:jc w:val="both"/>
        <w:rPr>
          <w:rFonts w:ascii="Times New Roman" w:eastAsia="Times New Roman" w:hAnsi="Times New Roman" w:cs="Times New Roman"/>
          <w:sz w:val="28"/>
          <w:szCs w:val="28"/>
        </w:rPr>
      </w:pPr>
      <w:r w:rsidRPr="003755F0">
        <w:rPr>
          <w:rFonts w:ascii="Times New Roman" w:eastAsia="Times New Roman" w:hAnsi="Times New Roman" w:cs="Times New Roman"/>
          <w:sz w:val="28"/>
          <w:szCs w:val="28"/>
        </w:rPr>
        <w:t>не мають походження з країни, визнаної державою-окупантом згідно із законом та/або державою-агресором щодо України згідно із законодавством, та/або не ввозяться з території держави-окупанта (агресора) та/або з окупованої території України, визначеної такою згідно із законом.</w:t>
      </w:r>
    </w:p>
    <w:p w:rsidR="003755F0" w:rsidRPr="003755F0" w:rsidP="003755F0" w14:paraId="7E2234E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0155C3A4"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За інформацією від інвестиційних </w:t>
      </w:r>
      <w:r w:rsidRPr="003755F0">
        <w:rPr>
          <w:rFonts w:ascii="Times New Roman" w:eastAsia="Calibri" w:hAnsi="Times New Roman" w:cs="Times New Roman"/>
          <w:kern w:val="2"/>
          <w:sz w:val="28"/>
          <w:szCs w:val="28"/>
          <w:lang w:eastAsia="en-US"/>
          <w14:ligatures w14:val="standardContextual"/>
        </w:rPr>
        <w:t>проєктів</w:t>
      </w:r>
      <w:r w:rsidRPr="003755F0">
        <w:rPr>
          <w:rFonts w:ascii="Times New Roman" w:eastAsia="Calibri" w:hAnsi="Times New Roman" w:cs="Times New Roman"/>
          <w:kern w:val="2"/>
          <w:sz w:val="28"/>
          <w:szCs w:val="28"/>
          <w:lang w:eastAsia="en-US"/>
          <w14:ligatures w14:val="standardContextual"/>
        </w:rPr>
        <w:t xml:space="preserve"> потенційних учасників індустріального парку, орієнтовна вартість імпортного обладнання, яке вони планують придбати для розгортання економічної діяльності в межах парку, сягає 420,0 млн грн. Серед імпортованого устаткування і обладнання для організації господарської діяльності в межах індустріального парку 41% (172,2 млн грн) закуповуватиметься з країн-членів ЄС. Відповідно до Угоди про поглиблену та всеосяжну зону вільної торгівлі між Україною та ЄС, ставки ввізних мит в Україні на майже всі промислові товари, що імпортуються з ЄС, встановлені на нульовому рівні. Таким чином, цей імпорт не потребуватиме преференції зі звільнення від сплати ввізного мита. </w:t>
      </w:r>
    </w:p>
    <w:p w:rsidR="003755F0" w:rsidRPr="003755F0" w:rsidP="003755F0" w14:paraId="523F2625"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 стадії ратифікації перебуває угода про вільну торгівлю між Україною і Туреччиною, підписана у лютому 2022 р. Відтак очікуваний імпорт турецького обладнання на суму 138,6 млн грн для здійснення господарської діяльності учасників індустріального парку також, імовірно, не обкладатиметься митом.</w:t>
      </w:r>
    </w:p>
    <w:p w:rsidR="003755F0" w:rsidRPr="003755F0" w:rsidP="003755F0" w14:paraId="5BA742C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Разом з цим очікується придбання обладнання з Китаю на суму 109,2 млн грн, з яким Україна не має жодних угод про преференції в торгівлі, а отже товари з якого обкладатимуться ввізним мито на загальних підставах. Відповідно до Закону України “Про Митний тариф України” ставки ввізних мит на товарні групи, що постачатимуться з Китаю для господарської діяльності на території індустріального парку, встановлені на рівні 0,5–15%. Середньозважена ставка мита на імпортне китайське обладнання з для індустріального парку оцінена у 8,6% від задекларованої вартості продукції. Таким чином, вартісний обсяг очікуваної преференції для учасників ІП зі звільнення від сплати ввізного мита оцінюється у близько 9,39 млн грн.</w:t>
      </w:r>
    </w:p>
    <w:p w:rsidR="003755F0" w:rsidRPr="003755F0" w:rsidP="003755F0" w14:paraId="3ABA338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Використання учасниками ІП преференції зі звільнення від сплати ввізного мита буде відбуватися у міру придбання та ввезення на митну територію України імпортного обладнання з країн, щодо яких встановлені ввізні мита на відповідну продукцію, для запуску та розширення господарської діяльності в рамках ІП. Беручи до уваги попередні плани учасників ІП щодо з придбання та ввезення відповідної продукції, очікуваний розподіл використання преференції протягом аналізованого періоду матиме наступний вигляд: 3,2 млн грн у 2029 р.; 2,8 млн грн у 2030 р.; 1,7 млн грн у 2031 р.; 0,8 млн грн у 2032 р.; 0,4 млн грн у 2033 р.; 0,3 млн грн у 2034 р.; 0,2 млн грн у 2035 р.</w:t>
      </w:r>
    </w:p>
    <w:p w:rsidR="003755F0" w:rsidRPr="003755F0" w:rsidP="003755F0" w14:paraId="145763FD"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Поряд з цим, відповідно до статті 197 Податкового кодексу України, звільняються від оподаткування ПДВ операції з ввезення на митну територію України у митному режимі імпорту нового устаткування (обладнання) та комплектуючих виробів до нього, визначені частиною шостою статті 287 Митного кодексу України, що ввозяться учасниками індустріальних парків виключно для власного використання для здійснення ними діяльності у сферах переробної промисловості, у сфері збирання, оброблення й видалення відходів, відновлення матеріалів на території (в межах) індустріального парку (без права надання в оренду, лізинг чи передачу в користування третім особам на будь-яких інших умовах), за умови, що з дати виготовлення устаткування (обладнання) та </w:t>
      </w:r>
      <w:r w:rsidRPr="003755F0">
        <w:rPr>
          <w:rFonts w:ascii="Times New Roman" w:eastAsia="Calibri" w:hAnsi="Times New Roman" w:cs="Times New Roman"/>
          <w:kern w:val="2"/>
          <w:sz w:val="28"/>
          <w:szCs w:val="28"/>
          <w:lang w:eastAsia="en-US"/>
          <w14:ligatures w14:val="standardContextual"/>
        </w:rPr>
        <w:t>комплектуючих виробів до нього до дати їх ввезення на митну територію України пройшло не більше трьох років і вони не були у використанні.</w:t>
      </w:r>
    </w:p>
    <w:p w:rsidR="003755F0" w:rsidRPr="003755F0" w:rsidP="003755F0" w14:paraId="77A39F3F"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Виходячи з наведених вище розрахунків, обсяг преференції для учасників ІП зі звільнення від сплати імпортного ПДВ на нове устаткування й обладнання оцінюється у 70 млн грн.</w:t>
      </w:r>
    </w:p>
    <w:p w:rsidR="003755F0" w:rsidRPr="003755F0" w:rsidP="003755F0" w14:paraId="5B2138E2"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Використання учасниками ІП преференції зі звільнення від сплати імпортного ПДВ буде відбуватися у міру придбання та ввезення на митну територію України імпортного обладнання для запуску та розширення господарської діяльності в рамках ІП. Беручи до уваги попередні плани учасників ІП щодо з придбання та ввезення відповідної продукції, очікуваний розподіл використання преференції протягом аналізованого періоду матиме наступний вигляд: 38,3 млн грн у 2029 р.; 18,5 млн грн у 2030 р.; 4,9 млн грн у 2031 р.; 4,0 млн грн у 2032 р.; 3,1 млн грн у 2033 р.; 0,7 млн грн у 2034 р.; 0,5 млн грн у 2035 р.</w:t>
      </w:r>
    </w:p>
    <w:p w:rsidR="003755F0" w:rsidRPr="003755F0" w:rsidP="003755F0" w14:paraId="24901FD4"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821C6CE"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Плата за землю і податок на нерухоме майно, відмінне від земельної ділянки</w:t>
      </w:r>
    </w:p>
    <w:p w:rsidR="003755F0" w:rsidRPr="003755F0" w:rsidP="003755F0" w14:paraId="52D4AEEB"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p>
    <w:p w:rsidR="003755F0" w:rsidRPr="003755F0" w:rsidP="003755F0" w14:paraId="44473E4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Згідно Договору оренди, укладеному між Броварською міською радою Броварського району Київської області та ТОВ «АТОМІС» від «23» вересня 2025 року, земельна ділянка передана у строкове платне користування терміном на 35 років, орендна плата за ділянку становить 2 520 000 грн. на рік.</w:t>
      </w:r>
    </w:p>
    <w:p w:rsidR="003755F0" w:rsidRPr="003755F0" w:rsidP="003755F0" w14:paraId="7C2DA3A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Ставку орендної плати, зазначену в Договорі оренди, визначено за результатом торгів. Відповідно до статті 23 Закону України "Про оренду землі" (зі змінами) орендна плата за земельні ділянки, що перебувають у власності фізичних та юридичних осіб, переглядається за згодою сторін. Плата за земельні ділянки державної та комунальної власності, передані в оренду на земельних торгах, не може бути зменшена за згодою сторін протягом строку дії договору оренди, а також у разі його поновлення (крім випадків консервації таких земельних ділянок, а також визнання земельних ділянок забрудненими (потенційно забрудненими) вибухонебезпечними предметами).</w:t>
      </w:r>
    </w:p>
    <w:p w:rsidR="003755F0" w:rsidRPr="003755F0" w:rsidP="003755F0" w14:paraId="7DED1B4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Згідно з пунктом 289.1 статті 289 Податкового кодексу України, для визначення розміру плати за землю використовується нормативна грошова оцінка земельних ділянок з урахуван</w:t>
      </w:r>
      <w:r w:rsidRPr="003755F0">
        <w:rPr>
          <w:rFonts w:ascii="Times New Roman" w:eastAsia="Calibri" w:hAnsi="Times New Roman" w:cs="Times New Roman"/>
          <w:kern w:val="2"/>
          <w:sz w:val="28"/>
          <w:szCs w:val="28"/>
          <w:lang w:eastAsia="en-US"/>
          <w14:ligatures w14:val="standardContextual"/>
        </w:rPr>
        <w:softHyphen/>
        <w:t xml:space="preserve">ням коефіцієнта індексації, визначеного відповідно до законодавства. Середнє значення коефіцієнту індексації нормативної грошової оцінки для земель несільськогосподарського призначення протягом 2021–2025 років в Україні становило </w:t>
      </w:r>
      <w:r w:rsidRPr="003755F0">
        <w:rPr>
          <w:rFonts w:ascii="Times New Roman" w:eastAsia="Calibri" w:hAnsi="Times New Roman" w:cs="Times New Roman"/>
          <w:b/>
          <w:bCs/>
          <w:kern w:val="2"/>
          <w:sz w:val="28"/>
          <w:szCs w:val="28"/>
          <w:lang w:eastAsia="en-US"/>
          <w14:ligatures w14:val="standardContextual"/>
        </w:rPr>
        <w:t>1,1</w:t>
      </w:r>
      <w:r w:rsidRPr="003755F0">
        <w:rPr>
          <w:rFonts w:ascii="Times New Roman" w:eastAsia="Calibri" w:hAnsi="Times New Roman" w:cs="Times New Roman"/>
          <w:kern w:val="2"/>
          <w:sz w:val="28"/>
          <w:szCs w:val="28"/>
          <w:lang w:eastAsia="en-US"/>
          <w14:ligatures w14:val="standardContextual"/>
        </w:rPr>
        <w:t xml:space="preserve"> (зокрема, 1,1 – за 2021 р.; 1,15 – за 2022 р.; 1,051 – за 2023 р.; 1,12 – за 2024 р.; 1,08 – за 2025 рік). Відтак оціночні обсяги сплати орендної плати за землю у 2029–2035 рр., скориговані на коефіцієнт індексації, складуть: 3,7 млн грн у 2029 р.; 4,1 млн грн у 2030 р.; 4,5 млн грн у 2031 р.; 4,9 млн грн у 2032 р.; 5,4 млн грн у 2033 р.; 5,9 млн грн у 2034 р.; 6,5 млн грн у 2035 р.</w:t>
      </w:r>
    </w:p>
    <w:p w:rsidR="003755F0" w:rsidRPr="003755F0" w:rsidP="003755F0" w14:paraId="3D5F23C8" w14:textId="6BA9208F">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Загальний обсяг сплати орендної плати за землю протягом 2029–2035 рр. оцінюється у 35,05 млн грн.</w:t>
      </w:r>
    </w:p>
    <w:p w:rsidR="003755F0" w:rsidRPr="003755F0" w:rsidP="003755F0" w14:paraId="05EC9470" w14:textId="77777777">
      <w:pPr>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Експортна діяльність</w:t>
      </w:r>
    </w:p>
    <w:p w:rsidR="003755F0" w:rsidRPr="003755F0" w:rsidP="003755F0" w14:paraId="60074BE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Бізнес-модель перспективних учасників ІП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 xml:space="preserve">» передбачає першочергову орієнтованість на внутрішній ринок збуту, зокрема шляхом заміщення імпорту продукції, що вироблятиметься на території індустріального парку. Таким чином, на початковому етапі свого функціонування й у середньостроковому періоді експортні операції учасників парку матимуть епізодичний характер. Натомість сприяння експортній діяльності в регіоні та країні в цілому відбуватиметься опосередковано шляхом постачання виготовленої в індустріальному парку продукції (вузлів, обладнання, засобів виробництва, послуг) іншим суб’єктам господарювання у суміжних галузях, що посилюватиме їхню конкурентоспроможність на міжнародних ринках. Відповідні макроекономічні ефекти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обґрунтовані та оцінені у Розділі 12 Концепції. У довгостроковій перспективі можливе розширення експортної діяльності індустріального парку у разі залучення нових учасників.</w:t>
      </w:r>
    </w:p>
    <w:p w:rsidR="003755F0" w:rsidRPr="003755F0" w:rsidP="003755F0" w14:paraId="12F8A8A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Відповідно до чинного законодавства, в Україні не встановлено вивізні (експортні) мита на продукцію і послуги, які вироблятимуться в межах індустріального парку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  згідно його функціонального призначення (див. Розділ 3). Отже, у даному контексті наявність або відсутність експортної діяльності учасників ІП не матиме ефекту на доходи державного або місцевих бюджетів.</w:t>
      </w:r>
    </w:p>
    <w:p w:rsidR="003755F0" w:rsidRPr="003755F0" w:rsidP="003755F0" w14:paraId="6869E0AF"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0DD7C41" w14:textId="77777777">
      <w:pPr>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Узагальнений фіскальний ефект</w:t>
      </w:r>
    </w:p>
    <w:p w:rsidR="003755F0" w:rsidRPr="003755F0" w:rsidP="003755F0" w14:paraId="0BF4ABEC"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Підсумовуючи усе зазначене вище, було проведено попередній розрахунок усіх податків, зборів та нарахувань, які буде отримано бюджетами усіх рівнів у період 2029–2035 років від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 Поряд з цим наведено обсяги податкових преференцій, які буде надано учасникам парку, та здійснено порівняльний аналіз відповідних надходжень та пільг (табл. 20).</w:t>
      </w:r>
    </w:p>
    <w:p w:rsidR="003755F0" w:rsidRPr="003755F0" w:rsidP="003755F0" w14:paraId="44743C33" w14:textId="77777777">
      <w:pPr>
        <w:tabs>
          <w:tab w:val="left" w:pos="851"/>
        </w:tabs>
        <w:spacing w:after="0" w:line="240" w:lineRule="auto"/>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20.</w:t>
      </w:r>
      <w:r w:rsidRPr="003755F0">
        <w:rPr>
          <w:rFonts w:ascii="Times New Roman" w:eastAsia="Calibri" w:hAnsi="Times New Roman" w:cs="Times New Roman"/>
          <w:kern w:val="2"/>
          <w:sz w:val="28"/>
          <w:szCs w:val="28"/>
          <w:lang w:eastAsia="en-US"/>
          <w14:ligatures w14:val="standardContextual"/>
        </w:rPr>
        <w:t xml:space="preserve"> Попередні оцінки податкових відрахувань та пільг для учасників та інших суб’єктів  ІП «БУДШЛЯХМАШ»</w:t>
      </w:r>
    </w:p>
    <w:p w:rsidR="003755F0" w:rsidRPr="003755F0" w:rsidP="003755F0" w14:paraId="3A364499" w14:textId="77777777">
      <w:pPr>
        <w:tabs>
          <w:tab w:val="left" w:pos="851"/>
        </w:tabs>
        <w:spacing w:after="0" w:line="240" w:lineRule="auto"/>
        <w:jc w:val="right"/>
        <w:rPr>
          <w:rFonts w:ascii="Times New Roman" w:eastAsia="Calibri" w:hAnsi="Times New Roman" w:cs="Times New Roman"/>
          <w:i/>
          <w:iCs/>
          <w:kern w:val="2"/>
          <w:sz w:val="28"/>
          <w:szCs w:val="28"/>
          <w:lang w:eastAsia="en-US"/>
          <w14:ligatures w14:val="standardContextual"/>
        </w:rPr>
      </w:pPr>
      <w:r w:rsidRPr="003755F0">
        <w:rPr>
          <w:rFonts w:ascii="Times New Roman" w:eastAsia="Calibri" w:hAnsi="Times New Roman" w:cs="Times New Roman"/>
          <w:i/>
          <w:iCs/>
          <w:kern w:val="2"/>
          <w:sz w:val="28"/>
          <w:szCs w:val="28"/>
          <w:lang w:eastAsia="en-US"/>
          <w14:ligatures w14:val="standardContextual"/>
        </w:rPr>
        <w:t>(млн грн)</w:t>
      </w:r>
    </w:p>
    <w:tbl>
      <w:tblPr>
        <w:tblW w:w="9825" w:type="dxa"/>
        <w:tblInd w:w="93" w:type="dxa"/>
        <w:tblLayout w:type="fixed"/>
        <w:tblLook w:val="04A0"/>
      </w:tblPr>
      <w:tblGrid>
        <w:gridCol w:w="1862"/>
        <w:gridCol w:w="961"/>
        <w:gridCol w:w="960"/>
        <w:gridCol w:w="960"/>
        <w:gridCol w:w="960"/>
        <w:gridCol w:w="960"/>
        <w:gridCol w:w="960"/>
        <w:gridCol w:w="1067"/>
        <w:gridCol w:w="1135"/>
      </w:tblGrid>
      <w:tr w14:paraId="4323A9CF" w14:textId="77777777" w:rsidTr="003755F0">
        <w:tblPrEx>
          <w:tblW w:w="9825" w:type="dxa"/>
          <w:tblInd w:w="93" w:type="dxa"/>
          <w:tblLayout w:type="fixed"/>
          <w:tblLook w:val="04A0"/>
        </w:tblPrEx>
        <w:trPr>
          <w:trHeight w:val="588"/>
        </w:trPr>
        <w:tc>
          <w:tcPr>
            <w:tcW w:w="1860" w:type="dxa"/>
            <w:tcBorders>
              <w:top w:val="single" w:sz="8" w:space="0" w:color="auto"/>
              <w:left w:val="single" w:sz="8" w:space="0" w:color="auto"/>
              <w:bottom w:val="single" w:sz="8" w:space="0" w:color="auto"/>
              <w:right w:val="single" w:sz="8" w:space="0" w:color="auto"/>
            </w:tcBorders>
            <w:shd w:val="clear" w:color="auto" w:fill="809EC2"/>
            <w:vAlign w:val="center"/>
            <w:hideMark/>
          </w:tcPr>
          <w:p w:rsidR="003755F0" w:rsidRPr="003755F0" w:rsidP="003755F0" w14:paraId="4EF273C7"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Показники</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46507D19"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2029</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18DBFFD3"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2030</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4AF21007"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2031</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435DB63B"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2032</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7D24DF87"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2033</w:t>
            </w:r>
          </w:p>
        </w:tc>
        <w:tc>
          <w:tcPr>
            <w:tcW w:w="960"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0AA0460B"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2034</w:t>
            </w:r>
          </w:p>
        </w:tc>
        <w:tc>
          <w:tcPr>
            <w:tcW w:w="1066"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41ABBB2F"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2035</w:t>
            </w:r>
          </w:p>
        </w:tc>
        <w:tc>
          <w:tcPr>
            <w:tcW w:w="1134" w:type="dxa"/>
            <w:tcBorders>
              <w:top w:val="single" w:sz="8" w:space="0" w:color="auto"/>
              <w:left w:val="nil"/>
              <w:bottom w:val="single" w:sz="8" w:space="0" w:color="auto"/>
              <w:right w:val="single" w:sz="8" w:space="0" w:color="auto"/>
            </w:tcBorders>
            <w:shd w:val="clear" w:color="auto" w:fill="809EC2"/>
            <w:vAlign w:val="center"/>
            <w:hideMark/>
          </w:tcPr>
          <w:p w:rsidR="003755F0" w:rsidRPr="003755F0" w:rsidP="003755F0" w14:paraId="7438D3D6"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Всього</w:t>
            </w:r>
          </w:p>
        </w:tc>
      </w:tr>
      <w:tr w14:paraId="1F6CBED7" w14:textId="77777777" w:rsidTr="003755F0">
        <w:tblPrEx>
          <w:tblW w:w="9825" w:type="dxa"/>
          <w:tblInd w:w="93" w:type="dxa"/>
          <w:tblLayout w:type="fixed"/>
          <w:tblLook w:val="04A0"/>
        </w:tblPrEx>
        <w:trPr>
          <w:trHeight w:val="300"/>
        </w:trPr>
        <w:tc>
          <w:tcPr>
            <w:tcW w:w="9820" w:type="dxa"/>
            <w:gridSpan w:val="9"/>
            <w:tcBorders>
              <w:top w:val="single" w:sz="8" w:space="0" w:color="auto"/>
              <w:left w:val="single" w:sz="8" w:space="0" w:color="auto"/>
              <w:bottom w:val="single" w:sz="8" w:space="0" w:color="auto"/>
              <w:right w:val="single" w:sz="8" w:space="0" w:color="000000"/>
            </w:tcBorders>
            <w:vAlign w:val="center"/>
            <w:hideMark/>
          </w:tcPr>
          <w:p w:rsidR="003755F0" w:rsidRPr="003755F0" w:rsidP="003755F0" w14:paraId="4A3647C9"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Податкові й інші надходження</w:t>
            </w:r>
          </w:p>
        </w:tc>
      </w:tr>
      <w:tr w14:paraId="389FA98E"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29E20943"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ПДВ</w:t>
            </w:r>
          </w:p>
        </w:tc>
        <w:tc>
          <w:tcPr>
            <w:tcW w:w="960" w:type="dxa"/>
            <w:tcBorders>
              <w:top w:val="nil"/>
              <w:left w:val="nil"/>
              <w:bottom w:val="single" w:sz="8" w:space="0" w:color="auto"/>
              <w:right w:val="single" w:sz="8" w:space="0" w:color="auto"/>
            </w:tcBorders>
            <w:vAlign w:val="center"/>
            <w:hideMark/>
          </w:tcPr>
          <w:p w:rsidR="003755F0" w:rsidRPr="003755F0" w:rsidP="003755F0" w14:paraId="5F8A09EF"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283,0</w:t>
            </w:r>
          </w:p>
        </w:tc>
        <w:tc>
          <w:tcPr>
            <w:tcW w:w="960" w:type="dxa"/>
            <w:tcBorders>
              <w:top w:val="nil"/>
              <w:left w:val="nil"/>
              <w:bottom w:val="single" w:sz="8" w:space="0" w:color="auto"/>
              <w:right w:val="single" w:sz="8" w:space="0" w:color="auto"/>
            </w:tcBorders>
            <w:vAlign w:val="center"/>
            <w:hideMark/>
          </w:tcPr>
          <w:p w:rsidR="003755F0" w:rsidRPr="003755F0" w:rsidP="003755F0" w14:paraId="4DABF15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388,2</w:t>
            </w:r>
          </w:p>
        </w:tc>
        <w:tc>
          <w:tcPr>
            <w:tcW w:w="960" w:type="dxa"/>
            <w:tcBorders>
              <w:top w:val="nil"/>
              <w:left w:val="nil"/>
              <w:bottom w:val="single" w:sz="8" w:space="0" w:color="auto"/>
              <w:right w:val="single" w:sz="8" w:space="0" w:color="auto"/>
            </w:tcBorders>
            <w:vAlign w:val="center"/>
            <w:hideMark/>
          </w:tcPr>
          <w:p w:rsidR="003755F0" w:rsidRPr="003755F0" w:rsidP="003755F0" w14:paraId="58555B95"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533,2</w:t>
            </w:r>
          </w:p>
        </w:tc>
        <w:tc>
          <w:tcPr>
            <w:tcW w:w="960" w:type="dxa"/>
            <w:tcBorders>
              <w:top w:val="nil"/>
              <w:left w:val="nil"/>
              <w:bottom w:val="single" w:sz="8" w:space="0" w:color="auto"/>
              <w:right w:val="single" w:sz="8" w:space="0" w:color="auto"/>
            </w:tcBorders>
            <w:vAlign w:val="center"/>
            <w:hideMark/>
          </w:tcPr>
          <w:p w:rsidR="003755F0" w:rsidRPr="003755F0" w:rsidP="003755F0" w14:paraId="5DA754F2"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554,5</w:t>
            </w:r>
          </w:p>
        </w:tc>
        <w:tc>
          <w:tcPr>
            <w:tcW w:w="960" w:type="dxa"/>
            <w:tcBorders>
              <w:top w:val="nil"/>
              <w:left w:val="nil"/>
              <w:bottom w:val="single" w:sz="8" w:space="0" w:color="auto"/>
              <w:right w:val="single" w:sz="8" w:space="0" w:color="auto"/>
            </w:tcBorders>
            <w:vAlign w:val="center"/>
            <w:hideMark/>
          </w:tcPr>
          <w:p w:rsidR="003755F0" w:rsidRPr="003755F0" w:rsidP="003755F0" w14:paraId="77729E6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576,7</w:t>
            </w:r>
          </w:p>
        </w:tc>
        <w:tc>
          <w:tcPr>
            <w:tcW w:w="960" w:type="dxa"/>
            <w:tcBorders>
              <w:top w:val="nil"/>
              <w:left w:val="nil"/>
              <w:bottom w:val="single" w:sz="8" w:space="0" w:color="auto"/>
              <w:right w:val="single" w:sz="8" w:space="0" w:color="auto"/>
            </w:tcBorders>
            <w:vAlign w:val="center"/>
            <w:hideMark/>
          </w:tcPr>
          <w:p w:rsidR="003755F0" w:rsidRPr="003755F0" w:rsidP="003755F0" w14:paraId="0332E09C"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599,7</w:t>
            </w:r>
          </w:p>
        </w:tc>
        <w:tc>
          <w:tcPr>
            <w:tcW w:w="1066" w:type="dxa"/>
            <w:tcBorders>
              <w:top w:val="nil"/>
              <w:left w:val="nil"/>
              <w:bottom w:val="single" w:sz="8" w:space="0" w:color="auto"/>
              <w:right w:val="single" w:sz="8" w:space="0" w:color="auto"/>
            </w:tcBorders>
            <w:vAlign w:val="center"/>
            <w:hideMark/>
          </w:tcPr>
          <w:p w:rsidR="003755F0" w:rsidRPr="003755F0" w:rsidP="003755F0" w14:paraId="51DF6D6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623,7</w:t>
            </w:r>
          </w:p>
        </w:tc>
        <w:tc>
          <w:tcPr>
            <w:tcW w:w="1134" w:type="dxa"/>
            <w:tcBorders>
              <w:top w:val="nil"/>
              <w:left w:val="nil"/>
              <w:bottom w:val="single" w:sz="8" w:space="0" w:color="auto"/>
              <w:right w:val="single" w:sz="8" w:space="0" w:color="auto"/>
            </w:tcBorders>
            <w:vAlign w:val="center"/>
            <w:hideMark/>
          </w:tcPr>
          <w:p w:rsidR="003755F0" w:rsidRPr="003755F0" w:rsidP="003755F0" w14:paraId="0374F31F"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val="ru-RU" w:eastAsia="ru-RU"/>
              </w:rPr>
              <w:t>3559,0</w:t>
            </w:r>
          </w:p>
        </w:tc>
      </w:tr>
      <w:tr w14:paraId="184F8251" w14:textId="77777777" w:rsidTr="003755F0">
        <w:tblPrEx>
          <w:tblW w:w="9825" w:type="dxa"/>
          <w:tblInd w:w="93" w:type="dxa"/>
          <w:tblLayout w:type="fixed"/>
          <w:tblLook w:val="04A0"/>
        </w:tblPrEx>
        <w:trPr>
          <w:trHeight w:val="588"/>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60387663"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Податок на прибуток</w:t>
            </w:r>
          </w:p>
        </w:tc>
        <w:tc>
          <w:tcPr>
            <w:tcW w:w="960" w:type="dxa"/>
            <w:tcBorders>
              <w:top w:val="nil"/>
              <w:left w:val="nil"/>
              <w:bottom w:val="single" w:sz="8" w:space="0" w:color="auto"/>
              <w:right w:val="single" w:sz="8" w:space="0" w:color="auto"/>
            </w:tcBorders>
            <w:vAlign w:val="center"/>
            <w:hideMark/>
          </w:tcPr>
          <w:p w:rsidR="003755F0" w:rsidRPr="003755F0" w:rsidP="003755F0" w14:paraId="7122B0F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0,0</w:t>
            </w:r>
          </w:p>
        </w:tc>
        <w:tc>
          <w:tcPr>
            <w:tcW w:w="960" w:type="dxa"/>
            <w:tcBorders>
              <w:top w:val="nil"/>
              <w:left w:val="nil"/>
              <w:bottom w:val="single" w:sz="8" w:space="0" w:color="auto"/>
              <w:right w:val="single" w:sz="8" w:space="0" w:color="auto"/>
            </w:tcBorders>
            <w:vAlign w:val="center"/>
            <w:hideMark/>
          </w:tcPr>
          <w:p w:rsidR="003755F0" w:rsidRPr="003755F0" w:rsidP="003755F0" w14:paraId="5AEB0CD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5,2</w:t>
            </w:r>
          </w:p>
        </w:tc>
        <w:tc>
          <w:tcPr>
            <w:tcW w:w="960" w:type="dxa"/>
            <w:tcBorders>
              <w:top w:val="nil"/>
              <w:left w:val="nil"/>
              <w:bottom w:val="single" w:sz="8" w:space="0" w:color="auto"/>
              <w:right w:val="single" w:sz="8" w:space="0" w:color="auto"/>
            </w:tcBorders>
            <w:vAlign w:val="center"/>
            <w:hideMark/>
          </w:tcPr>
          <w:p w:rsidR="003755F0" w:rsidRPr="003755F0" w:rsidP="003755F0" w14:paraId="0658F86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12,3</w:t>
            </w:r>
          </w:p>
        </w:tc>
        <w:tc>
          <w:tcPr>
            <w:tcW w:w="960" w:type="dxa"/>
            <w:tcBorders>
              <w:top w:val="nil"/>
              <w:left w:val="nil"/>
              <w:bottom w:val="single" w:sz="8" w:space="0" w:color="auto"/>
              <w:right w:val="single" w:sz="8" w:space="0" w:color="auto"/>
            </w:tcBorders>
            <w:vAlign w:val="center"/>
            <w:hideMark/>
          </w:tcPr>
          <w:p w:rsidR="003755F0" w:rsidRPr="003755F0" w:rsidP="003755F0" w14:paraId="1E3EBF98"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12,8</w:t>
            </w:r>
          </w:p>
        </w:tc>
        <w:tc>
          <w:tcPr>
            <w:tcW w:w="960" w:type="dxa"/>
            <w:tcBorders>
              <w:top w:val="nil"/>
              <w:left w:val="nil"/>
              <w:bottom w:val="single" w:sz="8" w:space="0" w:color="auto"/>
              <w:right w:val="single" w:sz="8" w:space="0" w:color="auto"/>
            </w:tcBorders>
            <w:vAlign w:val="center"/>
            <w:hideMark/>
          </w:tcPr>
          <w:p w:rsidR="003755F0" w:rsidRPr="003755F0" w:rsidP="003755F0" w14:paraId="6848EFD3"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13,3</w:t>
            </w:r>
          </w:p>
        </w:tc>
        <w:tc>
          <w:tcPr>
            <w:tcW w:w="960" w:type="dxa"/>
            <w:tcBorders>
              <w:top w:val="nil"/>
              <w:left w:val="nil"/>
              <w:bottom w:val="single" w:sz="8" w:space="0" w:color="auto"/>
              <w:right w:val="single" w:sz="8" w:space="0" w:color="auto"/>
            </w:tcBorders>
            <w:vAlign w:val="center"/>
            <w:hideMark/>
          </w:tcPr>
          <w:p w:rsidR="003755F0" w:rsidRPr="003755F0" w:rsidP="003755F0" w14:paraId="5125680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13,8</w:t>
            </w:r>
          </w:p>
        </w:tc>
        <w:tc>
          <w:tcPr>
            <w:tcW w:w="1066" w:type="dxa"/>
            <w:tcBorders>
              <w:top w:val="nil"/>
              <w:left w:val="nil"/>
              <w:bottom w:val="single" w:sz="8" w:space="0" w:color="auto"/>
              <w:right w:val="single" w:sz="8" w:space="0" w:color="auto"/>
            </w:tcBorders>
            <w:vAlign w:val="center"/>
            <w:hideMark/>
          </w:tcPr>
          <w:p w:rsidR="003755F0" w:rsidRPr="003755F0" w:rsidP="003755F0" w14:paraId="2315212D"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14,4</w:t>
            </w:r>
          </w:p>
        </w:tc>
        <w:tc>
          <w:tcPr>
            <w:tcW w:w="1134" w:type="dxa"/>
            <w:tcBorders>
              <w:top w:val="nil"/>
              <w:left w:val="nil"/>
              <w:bottom w:val="single" w:sz="8" w:space="0" w:color="auto"/>
              <w:right w:val="single" w:sz="8" w:space="0" w:color="auto"/>
            </w:tcBorders>
            <w:vAlign w:val="center"/>
            <w:hideMark/>
          </w:tcPr>
          <w:p w:rsidR="003755F0" w:rsidRPr="003755F0" w:rsidP="003755F0" w14:paraId="7CA67125"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71,8</w:t>
            </w:r>
          </w:p>
        </w:tc>
      </w:tr>
      <w:tr w14:paraId="7550764F"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3D472A3A"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ПДФО</w:t>
            </w:r>
          </w:p>
        </w:tc>
        <w:tc>
          <w:tcPr>
            <w:tcW w:w="960" w:type="dxa"/>
            <w:tcBorders>
              <w:top w:val="nil"/>
              <w:left w:val="nil"/>
              <w:bottom w:val="single" w:sz="8" w:space="0" w:color="auto"/>
              <w:right w:val="single" w:sz="8" w:space="0" w:color="auto"/>
            </w:tcBorders>
            <w:vAlign w:val="center"/>
            <w:hideMark/>
          </w:tcPr>
          <w:p w:rsidR="003755F0" w:rsidRPr="003755F0" w:rsidP="003755F0" w14:paraId="6E2BD3E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44,8</w:t>
            </w:r>
          </w:p>
        </w:tc>
        <w:tc>
          <w:tcPr>
            <w:tcW w:w="960" w:type="dxa"/>
            <w:tcBorders>
              <w:top w:val="nil"/>
              <w:left w:val="nil"/>
              <w:bottom w:val="single" w:sz="8" w:space="0" w:color="auto"/>
              <w:right w:val="single" w:sz="8" w:space="0" w:color="auto"/>
            </w:tcBorders>
            <w:vAlign w:val="center"/>
            <w:hideMark/>
          </w:tcPr>
          <w:p w:rsidR="003755F0" w:rsidRPr="003755F0" w:rsidP="003755F0" w14:paraId="226C2C4B"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71,0</w:t>
            </w:r>
          </w:p>
        </w:tc>
        <w:tc>
          <w:tcPr>
            <w:tcW w:w="960" w:type="dxa"/>
            <w:tcBorders>
              <w:top w:val="nil"/>
              <w:left w:val="nil"/>
              <w:bottom w:val="single" w:sz="8" w:space="0" w:color="auto"/>
              <w:right w:val="single" w:sz="8" w:space="0" w:color="auto"/>
            </w:tcBorders>
            <w:vAlign w:val="center"/>
            <w:hideMark/>
          </w:tcPr>
          <w:p w:rsidR="003755F0" w:rsidRPr="003755F0" w:rsidP="003755F0" w14:paraId="2AEBECB9"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100,2</w:t>
            </w:r>
          </w:p>
        </w:tc>
        <w:tc>
          <w:tcPr>
            <w:tcW w:w="960" w:type="dxa"/>
            <w:tcBorders>
              <w:top w:val="nil"/>
              <w:left w:val="nil"/>
              <w:bottom w:val="single" w:sz="8" w:space="0" w:color="auto"/>
              <w:right w:val="single" w:sz="8" w:space="0" w:color="auto"/>
            </w:tcBorders>
            <w:vAlign w:val="center"/>
            <w:hideMark/>
          </w:tcPr>
          <w:p w:rsidR="003755F0" w:rsidRPr="003755F0" w:rsidP="003755F0" w14:paraId="37E546E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103,2</w:t>
            </w:r>
          </w:p>
        </w:tc>
        <w:tc>
          <w:tcPr>
            <w:tcW w:w="960" w:type="dxa"/>
            <w:tcBorders>
              <w:top w:val="nil"/>
              <w:left w:val="nil"/>
              <w:bottom w:val="single" w:sz="8" w:space="0" w:color="auto"/>
              <w:right w:val="single" w:sz="8" w:space="0" w:color="auto"/>
            </w:tcBorders>
            <w:vAlign w:val="center"/>
            <w:hideMark/>
          </w:tcPr>
          <w:p w:rsidR="003755F0" w:rsidRPr="003755F0" w:rsidP="003755F0" w14:paraId="71DCFF2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108,4</w:t>
            </w:r>
          </w:p>
        </w:tc>
        <w:tc>
          <w:tcPr>
            <w:tcW w:w="960" w:type="dxa"/>
            <w:tcBorders>
              <w:top w:val="nil"/>
              <w:left w:val="nil"/>
              <w:bottom w:val="single" w:sz="8" w:space="0" w:color="auto"/>
              <w:right w:val="single" w:sz="8" w:space="0" w:color="auto"/>
            </w:tcBorders>
            <w:vAlign w:val="center"/>
            <w:hideMark/>
          </w:tcPr>
          <w:p w:rsidR="003755F0" w:rsidRPr="003755F0" w:rsidP="003755F0" w14:paraId="4634633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113,8</w:t>
            </w:r>
          </w:p>
        </w:tc>
        <w:tc>
          <w:tcPr>
            <w:tcW w:w="1066" w:type="dxa"/>
            <w:tcBorders>
              <w:top w:val="nil"/>
              <w:left w:val="nil"/>
              <w:bottom w:val="single" w:sz="8" w:space="0" w:color="auto"/>
              <w:right w:val="single" w:sz="8" w:space="0" w:color="auto"/>
            </w:tcBorders>
            <w:vAlign w:val="center"/>
            <w:hideMark/>
          </w:tcPr>
          <w:p w:rsidR="003755F0" w:rsidRPr="003755F0" w:rsidP="003755F0" w14:paraId="62CF00BB"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119,5</w:t>
            </w:r>
          </w:p>
        </w:tc>
        <w:tc>
          <w:tcPr>
            <w:tcW w:w="1134" w:type="dxa"/>
            <w:tcBorders>
              <w:top w:val="nil"/>
              <w:left w:val="nil"/>
              <w:bottom w:val="single" w:sz="8" w:space="0" w:color="auto"/>
              <w:right w:val="single" w:sz="8" w:space="0" w:color="auto"/>
            </w:tcBorders>
            <w:vAlign w:val="center"/>
            <w:hideMark/>
          </w:tcPr>
          <w:p w:rsidR="003755F0" w:rsidRPr="003755F0" w:rsidP="003755F0" w14:paraId="3A5BF846"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660,9</w:t>
            </w:r>
          </w:p>
        </w:tc>
      </w:tr>
      <w:tr w14:paraId="799EEF7E"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2AD7AF95"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Військовий збір</w:t>
            </w:r>
          </w:p>
        </w:tc>
        <w:tc>
          <w:tcPr>
            <w:tcW w:w="960" w:type="dxa"/>
            <w:tcBorders>
              <w:top w:val="nil"/>
              <w:left w:val="nil"/>
              <w:bottom w:val="single" w:sz="8" w:space="0" w:color="auto"/>
              <w:right w:val="single" w:sz="8" w:space="0" w:color="auto"/>
            </w:tcBorders>
            <w:vAlign w:val="center"/>
            <w:hideMark/>
          </w:tcPr>
          <w:p w:rsidR="003755F0" w:rsidRPr="003755F0" w:rsidP="003755F0" w14:paraId="2F77BCC6"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12,5</w:t>
            </w:r>
          </w:p>
        </w:tc>
        <w:tc>
          <w:tcPr>
            <w:tcW w:w="960" w:type="dxa"/>
            <w:tcBorders>
              <w:top w:val="nil"/>
              <w:left w:val="nil"/>
              <w:bottom w:val="single" w:sz="8" w:space="0" w:color="auto"/>
              <w:right w:val="single" w:sz="8" w:space="0" w:color="auto"/>
            </w:tcBorders>
            <w:vAlign w:val="center"/>
            <w:hideMark/>
          </w:tcPr>
          <w:p w:rsidR="003755F0" w:rsidRPr="003755F0" w:rsidP="003755F0" w14:paraId="1F91C303"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19,7</w:t>
            </w:r>
          </w:p>
        </w:tc>
        <w:tc>
          <w:tcPr>
            <w:tcW w:w="960" w:type="dxa"/>
            <w:tcBorders>
              <w:top w:val="nil"/>
              <w:left w:val="nil"/>
              <w:bottom w:val="single" w:sz="8" w:space="0" w:color="auto"/>
              <w:right w:val="single" w:sz="8" w:space="0" w:color="auto"/>
            </w:tcBorders>
            <w:vAlign w:val="center"/>
            <w:hideMark/>
          </w:tcPr>
          <w:p w:rsidR="003755F0" w:rsidRPr="003755F0" w:rsidP="003755F0" w14:paraId="35F2FDB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27,8</w:t>
            </w:r>
          </w:p>
        </w:tc>
        <w:tc>
          <w:tcPr>
            <w:tcW w:w="960" w:type="dxa"/>
            <w:tcBorders>
              <w:top w:val="nil"/>
              <w:left w:val="nil"/>
              <w:bottom w:val="single" w:sz="8" w:space="0" w:color="auto"/>
              <w:right w:val="single" w:sz="8" w:space="0" w:color="auto"/>
            </w:tcBorders>
            <w:vAlign w:val="center"/>
            <w:hideMark/>
          </w:tcPr>
          <w:p w:rsidR="003755F0" w:rsidRPr="003755F0" w:rsidP="003755F0" w14:paraId="45FC351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28,7</w:t>
            </w:r>
          </w:p>
        </w:tc>
        <w:tc>
          <w:tcPr>
            <w:tcW w:w="960" w:type="dxa"/>
            <w:tcBorders>
              <w:top w:val="nil"/>
              <w:left w:val="nil"/>
              <w:bottom w:val="single" w:sz="8" w:space="0" w:color="auto"/>
              <w:right w:val="single" w:sz="8" w:space="0" w:color="auto"/>
            </w:tcBorders>
            <w:vAlign w:val="center"/>
            <w:hideMark/>
          </w:tcPr>
          <w:p w:rsidR="003755F0" w:rsidRPr="003755F0" w:rsidP="003755F0" w14:paraId="778D848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30,1</w:t>
            </w:r>
          </w:p>
        </w:tc>
        <w:tc>
          <w:tcPr>
            <w:tcW w:w="960" w:type="dxa"/>
            <w:tcBorders>
              <w:top w:val="nil"/>
              <w:left w:val="nil"/>
              <w:bottom w:val="single" w:sz="8" w:space="0" w:color="auto"/>
              <w:right w:val="single" w:sz="8" w:space="0" w:color="auto"/>
            </w:tcBorders>
            <w:vAlign w:val="center"/>
            <w:hideMark/>
          </w:tcPr>
          <w:p w:rsidR="003755F0" w:rsidRPr="003755F0" w:rsidP="003755F0" w14:paraId="0B2117D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31,6</w:t>
            </w:r>
          </w:p>
        </w:tc>
        <w:tc>
          <w:tcPr>
            <w:tcW w:w="1066" w:type="dxa"/>
            <w:tcBorders>
              <w:top w:val="nil"/>
              <w:left w:val="nil"/>
              <w:bottom w:val="single" w:sz="8" w:space="0" w:color="auto"/>
              <w:right w:val="single" w:sz="8" w:space="0" w:color="auto"/>
            </w:tcBorders>
            <w:vAlign w:val="center"/>
            <w:hideMark/>
          </w:tcPr>
          <w:p w:rsidR="003755F0" w:rsidRPr="003755F0" w:rsidP="003755F0" w14:paraId="0F9C57F8"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33,2</w:t>
            </w:r>
          </w:p>
        </w:tc>
        <w:tc>
          <w:tcPr>
            <w:tcW w:w="1134" w:type="dxa"/>
            <w:tcBorders>
              <w:top w:val="nil"/>
              <w:left w:val="nil"/>
              <w:bottom w:val="single" w:sz="8" w:space="0" w:color="auto"/>
              <w:right w:val="single" w:sz="8" w:space="0" w:color="auto"/>
            </w:tcBorders>
            <w:vAlign w:val="center"/>
            <w:hideMark/>
          </w:tcPr>
          <w:p w:rsidR="003755F0" w:rsidRPr="003755F0" w:rsidP="003755F0" w14:paraId="7BE775CB"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183,6</w:t>
            </w:r>
          </w:p>
        </w:tc>
      </w:tr>
      <w:tr w14:paraId="3875EAE5"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6156B3A0"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ЄСВ</w:t>
            </w:r>
          </w:p>
        </w:tc>
        <w:tc>
          <w:tcPr>
            <w:tcW w:w="960" w:type="dxa"/>
            <w:tcBorders>
              <w:top w:val="nil"/>
              <w:left w:val="nil"/>
              <w:bottom w:val="single" w:sz="8" w:space="0" w:color="auto"/>
              <w:right w:val="single" w:sz="8" w:space="0" w:color="auto"/>
            </w:tcBorders>
            <w:vAlign w:val="center"/>
            <w:hideMark/>
          </w:tcPr>
          <w:p w:rsidR="003755F0" w:rsidRPr="003755F0" w:rsidP="003755F0" w14:paraId="5635EEE5"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54,8</w:t>
            </w:r>
          </w:p>
        </w:tc>
        <w:tc>
          <w:tcPr>
            <w:tcW w:w="960" w:type="dxa"/>
            <w:tcBorders>
              <w:top w:val="nil"/>
              <w:left w:val="nil"/>
              <w:bottom w:val="single" w:sz="8" w:space="0" w:color="auto"/>
              <w:right w:val="single" w:sz="8" w:space="0" w:color="auto"/>
            </w:tcBorders>
            <w:vAlign w:val="center"/>
            <w:hideMark/>
          </w:tcPr>
          <w:p w:rsidR="003755F0" w:rsidRPr="003755F0" w:rsidP="003755F0" w14:paraId="6E1AA50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86,8</w:t>
            </w:r>
          </w:p>
        </w:tc>
        <w:tc>
          <w:tcPr>
            <w:tcW w:w="960" w:type="dxa"/>
            <w:tcBorders>
              <w:top w:val="nil"/>
              <w:left w:val="nil"/>
              <w:bottom w:val="single" w:sz="8" w:space="0" w:color="auto"/>
              <w:right w:val="single" w:sz="8" w:space="0" w:color="auto"/>
            </w:tcBorders>
            <w:vAlign w:val="center"/>
            <w:hideMark/>
          </w:tcPr>
          <w:p w:rsidR="003755F0" w:rsidRPr="003755F0" w:rsidP="003755F0" w14:paraId="0F38DAB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122,5</w:t>
            </w:r>
          </w:p>
        </w:tc>
        <w:tc>
          <w:tcPr>
            <w:tcW w:w="960" w:type="dxa"/>
            <w:tcBorders>
              <w:top w:val="nil"/>
              <w:left w:val="nil"/>
              <w:bottom w:val="single" w:sz="8" w:space="0" w:color="auto"/>
              <w:right w:val="single" w:sz="8" w:space="0" w:color="auto"/>
            </w:tcBorders>
            <w:vAlign w:val="center"/>
            <w:hideMark/>
          </w:tcPr>
          <w:p w:rsidR="003755F0" w:rsidRPr="003755F0" w:rsidP="003755F0" w14:paraId="132BD07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126,2</w:t>
            </w:r>
          </w:p>
        </w:tc>
        <w:tc>
          <w:tcPr>
            <w:tcW w:w="960" w:type="dxa"/>
            <w:tcBorders>
              <w:top w:val="nil"/>
              <w:left w:val="nil"/>
              <w:bottom w:val="single" w:sz="8" w:space="0" w:color="auto"/>
              <w:right w:val="single" w:sz="8" w:space="0" w:color="auto"/>
            </w:tcBorders>
            <w:vAlign w:val="center"/>
            <w:hideMark/>
          </w:tcPr>
          <w:p w:rsidR="003755F0" w:rsidRPr="003755F0" w:rsidP="003755F0" w14:paraId="12E81B6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132,5</w:t>
            </w:r>
          </w:p>
        </w:tc>
        <w:tc>
          <w:tcPr>
            <w:tcW w:w="960" w:type="dxa"/>
            <w:tcBorders>
              <w:top w:val="nil"/>
              <w:left w:val="nil"/>
              <w:bottom w:val="single" w:sz="8" w:space="0" w:color="auto"/>
              <w:right w:val="single" w:sz="8" w:space="0" w:color="auto"/>
            </w:tcBorders>
            <w:vAlign w:val="center"/>
            <w:hideMark/>
          </w:tcPr>
          <w:p w:rsidR="003755F0" w:rsidRPr="003755F0" w:rsidP="003755F0" w14:paraId="6D6EFEAD"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139,1</w:t>
            </w:r>
          </w:p>
        </w:tc>
        <w:tc>
          <w:tcPr>
            <w:tcW w:w="1066" w:type="dxa"/>
            <w:tcBorders>
              <w:top w:val="nil"/>
              <w:left w:val="nil"/>
              <w:bottom w:val="single" w:sz="8" w:space="0" w:color="auto"/>
              <w:right w:val="single" w:sz="8" w:space="0" w:color="auto"/>
            </w:tcBorders>
            <w:vAlign w:val="center"/>
            <w:hideMark/>
          </w:tcPr>
          <w:p w:rsidR="003755F0" w:rsidRPr="003755F0" w:rsidP="003755F0" w14:paraId="562D13A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146,1</w:t>
            </w:r>
          </w:p>
        </w:tc>
        <w:tc>
          <w:tcPr>
            <w:tcW w:w="1134" w:type="dxa"/>
            <w:tcBorders>
              <w:top w:val="nil"/>
              <w:left w:val="nil"/>
              <w:bottom w:val="single" w:sz="8" w:space="0" w:color="auto"/>
              <w:right w:val="single" w:sz="8" w:space="0" w:color="auto"/>
            </w:tcBorders>
            <w:vAlign w:val="center"/>
            <w:hideMark/>
          </w:tcPr>
          <w:p w:rsidR="003755F0" w:rsidRPr="003755F0" w:rsidP="003755F0" w14:paraId="1A57E196"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808,0</w:t>
            </w:r>
          </w:p>
        </w:tc>
      </w:tr>
      <w:tr w14:paraId="122B79B5"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1EC11DE6"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Плата за землю</w:t>
            </w:r>
          </w:p>
        </w:tc>
        <w:tc>
          <w:tcPr>
            <w:tcW w:w="960" w:type="dxa"/>
            <w:tcBorders>
              <w:top w:val="nil"/>
              <w:left w:val="nil"/>
              <w:bottom w:val="single" w:sz="8" w:space="0" w:color="auto"/>
              <w:right w:val="single" w:sz="8" w:space="0" w:color="auto"/>
            </w:tcBorders>
            <w:vAlign w:val="center"/>
            <w:hideMark/>
          </w:tcPr>
          <w:p w:rsidR="003755F0" w:rsidRPr="003755F0" w:rsidP="003755F0" w14:paraId="71A4B7B3"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3,7</w:t>
            </w:r>
          </w:p>
        </w:tc>
        <w:tc>
          <w:tcPr>
            <w:tcW w:w="960" w:type="dxa"/>
            <w:tcBorders>
              <w:top w:val="nil"/>
              <w:left w:val="nil"/>
              <w:bottom w:val="single" w:sz="8" w:space="0" w:color="auto"/>
              <w:right w:val="single" w:sz="8" w:space="0" w:color="auto"/>
            </w:tcBorders>
            <w:vAlign w:val="center"/>
            <w:hideMark/>
          </w:tcPr>
          <w:p w:rsidR="003755F0" w:rsidRPr="003755F0" w:rsidP="003755F0" w14:paraId="5728423D"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4,1</w:t>
            </w:r>
          </w:p>
        </w:tc>
        <w:tc>
          <w:tcPr>
            <w:tcW w:w="960" w:type="dxa"/>
            <w:tcBorders>
              <w:top w:val="nil"/>
              <w:left w:val="nil"/>
              <w:bottom w:val="single" w:sz="8" w:space="0" w:color="auto"/>
              <w:right w:val="single" w:sz="8" w:space="0" w:color="auto"/>
            </w:tcBorders>
            <w:vAlign w:val="center"/>
            <w:hideMark/>
          </w:tcPr>
          <w:p w:rsidR="003755F0" w:rsidRPr="003755F0" w:rsidP="003755F0" w14:paraId="3E8213DF"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4,5</w:t>
            </w:r>
          </w:p>
        </w:tc>
        <w:tc>
          <w:tcPr>
            <w:tcW w:w="960" w:type="dxa"/>
            <w:tcBorders>
              <w:top w:val="nil"/>
              <w:left w:val="nil"/>
              <w:bottom w:val="single" w:sz="8" w:space="0" w:color="auto"/>
              <w:right w:val="single" w:sz="8" w:space="0" w:color="auto"/>
            </w:tcBorders>
            <w:vAlign w:val="center"/>
            <w:hideMark/>
          </w:tcPr>
          <w:p w:rsidR="003755F0" w:rsidRPr="003755F0" w:rsidP="003755F0" w14:paraId="1F41399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4,9</w:t>
            </w:r>
          </w:p>
        </w:tc>
        <w:tc>
          <w:tcPr>
            <w:tcW w:w="960" w:type="dxa"/>
            <w:tcBorders>
              <w:top w:val="nil"/>
              <w:left w:val="nil"/>
              <w:bottom w:val="single" w:sz="8" w:space="0" w:color="auto"/>
              <w:right w:val="single" w:sz="8" w:space="0" w:color="auto"/>
            </w:tcBorders>
            <w:vAlign w:val="center"/>
            <w:hideMark/>
          </w:tcPr>
          <w:p w:rsidR="003755F0" w:rsidRPr="003755F0" w:rsidP="003755F0" w14:paraId="244A2434"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5,4</w:t>
            </w:r>
          </w:p>
        </w:tc>
        <w:tc>
          <w:tcPr>
            <w:tcW w:w="960" w:type="dxa"/>
            <w:tcBorders>
              <w:top w:val="nil"/>
              <w:left w:val="nil"/>
              <w:bottom w:val="single" w:sz="8" w:space="0" w:color="auto"/>
              <w:right w:val="single" w:sz="8" w:space="0" w:color="auto"/>
            </w:tcBorders>
            <w:vAlign w:val="center"/>
            <w:hideMark/>
          </w:tcPr>
          <w:p w:rsidR="003755F0" w:rsidRPr="003755F0" w:rsidP="003755F0" w14:paraId="4B5B9F0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5,9</w:t>
            </w:r>
          </w:p>
        </w:tc>
        <w:tc>
          <w:tcPr>
            <w:tcW w:w="1066" w:type="dxa"/>
            <w:tcBorders>
              <w:top w:val="nil"/>
              <w:left w:val="nil"/>
              <w:bottom w:val="single" w:sz="8" w:space="0" w:color="auto"/>
              <w:right w:val="single" w:sz="8" w:space="0" w:color="auto"/>
            </w:tcBorders>
            <w:vAlign w:val="center"/>
            <w:hideMark/>
          </w:tcPr>
          <w:p w:rsidR="003755F0" w:rsidRPr="003755F0" w:rsidP="003755F0" w14:paraId="14F0BBF8"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6,5</w:t>
            </w:r>
          </w:p>
        </w:tc>
        <w:tc>
          <w:tcPr>
            <w:tcW w:w="1134" w:type="dxa"/>
            <w:tcBorders>
              <w:top w:val="nil"/>
              <w:left w:val="nil"/>
              <w:bottom w:val="single" w:sz="8" w:space="0" w:color="auto"/>
              <w:right w:val="single" w:sz="8" w:space="0" w:color="auto"/>
            </w:tcBorders>
            <w:vAlign w:val="center"/>
            <w:hideMark/>
          </w:tcPr>
          <w:p w:rsidR="003755F0" w:rsidRPr="003755F0" w:rsidP="003755F0" w14:paraId="7267C633"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35,0</w:t>
            </w:r>
          </w:p>
        </w:tc>
      </w:tr>
      <w:tr w14:paraId="77AFA6F5" w14:textId="77777777" w:rsidTr="003755F0">
        <w:tblPrEx>
          <w:tblW w:w="9825" w:type="dxa"/>
          <w:tblInd w:w="93" w:type="dxa"/>
          <w:tblLayout w:type="fixed"/>
          <w:tblLook w:val="04A0"/>
        </w:tblPrEx>
        <w:trPr>
          <w:trHeight w:val="588"/>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28E8CCE0" w14:textId="77777777">
            <w:pPr>
              <w:spacing w:after="0" w:line="240" w:lineRule="auto"/>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Разом надходжень</w:t>
            </w:r>
          </w:p>
        </w:tc>
        <w:tc>
          <w:tcPr>
            <w:tcW w:w="960" w:type="dxa"/>
            <w:tcBorders>
              <w:top w:val="nil"/>
              <w:left w:val="nil"/>
              <w:bottom w:val="single" w:sz="8" w:space="0" w:color="auto"/>
              <w:right w:val="single" w:sz="8" w:space="0" w:color="auto"/>
            </w:tcBorders>
            <w:vAlign w:val="center"/>
            <w:hideMark/>
          </w:tcPr>
          <w:p w:rsidR="003755F0" w:rsidRPr="003755F0" w:rsidP="003755F0" w14:paraId="06088917"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398,8</w:t>
            </w:r>
          </w:p>
        </w:tc>
        <w:tc>
          <w:tcPr>
            <w:tcW w:w="960" w:type="dxa"/>
            <w:tcBorders>
              <w:top w:val="nil"/>
              <w:left w:val="nil"/>
              <w:bottom w:val="single" w:sz="8" w:space="0" w:color="auto"/>
              <w:right w:val="single" w:sz="8" w:space="0" w:color="auto"/>
            </w:tcBorders>
            <w:vAlign w:val="center"/>
            <w:hideMark/>
          </w:tcPr>
          <w:p w:rsidR="003755F0" w:rsidRPr="003755F0" w:rsidP="003755F0" w14:paraId="107FF76C"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575,0</w:t>
            </w:r>
          </w:p>
        </w:tc>
        <w:tc>
          <w:tcPr>
            <w:tcW w:w="960" w:type="dxa"/>
            <w:tcBorders>
              <w:top w:val="nil"/>
              <w:left w:val="nil"/>
              <w:bottom w:val="single" w:sz="8" w:space="0" w:color="auto"/>
              <w:right w:val="single" w:sz="8" w:space="0" w:color="auto"/>
            </w:tcBorders>
            <w:vAlign w:val="center"/>
            <w:hideMark/>
          </w:tcPr>
          <w:p w:rsidR="003755F0" w:rsidRPr="003755F0" w:rsidP="003755F0" w14:paraId="1843A954"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800,5</w:t>
            </w:r>
          </w:p>
        </w:tc>
        <w:tc>
          <w:tcPr>
            <w:tcW w:w="960" w:type="dxa"/>
            <w:tcBorders>
              <w:top w:val="nil"/>
              <w:left w:val="nil"/>
              <w:bottom w:val="single" w:sz="8" w:space="0" w:color="auto"/>
              <w:right w:val="single" w:sz="8" w:space="0" w:color="auto"/>
            </w:tcBorders>
            <w:vAlign w:val="center"/>
            <w:hideMark/>
          </w:tcPr>
          <w:p w:rsidR="003755F0" w:rsidRPr="003755F0" w:rsidP="003755F0" w14:paraId="76C3ACBE"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830,3</w:t>
            </w:r>
          </w:p>
        </w:tc>
        <w:tc>
          <w:tcPr>
            <w:tcW w:w="960" w:type="dxa"/>
            <w:tcBorders>
              <w:top w:val="nil"/>
              <w:left w:val="nil"/>
              <w:bottom w:val="single" w:sz="8" w:space="0" w:color="auto"/>
              <w:right w:val="single" w:sz="8" w:space="0" w:color="auto"/>
            </w:tcBorders>
            <w:vAlign w:val="center"/>
            <w:hideMark/>
          </w:tcPr>
          <w:p w:rsidR="003755F0" w:rsidRPr="003755F0" w:rsidP="003755F0" w14:paraId="4BC6DBD3"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866,4</w:t>
            </w:r>
          </w:p>
        </w:tc>
        <w:tc>
          <w:tcPr>
            <w:tcW w:w="960" w:type="dxa"/>
            <w:tcBorders>
              <w:top w:val="nil"/>
              <w:left w:val="nil"/>
              <w:bottom w:val="single" w:sz="8" w:space="0" w:color="auto"/>
              <w:right w:val="single" w:sz="8" w:space="0" w:color="auto"/>
            </w:tcBorders>
            <w:vAlign w:val="center"/>
            <w:hideMark/>
          </w:tcPr>
          <w:p w:rsidR="003755F0" w:rsidRPr="003755F0" w:rsidP="003755F0" w14:paraId="26EC0F96"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903,9</w:t>
            </w:r>
          </w:p>
        </w:tc>
        <w:tc>
          <w:tcPr>
            <w:tcW w:w="1066" w:type="dxa"/>
            <w:tcBorders>
              <w:top w:val="nil"/>
              <w:left w:val="nil"/>
              <w:bottom w:val="single" w:sz="8" w:space="0" w:color="auto"/>
              <w:right w:val="single" w:sz="8" w:space="0" w:color="auto"/>
            </w:tcBorders>
            <w:vAlign w:val="center"/>
            <w:hideMark/>
          </w:tcPr>
          <w:p w:rsidR="003755F0" w:rsidRPr="003755F0" w:rsidP="003755F0" w14:paraId="491EB07A"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943,4</w:t>
            </w:r>
          </w:p>
        </w:tc>
        <w:tc>
          <w:tcPr>
            <w:tcW w:w="1134" w:type="dxa"/>
            <w:tcBorders>
              <w:top w:val="nil"/>
              <w:left w:val="nil"/>
              <w:bottom w:val="single" w:sz="8" w:space="0" w:color="auto"/>
              <w:right w:val="single" w:sz="8" w:space="0" w:color="auto"/>
            </w:tcBorders>
            <w:vAlign w:val="center"/>
            <w:hideMark/>
          </w:tcPr>
          <w:p w:rsidR="003755F0" w:rsidRPr="003755F0" w:rsidP="003755F0" w14:paraId="396520FF"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5318,3</w:t>
            </w:r>
          </w:p>
        </w:tc>
      </w:tr>
      <w:tr w14:paraId="1336E5D8" w14:textId="77777777" w:rsidTr="003755F0">
        <w:tblPrEx>
          <w:tblW w:w="9825" w:type="dxa"/>
          <w:tblInd w:w="93" w:type="dxa"/>
          <w:tblLayout w:type="fixed"/>
          <w:tblLook w:val="04A0"/>
        </w:tblPrEx>
        <w:trPr>
          <w:trHeight w:val="588"/>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28A4FA6B"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у т. ч. в місцевий бюджет</w:t>
            </w:r>
          </w:p>
        </w:tc>
        <w:tc>
          <w:tcPr>
            <w:tcW w:w="960" w:type="dxa"/>
            <w:tcBorders>
              <w:top w:val="nil"/>
              <w:left w:val="nil"/>
              <w:bottom w:val="single" w:sz="8" w:space="0" w:color="auto"/>
              <w:right w:val="single" w:sz="8" w:space="0" w:color="auto"/>
            </w:tcBorders>
            <w:vAlign w:val="center"/>
            <w:hideMark/>
          </w:tcPr>
          <w:p w:rsidR="003755F0" w:rsidRPr="003755F0" w:rsidP="003755F0" w14:paraId="5C27A69F"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32,4</w:t>
            </w:r>
          </w:p>
        </w:tc>
        <w:tc>
          <w:tcPr>
            <w:tcW w:w="960" w:type="dxa"/>
            <w:tcBorders>
              <w:top w:val="nil"/>
              <w:left w:val="nil"/>
              <w:bottom w:val="single" w:sz="8" w:space="0" w:color="auto"/>
              <w:right w:val="single" w:sz="8" w:space="0" w:color="auto"/>
            </w:tcBorders>
            <w:vAlign w:val="center"/>
            <w:hideMark/>
          </w:tcPr>
          <w:p w:rsidR="003755F0" w:rsidRPr="003755F0" w:rsidP="003755F0" w14:paraId="78301419"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49,5</w:t>
            </w:r>
          </w:p>
        </w:tc>
        <w:tc>
          <w:tcPr>
            <w:tcW w:w="960" w:type="dxa"/>
            <w:tcBorders>
              <w:top w:val="nil"/>
              <w:left w:val="nil"/>
              <w:bottom w:val="single" w:sz="8" w:space="0" w:color="auto"/>
              <w:right w:val="single" w:sz="8" w:space="0" w:color="auto"/>
            </w:tcBorders>
            <w:vAlign w:val="center"/>
            <w:hideMark/>
          </w:tcPr>
          <w:p w:rsidR="003755F0" w:rsidRPr="003755F0" w:rsidP="003755F0" w14:paraId="67800A53"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68,6</w:t>
            </w:r>
          </w:p>
        </w:tc>
        <w:tc>
          <w:tcPr>
            <w:tcW w:w="960" w:type="dxa"/>
            <w:tcBorders>
              <w:top w:val="nil"/>
              <w:left w:val="nil"/>
              <w:bottom w:val="single" w:sz="8" w:space="0" w:color="auto"/>
              <w:right w:val="single" w:sz="8" w:space="0" w:color="auto"/>
            </w:tcBorders>
            <w:vAlign w:val="center"/>
            <w:hideMark/>
          </w:tcPr>
          <w:p w:rsidR="003755F0" w:rsidRPr="003755F0" w:rsidP="003755F0" w14:paraId="36190D1C"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70,9</w:t>
            </w:r>
          </w:p>
        </w:tc>
        <w:tc>
          <w:tcPr>
            <w:tcW w:w="960" w:type="dxa"/>
            <w:tcBorders>
              <w:top w:val="nil"/>
              <w:left w:val="nil"/>
              <w:bottom w:val="single" w:sz="8" w:space="0" w:color="auto"/>
              <w:right w:val="single" w:sz="8" w:space="0" w:color="auto"/>
            </w:tcBorders>
            <w:vAlign w:val="center"/>
            <w:hideMark/>
          </w:tcPr>
          <w:p w:rsidR="003755F0" w:rsidRPr="003755F0" w:rsidP="003755F0" w14:paraId="7A18C7C8"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74,8</w:t>
            </w:r>
          </w:p>
        </w:tc>
        <w:tc>
          <w:tcPr>
            <w:tcW w:w="960" w:type="dxa"/>
            <w:tcBorders>
              <w:top w:val="nil"/>
              <w:left w:val="nil"/>
              <w:bottom w:val="single" w:sz="8" w:space="0" w:color="auto"/>
              <w:right w:val="single" w:sz="8" w:space="0" w:color="auto"/>
            </w:tcBorders>
            <w:vAlign w:val="center"/>
            <w:hideMark/>
          </w:tcPr>
          <w:p w:rsidR="003755F0" w:rsidRPr="003755F0" w:rsidP="003755F0" w14:paraId="23B530FB"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78,7</w:t>
            </w:r>
          </w:p>
        </w:tc>
        <w:tc>
          <w:tcPr>
            <w:tcW w:w="1066" w:type="dxa"/>
            <w:tcBorders>
              <w:top w:val="nil"/>
              <w:left w:val="nil"/>
              <w:bottom w:val="single" w:sz="8" w:space="0" w:color="auto"/>
              <w:right w:val="single" w:sz="8" w:space="0" w:color="auto"/>
            </w:tcBorders>
            <w:vAlign w:val="center"/>
            <w:hideMark/>
          </w:tcPr>
          <w:p w:rsidR="003755F0" w:rsidRPr="003755F0" w:rsidP="003755F0" w14:paraId="7924C14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83,0</w:t>
            </w:r>
          </w:p>
        </w:tc>
        <w:tc>
          <w:tcPr>
            <w:tcW w:w="1134" w:type="dxa"/>
            <w:tcBorders>
              <w:top w:val="nil"/>
              <w:left w:val="nil"/>
              <w:bottom w:val="single" w:sz="8" w:space="0" w:color="auto"/>
              <w:right w:val="single" w:sz="8" w:space="0" w:color="auto"/>
            </w:tcBorders>
            <w:vAlign w:val="center"/>
            <w:hideMark/>
          </w:tcPr>
          <w:p w:rsidR="003755F0" w:rsidRPr="003755F0" w:rsidP="003755F0" w14:paraId="1216E409"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458,0</w:t>
            </w:r>
          </w:p>
        </w:tc>
      </w:tr>
      <w:tr w14:paraId="240D2668" w14:textId="77777777" w:rsidTr="003755F0">
        <w:tblPrEx>
          <w:tblW w:w="9825" w:type="dxa"/>
          <w:tblInd w:w="93" w:type="dxa"/>
          <w:tblLayout w:type="fixed"/>
          <w:tblLook w:val="04A0"/>
        </w:tblPrEx>
        <w:trPr>
          <w:trHeight w:val="300"/>
        </w:trPr>
        <w:tc>
          <w:tcPr>
            <w:tcW w:w="9820" w:type="dxa"/>
            <w:gridSpan w:val="9"/>
            <w:tcBorders>
              <w:top w:val="single" w:sz="8" w:space="0" w:color="auto"/>
              <w:left w:val="single" w:sz="8" w:space="0" w:color="auto"/>
              <w:bottom w:val="single" w:sz="8" w:space="0" w:color="auto"/>
              <w:right w:val="single" w:sz="8" w:space="0" w:color="000000"/>
            </w:tcBorders>
            <w:vAlign w:val="center"/>
            <w:hideMark/>
          </w:tcPr>
          <w:p w:rsidR="003755F0" w:rsidRPr="003755F0" w:rsidP="003755F0" w14:paraId="3C1C4844"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Податкові пільги</w:t>
            </w:r>
          </w:p>
        </w:tc>
      </w:tr>
      <w:tr w14:paraId="0676E6C3" w14:textId="77777777" w:rsidTr="003755F0">
        <w:tblPrEx>
          <w:tblW w:w="9825" w:type="dxa"/>
          <w:tblInd w:w="93" w:type="dxa"/>
          <w:tblLayout w:type="fixed"/>
          <w:tblLook w:val="04A0"/>
        </w:tblPrEx>
        <w:trPr>
          <w:trHeight w:val="588"/>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2787251F"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Податок на прибуток</w:t>
            </w:r>
          </w:p>
        </w:tc>
        <w:tc>
          <w:tcPr>
            <w:tcW w:w="960" w:type="dxa"/>
            <w:tcBorders>
              <w:top w:val="nil"/>
              <w:left w:val="nil"/>
              <w:bottom w:val="single" w:sz="8" w:space="0" w:color="auto"/>
              <w:right w:val="single" w:sz="8" w:space="0" w:color="auto"/>
            </w:tcBorders>
            <w:vAlign w:val="center"/>
            <w:hideMark/>
          </w:tcPr>
          <w:p w:rsidR="003755F0" w:rsidRPr="003755F0" w:rsidP="003755F0" w14:paraId="06A7D8B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0,0</w:t>
            </w:r>
          </w:p>
        </w:tc>
        <w:tc>
          <w:tcPr>
            <w:tcW w:w="960" w:type="dxa"/>
            <w:tcBorders>
              <w:top w:val="nil"/>
              <w:left w:val="nil"/>
              <w:bottom w:val="single" w:sz="8" w:space="0" w:color="auto"/>
              <w:right w:val="single" w:sz="8" w:space="0" w:color="auto"/>
            </w:tcBorders>
            <w:vAlign w:val="center"/>
            <w:hideMark/>
          </w:tcPr>
          <w:p w:rsidR="003755F0" w:rsidRPr="003755F0" w:rsidP="003755F0" w14:paraId="70320F7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51,4</w:t>
            </w:r>
          </w:p>
        </w:tc>
        <w:tc>
          <w:tcPr>
            <w:tcW w:w="960" w:type="dxa"/>
            <w:tcBorders>
              <w:top w:val="nil"/>
              <w:left w:val="nil"/>
              <w:bottom w:val="single" w:sz="8" w:space="0" w:color="auto"/>
              <w:right w:val="single" w:sz="8" w:space="0" w:color="auto"/>
            </w:tcBorders>
            <w:vAlign w:val="center"/>
            <w:hideMark/>
          </w:tcPr>
          <w:p w:rsidR="003755F0" w:rsidRPr="003755F0" w:rsidP="003755F0" w14:paraId="4B88356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130,3</w:t>
            </w:r>
          </w:p>
        </w:tc>
        <w:tc>
          <w:tcPr>
            <w:tcW w:w="960" w:type="dxa"/>
            <w:tcBorders>
              <w:top w:val="nil"/>
              <w:left w:val="nil"/>
              <w:bottom w:val="single" w:sz="8" w:space="0" w:color="auto"/>
              <w:right w:val="single" w:sz="8" w:space="0" w:color="auto"/>
            </w:tcBorders>
            <w:vAlign w:val="center"/>
            <w:hideMark/>
          </w:tcPr>
          <w:p w:rsidR="003755F0" w:rsidRPr="003755F0" w:rsidP="003755F0" w14:paraId="43757CEB"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135,5</w:t>
            </w:r>
          </w:p>
        </w:tc>
        <w:tc>
          <w:tcPr>
            <w:tcW w:w="960" w:type="dxa"/>
            <w:tcBorders>
              <w:top w:val="nil"/>
              <w:left w:val="nil"/>
              <w:bottom w:val="single" w:sz="8" w:space="0" w:color="auto"/>
              <w:right w:val="single" w:sz="8" w:space="0" w:color="auto"/>
            </w:tcBorders>
            <w:vAlign w:val="center"/>
            <w:hideMark/>
          </w:tcPr>
          <w:p w:rsidR="003755F0" w:rsidRPr="003755F0" w:rsidP="003755F0" w14:paraId="0D462EAC"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140,9</w:t>
            </w:r>
          </w:p>
        </w:tc>
        <w:tc>
          <w:tcPr>
            <w:tcW w:w="960" w:type="dxa"/>
            <w:tcBorders>
              <w:top w:val="nil"/>
              <w:left w:val="nil"/>
              <w:bottom w:val="single" w:sz="8" w:space="0" w:color="auto"/>
              <w:right w:val="single" w:sz="8" w:space="0" w:color="auto"/>
            </w:tcBorders>
            <w:vAlign w:val="center"/>
            <w:hideMark/>
          </w:tcPr>
          <w:p w:rsidR="003755F0" w:rsidRPr="003755F0" w:rsidP="003755F0" w14:paraId="58793428"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146,6</w:t>
            </w:r>
          </w:p>
        </w:tc>
        <w:tc>
          <w:tcPr>
            <w:tcW w:w="1066" w:type="dxa"/>
            <w:tcBorders>
              <w:top w:val="nil"/>
              <w:left w:val="nil"/>
              <w:bottom w:val="single" w:sz="8" w:space="0" w:color="auto"/>
              <w:right w:val="single" w:sz="8" w:space="0" w:color="auto"/>
            </w:tcBorders>
            <w:vAlign w:val="center"/>
            <w:hideMark/>
          </w:tcPr>
          <w:p w:rsidR="003755F0" w:rsidRPr="003755F0" w:rsidP="003755F0" w14:paraId="3CD2BACC"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152,4</w:t>
            </w:r>
          </w:p>
        </w:tc>
        <w:tc>
          <w:tcPr>
            <w:tcW w:w="1134" w:type="dxa"/>
            <w:tcBorders>
              <w:top w:val="nil"/>
              <w:left w:val="nil"/>
              <w:bottom w:val="single" w:sz="8" w:space="0" w:color="auto"/>
              <w:right w:val="single" w:sz="8" w:space="0" w:color="auto"/>
            </w:tcBorders>
            <w:vAlign w:val="center"/>
            <w:hideMark/>
          </w:tcPr>
          <w:p w:rsidR="003755F0" w:rsidRPr="003755F0" w:rsidP="003755F0" w14:paraId="7B54FCE5"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757,1</w:t>
            </w:r>
          </w:p>
        </w:tc>
      </w:tr>
      <w:tr w14:paraId="10DBD7ED"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1A7F8D33"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Ввізне мито</w:t>
            </w:r>
          </w:p>
        </w:tc>
        <w:tc>
          <w:tcPr>
            <w:tcW w:w="960" w:type="dxa"/>
            <w:tcBorders>
              <w:top w:val="nil"/>
              <w:left w:val="nil"/>
              <w:bottom w:val="single" w:sz="8" w:space="0" w:color="auto"/>
              <w:right w:val="single" w:sz="8" w:space="0" w:color="auto"/>
            </w:tcBorders>
            <w:vAlign w:val="center"/>
            <w:hideMark/>
          </w:tcPr>
          <w:p w:rsidR="003755F0" w:rsidRPr="003755F0" w:rsidP="003755F0" w14:paraId="2A58A682"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3,2</w:t>
            </w:r>
          </w:p>
        </w:tc>
        <w:tc>
          <w:tcPr>
            <w:tcW w:w="960" w:type="dxa"/>
            <w:tcBorders>
              <w:top w:val="nil"/>
              <w:left w:val="nil"/>
              <w:bottom w:val="single" w:sz="8" w:space="0" w:color="auto"/>
              <w:right w:val="single" w:sz="8" w:space="0" w:color="auto"/>
            </w:tcBorders>
            <w:vAlign w:val="center"/>
            <w:hideMark/>
          </w:tcPr>
          <w:p w:rsidR="003755F0" w:rsidRPr="003755F0" w:rsidP="003755F0" w14:paraId="25F89FEC"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2,8</w:t>
            </w:r>
          </w:p>
        </w:tc>
        <w:tc>
          <w:tcPr>
            <w:tcW w:w="960" w:type="dxa"/>
            <w:tcBorders>
              <w:top w:val="nil"/>
              <w:left w:val="nil"/>
              <w:bottom w:val="single" w:sz="8" w:space="0" w:color="auto"/>
              <w:right w:val="single" w:sz="8" w:space="0" w:color="auto"/>
            </w:tcBorders>
            <w:vAlign w:val="center"/>
            <w:hideMark/>
          </w:tcPr>
          <w:p w:rsidR="003755F0" w:rsidRPr="003755F0" w:rsidP="003755F0" w14:paraId="4E1BDA4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1,7</w:t>
            </w:r>
          </w:p>
        </w:tc>
        <w:tc>
          <w:tcPr>
            <w:tcW w:w="960" w:type="dxa"/>
            <w:tcBorders>
              <w:top w:val="nil"/>
              <w:left w:val="nil"/>
              <w:bottom w:val="single" w:sz="8" w:space="0" w:color="auto"/>
              <w:right w:val="single" w:sz="8" w:space="0" w:color="auto"/>
            </w:tcBorders>
            <w:vAlign w:val="center"/>
            <w:hideMark/>
          </w:tcPr>
          <w:p w:rsidR="003755F0" w:rsidRPr="003755F0" w:rsidP="003755F0" w14:paraId="1D91C2D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0,8</w:t>
            </w:r>
          </w:p>
        </w:tc>
        <w:tc>
          <w:tcPr>
            <w:tcW w:w="960" w:type="dxa"/>
            <w:tcBorders>
              <w:top w:val="nil"/>
              <w:left w:val="nil"/>
              <w:bottom w:val="single" w:sz="8" w:space="0" w:color="auto"/>
              <w:right w:val="single" w:sz="8" w:space="0" w:color="auto"/>
            </w:tcBorders>
            <w:vAlign w:val="center"/>
            <w:hideMark/>
          </w:tcPr>
          <w:p w:rsidR="003755F0" w:rsidRPr="003755F0" w:rsidP="003755F0" w14:paraId="7BEB8A6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0,4</w:t>
            </w:r>
          </w:p>
        </w:tc>
        <w:tc>
          <w:tcPr>
            <w:tcW w:w="960" w:type="dxa"/>
            <w:tcBorders>
              <w:top w:val="nil"/>
              <w:left w:val="nil"/>
              <w:bottom w:val="single" w:sz="8" w:space="0" w:color="auto"/>
              <w:right w:val="single" w:sz="8" w:space="0" w:color="auto"/>
            </w:tcBorders>
            <w:vAlign w:val="center"/>
            <w:hideMark/>
          </w:tcPr>
          <w:p w:rsidR="003755F0" w:rsidRPr="003755F0" w:rsidP="003755F0" w14:paraId="1629F115"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0,3</w:t>
            </w:r>
          </w:p>
        </w:tc>
        <w:tc>
          <w:tcPr>
            <w:tcW w:w="1066" w:type="dxa"/>
            <w:tcBorders>
              <w:top w:val="nil"/>
              <w:left w:val="nil"/>
              <w:bottom w:val="single" w:sz="8" w:space="0" w:color="auto"/>
              <w:right w:val="single" w:sz="8" w:space="0" w:color="auto"/>
            </w:tcBorders>
            <w:vAlign w:val="center"/>
            <w:hideMark/>
          </w:tcPr>
          <w:p w:rsidR="003755F0" w:rsidRPr="003755F0" w:rsidP="003755F0" w14:paraId="62126DBF"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0,2</w:t>
            </w:r>
          </w:p>
        </w:tc>
        <w:tc>
          <w:tcPr>
            <w:tcW w:w="1134" w:type="dxa"/>
            <w:tcBorders>
              <w:top w:val="nil"/>
              <w:left w:val="nil"/>
              <w:bottom w:val="single" w:sz="8" w:space="0" w:color="auto"/>
              <w:right w:val="single" w:sz="8" w:space="0" w:color="auto"/>
            </w:tcBorders>
            <w:vAlign w:val="center"/>
            <w:hideMark/>
          </w:tcPr>
          <w:p w:rsidR="003755F0" w:rsidRPr="003755F0" w:rsidP="003755F0" w14:paraId="78091E49"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9,4</w:t>
            </w:r>
          </w:p>
        </w:tc>
      </w:tr>
      <w:tr w14:paraId="4789544A"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5CF746E2"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Імпортний ПДВ</w:t>
            </w:r>
          </w:p>
        </w:tc>
        <w:tc>
          <w:tcPr>
            <w:tcW w:w="960" w:type="dxa"/>
            <w:tcBorders>
              <w:top w:val="nil"/>
              <w:left w:val="nil"/>
              <w:bottom w:val="single" w:sz="8" w:space="0" w:color="auto"/>
              <w:right w:val="single" w:sz="8" w:space="0" w:color="auto"/>
            </w:tcBorders>
            <w:vAlign w:val="center"/>
            <w:hideMark/>
          </w:tcPr>
          <w:p w:rsidR="003755F0" w:rsidRPr="003755F0" w:rsidP="003755F0" w14:paraId="1567374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38,3</w:t>
            </w:r>
          </w:p>
        </w:tc>
        <w:tc>
          <w:tcPr>
            <w:tcW w:w="960" w:type="dxa"/>
            <w:tcBorders>
              <w:top w:val="nil"/>
              <w:left w:val="nil"/>
              <w:bottom w:val="single" w:sz="8" w:space="0" w:color="auto"/>
              <w:right w:val="single" w:sz="8" w:space="0" w:color="auto"/>
            </w:tcBorders>
            <w:vAlign w:val="center"/>
            <w:hideMark/>
          </w:tcPr>
          <w:p w:rsidR="003755F0" w:rsidRPr="003755F0" w:rsidP="003755F0" w14:paraId="33BF6259"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18,5</w:t>
            </w:r>
          </w:p>
        </w:tc>
        <w:tc>
          <w:tcPr>
            <w:tcW w:w="960" w:type="dxa"/>
            <w:tcBorders>
              <w:top w:val="nil"/>
              <w:left w:val="nil"/>
              <w:bottom w:val="single" w:sz="8" w:space="0" w:color="auto"/>
              <w:right w:val="single" w:sz="8" w:space="0" w:color="auto"/>
            </w:tcBorders>
            <w:vAlign w:val="center"/>
            <w:hideMark/>
          </w:tcPr>
          <w:p w:rsidR="003755F0" w:rsidRPr="003755F0" w:rsidP="003755F0" w14:paraId="502CD0D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4,9</w:t>
            </w:r>
          </w:p>
        </w:tc>
        <w:tc>
          <w:tcPr>
            <w:tcW w:w="960" w:type="dxa"/>
            <w:tcBorders>
              <w:top w:val="nil"/>
              <w:left w:val="nil"/>
              <w:bottom w:val="single" w:sz="8" w:space="0" w:color="auto"/>
              <w:right w:val="single" w:sz="8" w:space="0" w:color="auto"/>
            </w:tcBorders>
            <w:vAlign w:val="center"/>
            <w:hideMark/>
          </w:tcPr>
          <w:p w:rsidR="003755F0" w:rsidRPr="003755F0" w:rsidP="003755F0" w14:paraId="6254A025"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4,0</w:t>
            </w:r>
          </w:p>
        </w:tc>
        <w:tc>
          <w:tcPr>
            <w:tcW w:w="960" w:type="dxa"/>
            <w:tcBorders>
              <w:top w:val="nil"/>
              <w:left w:val="nil"/>
              <w:bottom w:val="single" w:sz="8" w:space="0" w:color="auto"/>
              <w:right w:val="single" w:sz="8" w:space="0" w:color="auto"/>
            </w:tcBorders>
            <w:vAlign w:val="center"/>
            <w:hideMark/>
          </w:tcPr>
          <w:p w:rsidR="003755F0" w:rsidRPr="003755F0" w:rsidP="003755F0" w14:paraId="639095B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3,1</w:t>
            </w:r>
          </w:p>
        </w:tc>
        <w:tc>
          <w:tcPr>
            <w:tcW w:w="960" w:type="dxa"/>
            <w:tcBorders>
              <w:top w:val="nil"/>
              <w:left w:val="nil"/>
              <w:bottom w:val="single" w:sz="8" w:space="0" w:color="auto"/>
              <w:right w:val="single" w:sz="8" w:space="0" w:color="auto"/>
            </w:tcBorders>
            <w:vAlign w:val="center"/>
            <w:hideMark/>
          </w:tcPr>
          <w:p w:rsidR="003755F0" w:rsidRPr="003755F0" w:rsidP="003755F0" w14:paraId="3CCB7082"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0,7</w:t>
            </w:r>
          </w:p>
        </w:tc>
        <w:tc>
          <w:tcPr>
            <w:tcW w:w="1066" w:type="dxa"/>
            <w:tcBorders>
              <w:top w:val="nil"/>
              <w:left w:val="nil"/>
              <w:bottom w:val="single" w:sz="8" w:space="0" w:color="auto"/>
              <w:right w:val="single" w:sz="8" w:space="0" w:color="auto"/>
            </w:tcBorders>
            <w:vAlign w:val="center"/>
            <w:hideMark/>
          </w:tcPr>
          <w:p w:rsidR="003755F0" w:rsidRPr="003755F0" w:rsidP="003755F0" w14:paraId="63A7F075"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0,5</w:t>
            </w:r>
          </w:p>
        </w:tc>
        <w:tc>
          <w:tcPr>
            <w:tcW w:w="1134" w:type="dxa"/>
            <w:tcBorders>
              <w:top w:val="nil"/>
              <w:left w:val="nil"/>
              <w:bottom w:val="single" w:sz="8" w:space="0" w:color="auto"/>
              <w:right w:val="single" w:sz="8" w:space="0" w:color="auto"/>
            </w:tcBorders>
            <w:vAlign w:val="center"/>
            <w:hideMark/>
          </w:tcPr>
          <w:p w:rsidR="003755F0" w:rsidRPr="003755F0" w:rsidP="003755F0" w14:paraId="3CC0B26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70,0</w:t>
            </w:r>
          </w:p>
        </w:tc>
      </w:tr>
      <w:tr w14:paraId="15477CC9"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7A73752B" w14:textId="77777777">
            <w:pPr>
              <w:spacing w:after="0" w:line="240" w:lineRule="auto"/>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Разом пільги</w:t>
            </w:r>
          </w:p>
        </w:tc>
        <w:tc>
          <w:tcPr>
            <w:tcW w:w="960" w:type="dxa"/>
            <w:tcBorders>
              <w:top w:val="nil"/>
              <w:left w:val="nil"/>
              <w:bottom w:val="single" w:sz="8" w:space="0" w:color="auto"/>
              <w:right w:val="single" w:sz="8" w:space="0" w:color="auto"/>
            </w:tcBorders>
            <w:vAlign w:val="center"/>
            <w:hideMark/>
          </w:tcPr>
          <w:p w:rsidR="003755F0" w:rsidRPr="003755F0" w:rsidP="003755F0" w14:paraId="3A62EE1B"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41,5</w:t>
            </w:r>
          </w:p>
        </w:tc>
        <w:tc>
          <w:tcPr>
            <w:tcW w:w="960" w:type="dxa"/>
            <w:tcBorders>
              <w:top w:val="nil"/>
              <w:left w:val="nil"/>
              <w:bottom w:val="single" w:sz="8" w:space="0" w:color="auto"/>
              <w:right w:val="single" w:sz="8" w:space="0" w:color="auto"/>
            </w:tcBorders>
            <w:vAlign w:val="center"/>
            <w:hideMark/>
          </w:tcPr>
          <w:p w:rsidR="003755F0" w:rsidRPr="003755F0" w:rsidP="003755F0" w14:paraId="0055427A"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72,7</w:t>
            </w:r>
          </w:p>
        </w:tc>
        <w:tc>
          <w:tcPr>
            <w:tcW w:w="960" w:type="dxa"/>
            <w:tcBorders>
              <w:top w:val="nil"/>
              <w:left w:val="nil"/>
              <w:bottom w:val="single" w:sz="8" w:space="0" w:color="auto"/>
              <w:right w:val="single" w:sz="8" w:space="0" w:color="auto"/>
            </w:tcBorders>
            <w:vAlign w:val="center"/>
            <w:hideMark/>
          </w:tcPr>
          <w:p w:rsidR="003755F0" w:rsidRPr="003755F0" w:rsidP="003755F0" w14:paraId="61E3EC6E"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136,9</w:t>
            </w:r>
          </w:p>
        </w:tc>
        <w:tc>
          <w:tcPr>
            <w:tcW w:w="960" w:type="dxa"/>
            <w:tcBorders>
              <w:top w:val="nil"/>
              <w:left w:val="nil"/>
              <w:bottom w:val="single" w:sz="8" w:space="0" w:color="auto"/>
              <w:right w:val="single" w:sz="8" w:space="0" w:color="auto"/>
            </w:tcBorders>
            <w:vAlign w:val="center"/>
            <w:hideMark/>
          </w:tcPr>
          <w:p w:rsidR="003755F0" w:rsidRPr="003755F0" w:rsidP="003755F0" w14:paraId="7FF214F2"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140,3</w:t>
            </w:r>
          </w:p>
        </w:tc>
        <w:tc>
          <w:tcPr>
            <w:tcW w:w="960" w:type="dxa"/>
            <w:tcBorders>
              <w:top w:val="nil"/>
              <w:left w:val="nil"/>
              <w:bottom w:val="single" w:sz="8" w:space="0" w:color="auto"/>
              <w:right w:val="single" w:sz="8" w:space="0" w:color="auto"/>
            </w:tcBorders>
            <w:vAlign w:val="center"/>
            <w:hideMark/>
          </w:tcPr>
          <w:p w:rsidR="003755F0" w:rsidRPr="003755F0" w:rsidP="003755F0" w14:paraId="051A801A"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144,4</w:t>
            </w:r>
          </w:p>
        </w:tc>
        <w:tc>
          <w:tcPr>
            <w:tcW w:w="960" w:type="dxa"/>
            <w:tcBorders>
              <w:top w:val="nil"/>
              <w:left w:val="nil"/>
              <w:bottom w:val="single" w:sz="8" w:space="0" w:color="auto"/>
              <w:right w:val="single" w:sz="8" w:space="0" w:color="auto"/>
            </w:tcBorders>
            <w:vAlign w:val="center"/>
            <w:hideMark/>
          </w:tcPr>
          <w:p w:rsidR="003755F0" w:rsidRPr="003755F0" w:rsidP="003755F0" w14:paraId="64B12668"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147,6</w:t>
            </w:r>
          </w:p>
        </w:tc>
        <w:tc>
          <w:tcPr>
            <w:tcW w:w="1066" w:type="dxa"/>
            <w:tcBorders>
              <w:top w:val="nil"/>
              <w:left w:val="nil"/>
              <w:bottom w:val="single" w:sz="8" w:space="0" w:color="auto"/>
              <w:right w:val="single" w:sz="8" w:space="0" w:color="auto"/>
            </w:tcBorders>
            <w:vAlign w:val="center"/>
            <w:hideMark/>
          </w:tcPr>
          <w:p w:rsidR="003755F0" w:rsidRPr="003755F0" w:rsidP="003755F0" w14:paraId="7B1B5020"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153,1</w:t>
            </w:r>
          </w:p>
        </w:tc>
        <w:tc>
          <w:tcPr>
            <w:tcW w:w="1134" w:type="dxa"/>
            <w:tcBorders>
              <w:top w:val="nil"/>
              <w:left w:val="nil"/>
              <w:bottom w:val="single" w:sz="8" w:space="0" w:color="auto"/>
              <w:right w:val="single" w:sz="8" w:space="0" w:color="auto"/>
            </w:tcBorders>
            <w:vAlign w:val="center"/>
            <w:hideMark/>
          </w:tcPr>
          <w:p w:rsidR="003755F0" w:rsidRPr="003755F0" w:rsidP="003755F0" w14:paraId="61DDCE7D"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836,5</w:t>
            </w:r>
          </w:p>
        </w:tc>
      </w:tr>
      <w:tr w14:paraId="5632CC8A" w14:textId="77777777" w:rsidTr="003755F0">
        <w:tblPrEx>
          <w:tblW w:w="9825" w:type="dxa"/>
          <w:tblInd w:w="93" w:type="dxa"/>
          <w:tblLayout w:type="fixed"/>
          <w:tblLook w:val="04A0"/>
        </w:tblPrEx>
        <w:trPr>
          <w:trHeight w:val="300"/>
        </w:trPr>
        <w:tc>
          <w:tcPr>
            <w:tcW w:w="9820" w:type="dxa"/>
            <w:gridSpan w:val="9"/>
            <w:tcBorders>
              <w:top w:val="single" w:sz="8" w:space="0" w:color="auto"/>
              <w:left w:val="single" w:sz="8" w:space="0" w:color="auto"/>
              <w:bottom w:val="single" w:sz="8" w:space="0" w:color="auto"/>
              <w:right w:val="single" w:sz="8" w:space="0" w:color="000000"/>
            </w:tcBorders>
            <w:vAlign w:val="center"/>
            <w:hideMark/>
          </w:tcPr>
          <w:p w:rsidR="003755F0" w:rsidRPr="003755F0" w:rsidP="003755F0" w14:paraId="728AE9A8" w14:textId="77777777">
            <w:pPr>
              <w:spacing w:after="0" w:line="240" w:lineRule="auto"/>
              <w:jc w:val="center"/>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Чистий фіскальний ефект</w:t>
            </w:r>
          </w:p>
        </w:tc>
      </w:tr>
      <w:tr w14:paraId="01D82FBD" w14:textId="77777777" w:rsidTr="003755F0">
        <w:tblPrEx>
          <w:tblW w:w="9825" w:type="dxa"/>
          <w:tblInd w:w="93" w:type="dxa"/>
          <w:tblLayout w:type="fixed"/>
          <w:tblLook w:val="04A0"/>
        </w:tblPrEx>
        <w:trPr>
          <w:trHeight w:val="876"/>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75DDA35F"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Для державного бюджету і пенсійного фонду</w:t>
            </w:r>
          </w:p>
        </w:tc>
        <w:tc>
          <w:tcPr>
            <w:tcW w:w="960" w:type="dxa"/>
            <w:tcBorders>
              <w:top w:val="nil"/>
              <w:left w:val="nil"/>
              <w:bottom w:val="single" w:sz="8" w:space="0" w:color="auto"/>
              <w:right w:val="single" w:sz="8" w:space="0" w:color="auto"/>
            </w:tcBorders>
            <w:vAlign w:val="center"/>
            <w:hideMark/>
          </w:tcPr>
          <w:p w:rsidR="003755F0" w:rsidRPr="003755F0" w:rsidP="003755F0" w14:paraId="52D15A2A"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324,9</w:t>
            </w:r>
          </w:p>
        </w:tc>
        <w:tc>
          <w:tcPr>
            <w:tcW w:w="960" w:type="dxa"/>
            <w:tcBorders>
              <w:top w:val="nil"/>
              <w:left w:val="nil"/>
              <w:bottom w:val="single" w:sz="8" w:space="0" w:color="auto"/>
              <w:right w:val="single" w:sz="8" w:space="0" w:color="auto"/>
            </w:tcBorders>
            <w:vAlign w:val="center"/>
            <w:hideMark/>
          </w:tcPr>
          <w:p w:rsidR="003755F0" w:rsidRPr="003755F0" w:rsidP="003755F0" w14:paraId="447CD167"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452,8</w:t>
            </w:r>
          </w:p>
        </w:tc>
        <w:tc>
          <w:tcPr>
            <w:tcW w:w="960" w:type="dxa"/>
            <w:tcBorders>
              <w:top w:val="nil"/>
              <w:left w:val="nil"/>
              <w:bottom w:val="single" w:sz="8" w:space="0" w:color="auto"/>
              <w:right w:val="single" w:sz="8" w:space="0" w:color="auto"/>
            </w:tcBorders>
            <w:vAlign w:val="center"/>
            <w:hideMark/>
          </w:tcPr>
          <w:p w:rsidR="003755F0" w:rsidRPr="003755F0" w:rsidP="003755F0" w14:paraId="037A3596"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595,0</w:t>
            </w:r>
          </w:p>
        </w:tc>
        <w:tc>
          <w:tcPr>
            <w:tcW w:w="960" w:type="dxa"/>
            <w:tcBorders>
              <w:top w:val="nil"/>
              <w:left w:val="nil"/>
              <w:bottom w:val="single" w:sz="8" w:space="0" w:color="auto"/>
              <w:right w:val="single" w:sz="8" w:space="0" w:color="auto"/>
            </w:tcBorders>
            <w:vAlign w:val="center"/>
            <w:hideMark/>
          </w:tcPr>
          <w:p w:rsidR="003755F0" w:rsidRPr="003755F0" w:rsidP="003755F0" w14:paraId="026674D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619,1</w:t>
            </w:r>
          </w:p>
        </w:tc>
        <w:tc>
          <w:tcPr>
            <w:tcW w:w="960" w:type="dxa"/>
            <w:tcBorders>
              <w:top w:val="nil"/>
              <w:left w:val="nil"/>
              <w:bottom w:val="single" w:sz="8" w:space="0" w:color="auto"/>
              <w:right w:val="single" w:sz="8" w:space="0" w:color="auto"/>
            </w:tcBorders>
            <w:vAlign w:val="center"/>
            <w:hideMark/>
          </w:tcPr>
          <w:p w:rsidR="003755F0" w:rsidRPr="003755F0" w:rsidP="003755F0" w14:paraId="2F9C27AE"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647,2</w:t>
            </w:r>
          </w:p>
        </w:tc>
        <w:tc>
          <w:tcPr>
            <w:tcW w:w="960" w:type="dxa"/>
            <w:tcBorders>
              <w:top w:val="nil"/>
              <w:left w:val="nil"/>
              <w:bottom w:val="single" w:sz="8" w:space="0" w:color="auto"/>
              <w:right w:val="single" w:sz="8" w:space="0" w:color="auto"/>
            </w:tcBorders>
            <w:vAlign w:val="center"/>
            <w:hideMark/>
          </w:tcPr>
          <w:p w:rsidR="003755F0" w:rsidRPr="003755F0" w:rsidP="003755F0" w14:paraId="14AB0912"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677,6</w:t>
            </w:r>
          </w:p>
        </w:tc>
        <w:tc>
          <w:tcPr>
            <w:tcW w:w="1066" w:type="dxa"/>
            <w:tcBorders>
              <w:top w:val="nil"/>
              <w:left w:val="nil"/>
              <w:bottom w:val="single" w:sz="8" w:space="0" w:color="auto"/>
              <w:right w:val="single" w:sz="8" w:space="0" w:color="auto"/>
            </w:tcBorders>
            <w:vAlign w:val="center"/>
            <w:hideMark/>
          </w:tcPr>
          <w:p w:rsidR="003755F0" w:rsidRPr="003755F0" w:rsidP="003755F0" w14:paraId="0087AD44"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707,3</w:t>
            </w:r>
          </w:p>
        </w:tc>
        <w:tc>
          <w:tcPr>
            <w:tcW w:w="1134" w:type="dxa"/>
            <w:tcBorders>
              <w:top w:val="nil"/>
              <w:left w:val="nil"/>
              <w:bottom w:val="single" w:sz="8" w:space="0" w:color="auto"/>
              <w:right w:val="single" w:sz="8" w:space="0" w:color="auto"/>
            </w:tcBorders>
            <w:vAlign w:val="center"/>
            <w:hideMark/>
          </w:tcPr>
          <w:p w:rsidR="003755F0" w:rsidRPr="003755F0" w:rsidP="003755F0" w14:paraId="700EC63E"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4023,8</w:t>
            </w:r>
          </w:p>
        </w:tc>
      </w:tr>
      <w:tr w14:paraId="2CBDFBF3" w14:textId="77777777" w:rsidTr="003755F0">
        <w:tblPrEx>
          <w:tblW w:w="9825" w:type="dxa"/>
          <w:tblInd w:w="93" w:type="dxa"/>
          <w:tblLayout w:type="fixed"/>
          <w:tblLook w:val="04A0"/>
        </w:tblPrEx>
        <w:trPr>
          <w:trHeight w:val="588"/>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5DAC2460" w14:textId="77777777">
            <w:pPr>
              <w:spacing w:after="0" w:line="240" w:lineRule="auto"/>
              <w:rPr>
                <w:rFonts w:ascii="Times New Roman" w:eastAsia="Times New Roman" w:hAnsi="Times New Roman" w:cs="Times New Roman"/>
                <w:sz w:val="24"/>
                <w:szCs w:val="24"/>
                <w:lang w:val="ru-RU" w:eastAsia="ru-RU"/>
              </w:rPr>
            </w:pPr>
            <w:r w:rsidRPr="003755F0">
              <w:rPr>
                <w:rFonts w:ascii="Times New Roman" w:eastAsia="Times New Roman" w:hAnsi="Times New Roman" w:cs="Times New Roman"/>
                <w:sz w:val="24"/>
                <w:szCs w:val="24"/>
                <w:lang w:eastAsia="ru-RU"/>
              </w:rPr>
              <w:t>Для місцевого бюджету</w:t>
            </w:r>
          </w:p>
        </w:tc>
        <w:tc>
          <w:tcPr>
            <w:tcW w:w="960" w:type="dxa"/>
            <w:tcBorders>
              <w:top w:val="nil"/>
              <w:left w:val="nil"/>
              <w:bottom w:val="single" w:sz="8" w:space="0" w:color="auto"/>
              <w:right w:val="single" w:sz="8" w:space="0" w:color="auto"/>
            </w:tcBorders>
            <w:vAlign w:val="center"/>
            <w:hideMark/>
          </w:tcPr>
          <w:p w:rsidR="003755F0" w:rsidRPr="003755F0" w:rsidP="003755F0" w14:paraId="2FFC51FE"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32,4</w:t>
            </w:r>
          </w:p>
        </w:tc>
        <w:tc>
          <w:tcPr>
            <w:tcW w:w="960" w:type="dxa"/>
            <w:tcBorders>
              <w:top w:val="nil"/>
              <w:left w:val="nil"/>
              <w:bottom w:val="single" w:sz="8" w:space="0" w:color="auto"/>
              <w:right w:val="single" w:sz="8" w:space="0" w:color="auto"/>
            </w:tcBorders>
            <w:vAlign w:val="center"/>
            <w:hideMark/>
          </w:tcPr>
          <w:p w:rsidR="003755F0" w:rsidRPr="003755F0" w:rsidP="003755F0" w14:paraId="7DE242F4"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49,5</w:t>
            </w:r>
          </w:p>
        </w:tc>
        <w:tc>
          <w:tcPr>
            <w:tcW w:w="960" w:type="dxa"/>
            <w:tcBorders>
              <w:top w:val="nil"/>
              <w:left w:val="nil"/>
              <w:bottom w:val="single" w:sz="8" w:space="0" w:color="auto"/>
              <w:right w:val="single" w:sz="8" w:space="0" w:color="auto"/>
            </w:tcBorders>
            <w:vAlign w:val="center"/>
            <w:hideMark/>
          </w:tcPr>
          <w:p w:rsidR="003755F0" w:rsidRPr="003755F0" w:rsidP="003755F0" w14:paraId="6C2F87FE"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68,6</w:t>
            </w:r>
          </w:p>
        </w:tc>
        <w:tc>
          <w:tcPr>
            <w:tcW w:w="960" w:type="dxa"/>
            <w:tcBorders>
              <w:top w:val="nil"/>
              <w:left w:val="nil"/>
              <w:bottom w:val="single" w:sz="8" w:space="0" w:color="auto"/>
              <w:right w:val="single" w:sz="8" w:space="0" w:color="auto"/>
            </w:tcBorders>
            <w:vAlign w:val="center"/>
            <w:hideMark/>
          </w:tcPr>
          <w:p w:rsidR="003755F0" w:rsidRPr="003755F0" w:rsidP="003755F0" w14:paraId="76811720"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70,9</w:t>
            </w:r>
          </w:p>
        </w:tc>
        <w:tc>
          <w:tcPr>
            <w:tcW w:w="960" w:type="dxa"/>
            <w:tcBorders>
              <w:top w:val="nil"/>
              <w:left w:val="nil"/>
              <w:bottom w:val="single" w:sz="8" w:space="0" w:color="auto"/>
              <w:right w:val="single" w:sz="8" w:space="0" w:color="auto"/>
            </w:tcBorders>
            <w:vAlign w:val="center"/>
            <w:hideMark/>
          </w:tcPr>
          <w:p w:rsidR="003755F0" w:rsidRPr="003755F0" w:rsidP="003755F0" w14:paraId="51613091"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74,8</w:t>
            </w:r>
          </w:p>
        </w:tc>
        <w:tc>
          <w:tcPr>
            <w:tcW w:w="960" w:type="dxa"/>
            <w:tcBorders>
              <w:top w:val="nil"/>
              <w:left w:val="nil"/>
              <w:bottom w:val="single" w:sz="8" w:space="0" w:color="auto"/>
              <w:right w:val="single" w:sz="8" w:space="0" w:color="auto"/>
            </w:tcBorders>
            <w:vAlign w:val="center"/>
            <w:hideMark/>
          </w:tcPr>
          <w:p w:rsidR="003755F0" w:rsidRPr="003755F0" w:rsidP="003755F0" w14:paraId="189113F4"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78,7</w:t>
            </w:r>
          </w:p>
        </w:tc>
        <w:tc>
          <w:tcPr>
            <w:tcW w:w="1066" w:type="dxa"/>
            <w:tcBorders>
              <w:top w:val="nil"/>
              <w:left w:val="nil"/>
              <w:bottom w:val="single" w:sz="8" w:space="0" w:color="auto"/>
              <w:right w:val="single" w:sz="8" w:space="0" w:color="auto"/>
            </w:tcBorders>
            <w:vAlign w:val="center"/>
            <w:hideMark/>
          </w:tcPr>
          <w:p w:rsidR="003755F0" w:rsidRPr="003755F0" w:rsidP="003755F0" w14:paraId="10B732FD"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83,0</w:t>
            </w:r>
          </w:p>
        </w:tc>
        <w:tc>
          <w:tcPr>
            <w:tcW w:w="1134" w:type="dxa"/>
            <w:tcBorders>
              <w:top w:val="nil"/>
              <w:left w:val="nil"/>
              <w:bottom w:val="single" w:sz="8" w:space="0" w:color="auto"/>
              <w:right w:val="single" w:sz="8" w:space="0" w:color="auto"/>
            </w:tcBorders>
            <w:vAlign w:val="center"/>
            <w:hideMark/>
          </w:tcPr>
          <w:p w:rsidR="003755F0" w:rsidRPr="003755F0" w:rsidP="003755F0" w14:paraId="5F2BC1FD" w14:textId="77777777">
            <w:pPr>
              <w:spacing w:after="0" w:line="240" w:lineRule="auto"/>
              <w:jc w:val="right"/>
              <w:rPr>
                <w:rFonts w:ascii="Times New Roman" w:eastAsia="Times New Roman" w:hAnsi="Times New Roman" w:cs="Times New Roman"/>
                <w:sz w:val="24"/>
                <w:szCs w:val="24"/>
                <w:lang w:val="ru-RU" w:eastAsia="ru-RU"/>
              </w:rPr>
            </w:pPr>
            <w:r w:rsidRPr="003755F0">
              <w:rPr>
                <w:rFonts w:ascii="Times New Roman" w:eastAsia="Calibri" w:hAnsi="Times New Roman" w:cs="Times New Roman"/>
                <w:kern w:val="2"/>
                <w:sz w:val="24"/>
                <w:szCs w:val="24"/>
                <w:lang w:eastAsia="en-US"/>
                <w14:ligatures w14:val="standardContextual"/>
              </w:rPr>
              <w:t>458,0</w:t>
            </w:r>
          </w:p>
        </w:tc>
      </w:tr>
      <w:tr w14:paraId="04C5C940" w14:textId="77777777" w:rsidTr="003755F0">
        <w:tblPrEx>
          <w:tblW w:w="9825" w:type="dxa"/>
          <w:tblInd w:w="93" w:type="dxa"/>
          <w:tblLayout w:type="fixed"/>
          <w:tblLook w:val="04A0"/>
        </w:tblPrEx>
        <w:trPr>
          <w:trHeight w:val="300"/>
        </w:trPr>
        <w:tc>
          <w:tcPr>
            <w:tcW w:w="1860" w:type="dxa"/>
            <w:tcBorders>
              <w:top w:val="nil"/>
              <w:left w:val="single" w:sz="8" w:space="0" w:color="auto"/>
              <w:bottom w:val="single" w:sz="8" w:space="0" w:color="auto"/>
              <w:right w:val="single" w:sz="8" w:space="0" w:color="auto"/>
            </w:tcBorders>
            <w:vAlign w:val="center"/>
            <w:hideMark/>
          </w:tcPr>
          <w:p w:rsidR="003755F0" w:rsidRPr="003755F0" w:rsidP="003755F0" w14:paraId="0F77687B" w14:textId="77777777">
            <w:pPr>
              <w:spacing w:after="0" w:line="240" w:lineRule="auto"/>
              <w:rPr>
                <w:rFonts w:ascii="Times New Roman" w:eastAsia="Times New Roman" w:hAnsi="Times New Roman" w:cs="Times New Roman"/>
                <w:b/>
                <w:bCs/>
                <w:sz w:val="24"/>
                <w:szCs w:val="24"/>
                <w:lang w:val="ru-RU" w:eastAsia="ru-RU"/>
              </w:rPr>
            </w:pPr>
            <w:r w:rsidRPr="003755F0">
              <w:rPr>
                <w:rFonts w:ascii="Times New Roman" w:eastAsia="Times New Roman" w:hAnsi="Times New Roman" w:cs="Times New Roman"/>
                <w:b/>
                <w:bCs/>
                <w:sz w:val="24"/>
                <w:szCs w:val="24"/>
                <w:lang w:eastAsia="ru-RU"/>
              </w:rPr>
              <w:t>Разом</w:t>
            </w:r>
          </w:p>
        </w:tc>
        <w:tc>
          <w:tcPr>
            <w:tcW w:w="960" w:type="dxa"/>
            <w:tcBorders>
              <w:top w:val="nil"/>
              <w:left w:val="nil"/>
              <w:bottom w:val="single" w:sz="8" w:space="0" w:color="auto"/>
              <w:right w:val="single" w:sz="8" w:space="0" w:color="auto"/>
            </w:tcBorders>
            <w:vAlign w:val="center"/>
            <w:hideMark/>
          </w:tcPr>
          <w:p w:rsidR="003755F0" w:rsidRPr="003755F0" w:rsidP="003755F0" w14:paraId="72EFE9EF"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357,3</w:t>
            </w:r>
          </w:p>
        </w:tc>
        <w:tc>
          <w:tcPr>
            <w:tcW w:w="960" w:type="dxa"/>
            <w:tcBorders>
              <w:top w:val="nil"/>
              <w:left w:val="nil"/>
              <w:bottom w:val="single" w:sz="8" w:space="0" w:color="auto"/>
              <w:right w:val="single" w:sz="8" w:space="0" w:color="auto"/>
            </w:tcBorders>
            <w:vAlign w:val="center"/>
            <w:hideMark/>
          </w:tcPr>
          <w:p w:rsidR="003755F0" w:rsidRPr="003755F0" w:rsidP="003755F0" w14:paraId="78EE58F4"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502,3</w:t>
            </w:r>
          </w:p>
        </w:tc>
        <w:tc>
          <w:tcPr>
            <w:tcW w:w="960" w:type="dxa"/>
            <w:tcBorders>
              <w:top w:val="nil"/>
              <w:left w:val="nil"/>
              <w:bottom w:val="single" w:sz="8" w:space="0" w:color="auto"/>
              <w:right w:val="single" w:sz="8" w:space="0" w:color="auto"/>
            </w:tcBorders>
            <w:vAlign w:val="center"/>
            <w:hideMark/>
          </w:tcPr>
          <w:p w:rsidR="003755F0" w:rsidRPr="003755F0" w:rsidP="003755F0" w14:paraId="6AD76E77"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663,6</w:t>
            </w:r>
          </w:p>
        </w:tc>
        <w:tc>
          <w:tcPr>
            <w:tcW w:w="960" w:type="dxa"/>
            <w:tcBorders>
              <w:top w:val="nil"/>
              <w:left w:val="nil"/>
              <w:bottom w:val="single" w:sz="8" w:space="0" w:color="auto"/>
              <w:right w:val="single" w:sz="8" w:space="0" w:color="auto"/>
            </w:tcBorders>
            <w:vAlign w:val="center"/>
            <w:hideMark/>
          </w:tcPr>
          <w:p w:rsidR="003755F0" w:rsidRPr="003755F0" w:rsidP="003755F0" w14:paraId="65B5C5BC"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690,0</w:t>
            </w:r>
          </w:p>
        </w:tc>
        <w:tc>
          <w:tcPr>
            <w:tcW w:w="960" w:type="dxa"/>
            <w:tcBorders>
              <w:top w:val="nil"/>
              <w:left w:val="nil"/>
              <w:bottom w:val="single" w:sz="8" w:space="0" w:color="auto"/>
              <w:right w:val="single" w:sz="8" w:space="0" w:color="auto"/>
            </w:tcBorders>
            <w:vAlign w:val="center"/>
            <w:hideMark/>
          </w:tcPr>
          <w:p w:rsidR="003755F0" w:rsidRPr="003755F0" w:rsidP="003755F0" w14:paraId="096FBCE7"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722,0</w:t>
            </w:r>
          </w:p>
        </w:tc>
        <w:tc>
          <w:tcPr>
            <w:tcW w:w="960" w:type="dxa"/>
            <w:tcBorders>
              <w:top w:val="nil"/>
              <w:left w:val="nil"/>
              <w:bottom w:val="single" w:sz="8" w:space="0" w:color="auto"/>
              <w:right w:val="single" w:sz="8" w:space="0" w:color="auto"/>
            </w:tcBorders>
            <w:vAlign w:val="center"/>
            <w:hideMark/>
          </w:tcPr>
          <w:p w:rsidR="003755F0" w:rsidRPr="003755F0" w:rsidP="003755F0" w14:paraId="1EAEAA35"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756,3</w:t>
            </w:r>
          </w:p>
        </w:tc>
        <w:tc>
          <w:tcPr>
            <w:tcW w:w="1066" w:type="dxa"/>
            <w:tcBorders>
              <w:top w:val="nil"/>
              <w:left w:val="nil"/>
              <w:bottom w:val="single" w:sz="8" w:space="0" w:color="auto"/>
              <w:right w:val="single" w:sz="8" w:space="0" w:color="auto"/>
            </w:tcBorders>
            <w:vAlign w:val="center"/>
            <w:hideMark/>
          </w:tcPr>
          <w:p w:rsidR="003755F0" w:rsidRPr="003755F0" w:rsidP="003755F0" w14:paraId="2DC48740"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790,3</w:t>
            </w:r>
          </w:p>
        </w:tc>
        <w:tc>
          <w:tcPr>
            <w:tcW w:w="1134" w:type="dxa"/>
            <w:tcBorders>
              <w:top w:val="nil"/>
              <w:left w:val="nil"/>
              <w:bottom w:val="single" w:sz="8" w:space="0" w:color="auto"/>
              <w:right w:val="single" w:sz="8" w:space="0" w:color="auto"/>
            </w:tcBorders>
            <w:vAlign w:val="center"/>
            <w:hideMark/>
          </w:tcPr>
          <w:p w:rsidR="003755F0" w:rsidRPr="003755F0" w:rsidP="003755F0" w14:paraId="67856D7A" w14:textId="77777777">
            <w:pPr>
              <w:spacing w:after="0" w:line="240" w:lineRule="auto"/>
              <w:jc w:val="right"/>
              <w:rPr>
                <w:rFonts w:ascii="Times New Roman" w:eastAsia="Times New Roman" w:hAnsi="Times New Roman" w:cs="Times New Roman"/>
                <w:b/>
                <w:bCs/>
                <w:sz w:val="24"/>
                <w:szCs w:val="24"/>
                <w:lang w:val="ru-RU" w:eastAsia="ru-RU"/>
              </w:rPr>
            </w:pPr>
            <w:r w:rsidRPr="003755F0">
              <w:rPr>
                <w:rFonts w:ascii="Times New Roman" w:eastAsia="Calibri" w:hAnsi="Times New Roman" w:cs="Times New Roman"/>
                <w:b/>
                <w:bCs/>
                <w:kern w:val="2"/>
                <w:sz w:val="24"/>
                <w:szCs w:val="24"/>
                <w:lang w:eastAsia="en-US"/>
                <w14:ligatures w14:val="standardContextual"/>
              </w:rPr>
              <w:t>4481,8</w:t>
            </w:r>
          </w:p>
        </w:tc>
      </w:tr>
    </w:tbl>
    <w:p w:rsidR="003755F0" w:rsidRPr="003755F0" w:rsidP="003755F0" w14:paraId="32C64D41" w14:textId="77777777">
      <w:pPr>
        <w:tabs>
          <w:tab w:val="left" w:pos="851"/>
        </w:tabs>
        <w:spacing w:after="0" w:line="240" w:lineRule="auto"/>
        <w:rPr>
          <w:rFonts w:ascii="Times New Roman" w:eastAsia="Calibri" w:hAnsi="Times New Roman" w:cs="Times New Roman"/>
          <w:b/>
          <w:bCs/>
          <w:kern w:val="2"/>
          <w:sz w:val="28"/>
          <w:szCs w:val="28"/>
          <w:lang w:eastAsia="en-US"/>
          <w14:ligatures w14:val="standardContextual"/>
        </w:rPr>
      </w:pPr>
    </w:p>
    <w:p w:rsidR="003755F0" w:rsidRPr="003755F0" w:rsidP="003755F0" w14:paraId="7C8E8882" w14:textId="77777777">
      <w:pPr>
        <w:tabs>
          <w:tab w:val="left" w:pos="851"/>
        </w:tabs>
        <w:spacing w:after="0" w:line="240" w:lineRule="auto"/>
        <w:jc w:val="center"/>
        <w:rPr>
          <w:rFonts w:ascii="Times New Roman" w:eastAsia="Calibri" w:hAnsi="Times New Roman" w:cs="Times New Roman"/>
          <w:b/>
          <w:bCs/>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Залучення суб’єктів малого і середнього підприємництва</w:t>
      </w:r>
    </w:p>
    <w:p w:rsidR="003755F0" w:rsidRPr="003755F0" w:rsidP="003755F0" w14:paraId="0317D18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Реалізація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«БУДШЛЯХМАШ» стане потужним імпульсом для розвитку місцевого МСП, адже сприятиме модернізації логістичної та інженерно-транспортної інфраструктури, формуванню промислового кластера та міжгалузевої синергії, підвищенню інвестиційної привабливості і прискоренню інновацій</w:t>
      </w:r>
      <w:r w:rsidRPr="003755F0">
        <w:rPr>
          <w:rFonts w:ascii="Times New Roman" w:eastAsia="Calibri" w:hAnsi="Times New Roman" w:cs="Times New Roman"/>
          <w:kern w:val="2"/>
          <w:sz w:val="28"/>
          <w:szCs w:val="28"/>
          <w:lang w:eastAsia="en-US"/>
          <w14:ligatures w14:val="standardContextual"/>
        </w:rPr>
        <w:softHyphen/>
        <w:t>ного розвитку регіону.</w:t>
      </w:r>
    </w:p>
    <w:p w:rsidR="003755F0" w:rsidRPr="003755F0" w:rsidP="003755F0" w14:paraId="43CDC38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Основні переваги, які обумовлюють позитивний вплив парку, полягають у наступному. По-перше, індустріальні парки забезпечують доступ до інфраструктури, вирішуючи типові проблеми МСП, пов’язані з недостатнім транспортним сполученням, енергопостачанням та іншими комунікаціями. Готові інфраструктурні рішення дозволяють підприємствам зосередитися на основній діяльності, не витрачаючи ресурси на вирішення технічних питань, що особливо важливо для стартапів та компаній з обмеженими стартовими ресурсами.</w:t>
      </w:r>
    </w:p>
    <w:p w:rsidR="003755F0" w:rsidRPr="003755F0" w:rsidP="003755F0" w14:paraId="47D37860"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По-друге, індустріальні парки сприяють створенню кластерів і синергії між підприємст</w:t>
      </w:r>
      <w:r w:rsidRPr="003755F0">
        <w:rPr>
          <w:rFonts w:ascii="Times New Roman" w:eastAsia="Calibri" w:hAnsi="Times New Roman" w:cs="Times New Roman"/>
          <w:kern w:val="2"/>
          <w:sz w:val="28"/>
          <w:szCs w:val="28"/>
          <w:lang w:eastAsia="en-US"/>
          <w14:ligatures w14:val="standardContextual"/>
        </w:rPr>
        <w:softHyphen/>
        <w:t xml:space="preserve">вами. Розташування МСП поруч з великими промисловими комплексами відкриває можливості для співпраці, обміну досвідом та інноваціями. Малі підприємства можуть ставати постачальниками для великих компаній, розширюючи ринки збуту та збільшуючи обсяги виробництва. Крім того, кластери стимулюють спільні </w:t>
      </w:r>
      <w:r w:rsidRPr="003755F0">
        <w:rPr>
          <w:rFonts w:ascii="Times New Roman" w:eastAsia="Calibri" w:hAnsi="Times New Roman" w:cs="Times New Roman"/>
          <w:kern w:val="2"/>
          <w:sz w:val="28"/>
          <w:szCs w:val="28"/>
          <w:lang w:eastAsia="en-US"/>
          <w14:ligatures w14:val="standardContextual"/>
        </w:rPr>
        <w:t>проєкти</w:t>
      </w:r>
      <w:r w:rsidRPr="003755F0">
        <w:rPr>
          <w:rFonts w:ascii="Times New Roman" w:eastAsia="Calibri" w:hAnsi="Times New Roman" w:cs="Times New Roman"/>
          <w:kern w:val="2"/>
          <w:sz w:val="28"/>
          <w:szCs w:val="28"/>
          <w:lang w:eastAsia="en-US"/>
          <w14:ligatures w14:val="standardContextual"/>
        </w:rPr>
        <w:t xml:space="preserve"> та ініціативи, що підвищує конкурентоспроможність регіону.</w:t>
      </w:r>
    </w:p>
    <w:p w:rsidR="003755F0" w:rsidRPr="003755F0" w:rsidP="003755F0" w14:paraId="16BDD34B"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По-третє, індустріальні парки приваблюють інвестиції та створюють нові робочі місця. Залучення великих інвесторів стимулює економічну активність, збільшуючи попит на товари та послуги, які надає малий та середній бізнес. Це, </w:t>
      </w:r>
      <w:r w:rsidRPr="003755F0">
        <w:rPr>
          <w:rFonts w:ascii="Times New Roman" w:eastAsia="Calibri" w:hAnsi="Times New Roman" w:cs="Times New Roman"/>
          <w:kern w:val="2"/>
          <w:sz w:val="28"/>
          <w:szCs w:val="28"/>
          <w:lang w:eastAsia="en-US"/>
          <w14:ligatures w14:val="standardContextual"/>
        </w:rPr>
        <w:t>у свою чергу, сприяє зростанню доходів місцевих підприємств та формуванню нових робочих місць.</w:t>
      </w:r>
    </w:p>
    <w:p w:rsidR="003755F0" w:rsidRPr="003755F0" w:rsidP="003755F0" w14:paraId="0B5FA49D"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Нарешті індустріальні парки сприяють розвитку інновацій та технологій. Сучасні парки часто включають науково-дослідні центри, бізнес-інкубатори та акселератори, які надають підтримку стартапам та інноваційним компаніям. Це допомагає малому та середньому бізнесу впроваджувати нові технології, розробляти інноваційні продукти та послуги, а також виходити на міжнародні ринки.</w:t>
      </w:r>
    </w:p>
    <w:p w:rsidR="003755F0" w:rsidRPr="003755F0" w:rsidP="003755F0" w14:paraId="6F3ACFA2"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Таким чином, бізнес, розміщений в ІП «БУДШЛЯХМАШ», активно взаємодіятиме з численними контрагентами як всередині, так і за межами парку. Співпраця учасників з МСП — у сферах логістики, харчування, сервісного обслуговування тощо — відкриватиме додаткові можливості для створення нових робочих місць та розвитку економіки регіону.</w:t>
      </w:r>
      <w:bookmarkStart w:id="17" w:name="_Toc194054635"/>
    </w:p>
    <w:p w:rsidR="003755F0" w:rsidRPr="003755F0" w:rsidP="003755F0" w14:paraId="3E3C6752" w14:textId="77777777">
      <w:pPr>
        <w:keepNext/>
        <w:keepLines/>
        <w:numPr>
          <w:ilvl w:val="0"/>
          <w:numId w:val="1"/>
        </w:numPr>
        <w:spacing w:before="160" w:after="80" w:line="240" w:lineRule="auto"/>
        <w:ind w:left="928"/>
        <w:jc w:val="center"/>
        <w:outlineLvl w:val="2"/>
        <w:rPr>
          <w:rFonts w:ascii="Times New Roman" w:eastAsia="Times New Roman" w:hAnsi="Times New Roman" w:cs="Times New Roman"/>
          <w:b/>
          <w:kern w:val="2"/>
          <w:sz w:val="28"/>
          <w:szCs w:val="28"/>
          <w:lang w:eastAsia="en-US"/>
          <w14:ligatures w14:val="standardContextual"/>
        </w:rPr>
      </w:pPr>
      <w:r w:rsidRPr="003755F0">
        <w:rPr>
          <w:rFonts w:ascii="Times New Roman" w:eastAsia="Times New Roman" w:hAnsi="Times New Roman" w:cs="Times New Roman"/>
          <w:b/>
          <w:kern w:val="2"/>
          <w:sz w:val="28"/>
          <w:szCs w:val="28"/>
          <w:lang w:eastAsia="en-US"/>
          <w14:ligatures w14:val="standardContextual"/>
        </w:rPr>
        <w:t xml:space="preserve">  Макроекономічні ефекти реалізації </w:t>
      </w:r>
      <w:r w:rsidRPr="003755F0">
        <w:rPr>
          <w:rFonts w:ascii="Times New Roman" w:eastAsia="Times New Roman" w:hAnsi="Times New Roman" w:cs="Times New Roman"/>
          <w:b/>
          <w:kern w:val="2"/>
          <w:sz w:val="28"/>
          <w:szCs w:val="28"/>
          <w:lang w:eastAsia="en-US"/>
          <w14:ligatures w14:val="standardContextual"/>
        </w:rPr>
        <w:t>проєкту</w:t>
      </w:r>
      <w:r w:rsidRPr="003755F0">
        <w:rPr>
          <w:rFonts w:ascii="Times New Roman" w:eastAsia="Times New Roman" w:hAnsi="Times New Roman" w:cs="Times New Roman"/>
          <w:b/>
          <w:kern w:val="2"/>
          <w:sz w:val="28"/>
          <w:szCs w:val="28"/>
          <w:lang w:eastAsia="en-US"/>
          <w14:ligatures w14:val="standardContextual"/>
        </w:rPr>
        <w:t xml:space="preserve"> індустріального парку</w:t>
      </w:r>
      <w:bookmarkEnd w:id="17"/>
    </w:p>
    <w:p w:rsidR="003755F0" w:rsidRPr="003755F0" w:rsidP="003755F0" w14:paraId="2E549D2A"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Окрім оцінки фінансових результатів діяльності індустріального парку, його впливу на місцевий бюджет і рівень зайнятості, критично важливим є аналіз макроекономічних ефектів, які виникають унаслідок реалізації такого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Залучення значних капіталовкладень у створення нового промислового кластера спричиняє структурні зміни в економіці країни. Ці зміни обумовлені формуванням розгалуженої мережі міжгалузевих </w:t>
      </w:r>
      <w:r w:rsidRPr="003755F0">
        <w:rPr>
          <w:rFonts w:ascii="Times New Roman" w:eastAsia="Calibri" w:hAnsi="Times New Roman" w:cs="Times New Roman"/>
          <w:kern w:val="2"/>
          <w:sz w:val="28"/>
          <w:szCs w:val="28"/>
          <w:lang w:eastAsia="en-US"/>
          <w14:ligatures w14:val="standardContextual"/>
        </w:rPr>
        <w:t>зв’язків</w:t>
      </w:r>
      <w:r w:rsidRPr="003755F0">
        <w:rPr>
          <w:rFonts w:ascii="Times New Roman" w:eastAsia="Calibri" w:hAnsi="Times New Roman" w:cs="Times New Roman"/>
          <w:kern w:val="2"/>
          <w:sz w:val="28"/>
          <w:szCs w:val="28"/>
          <w:lang w:eastAsia="en-US"/>
          <w14:ligatures w14:val="standardContextual"/>
        </w:rPr>
        <w:t>, які виникають завдяки кластерному ефекту, а також активізацією зовнішньоторговельної діяльності — як у процесі імпорту високотехнологічного обладнання, так і внаслідок експорту готової продукції.</w:t>
      </w:r>
    </w:p>
    <w:p w:rsidR="003755F0" w:rsidRPr="003755F0" w:rsidP="003755F0" w14:paraId="7F1E2F11"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Таким чином, макроекономічні наслідки створення індустріальних парків виходять за рамки локального впливу на регіональну економіку. Вони формують довгострокові передумови для зміцнення промислового потенціалу країни, підвищення її конкуренто</w:t>
      </w:r>
      <w:r w:rsidRPr="003755F0">
        <w:rPr>
          <w:rFonts w:ascii="Times New Roman" w:eastAsia="Calibri" w:hAnsi="Times New Roman" w:cs="Times New Roman"/>
          <w:kern w:val="2"/>
          <w:sz w:val="28"/>
          <w:szCs w:val="28"/>
          <w:lang w:eastAsia="en-US"/>
          <w14:ligatures w14:val="standardContextual"/>
        </w:rPr>
        <w:softHyphen/>
        <w:t xml:space="preserve">спроможності на міжнародних ринках та оптимізації галузевої структури економіки. Тому врахування цих ефектів є невід’ємною складовою оцінки ефективності державної промислової політики, адже саме вони визначають стратегічну цінність таких </w:t>
      </w:r>
      <w:r w:rsidRPr="003755F0">
        <w:rPr>
          <w:rFonts w:ascii="Times New Roman" w:eastAsia="Calibri" w:hAnsi="Times New Roman" w:cs="Times New Roman"/>
          <w:kern w:val="2"/>
          <w:sz w:val="28"/>
          <w:szCs w:val="28"/>
          <w:lang w:eastAsia="en-US"/>
          <w14:ligatures w14:val="standardContextual"/>
        </w:rPr>
        <w:t>проєктів</w:t>
      </w:r>
      <w:r w:rsidRPr="003755F0">
        <w:rPr>
          <w:rFonts w:ascii="Times New Roman" w:eastAsia="Calibri" w:hAnsi="Times New Roman" w:cs="Times New Roman"/>
          <w:kern w:val="2"/>
          <w:sz w:val="28"/>
          <w:szCs w:val="28"/>
          <w:lang w:eastAsia="en-US"/>
          <w14:ligatures w14:val="standardContextual"/>
        </w:rPr>
        <w:t xml:space="preserve"> для національної економіки.</w:t>
      </w:r>
    </w:p>
    <w:p w:rsidR="003755F0" w:rsidRPr="003755F0" w:rsidP="003755F0" w14:paraId="4400A513"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Для кількісної оцінки макроекономічних ефектів від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«БУДШЛЯХМАШ» було проведено економіко-математичне моделювання на основі таблиць «витрати–випуск», розроблених Державною службою статистики України. Цей метод дозволяє проаналізувати міжгалузеві взаємозв’язки в економіці та оцінити, як інвестиції у виробництво продукції машинобудування у поєднанні з державними </w:t>
      </w:r>
      <w:r w:rsidRPr="003755F0">
        <w:rPr>
          <w:rFonts w:ascii="Times New Roman" w:eastAsia="Calibri" w:hAnsi="Times New Roman" w:cs="Times New Roman"/>
          <w:kern w:val="2"/>
          <w:sz w:val="28"/>
          <w:szCs w:val="28"/>
          <w:lang w:eastAsia="en-US"/>
          <w14:ligatures w14:val="standardContextual"/>
        </w:rPr>
        <w:t>вкладеннями</w:t>
      </w:r>
      <w:r w:rsidRPr="003755F0">
        <w:rPr>
          <w:rFonts w:ascii="Times New Roman" w:eastAsia="Calibri" w:hAnsi="Times New Roman" w:cs="Times New Roman"/>
          <w:kern w:val="2"/>
          <w:sz w:val="28"/>
          <w:szCs w:val="28"/>
          <w:lang w:eastAsia="en-US"/>
          <w14:ligatures w14:val="standardContextual"/>
        </w:rPr>
        <w:t xml:space="preserve"> в інфраструктуру парку вплинуть на динаміку розвитку інших секторів національної економіки. Зокрема, він демонструє, як зростання попиту на проміжну продукцію (сировину, матеріали, послуги) для потреб індустріального парку та збільшення споживання товарів, робіт і послуг, вироблених у його межах, стимулюватиме розвиток суміжних галузей.</w:t>
      </w:r>
    </w:p>
    <w:p w:rsidR="003755F0" w:rsidRPr="003755F0" w:rsidP="003755F0" w14:paraId="67C9942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Оскільки метод ТВВ найефективніший для прогнозування середньострокових наслідків, сценарій моделювання базується на очікуваному зростанні валового випуску парку у 2033 році — з урахуванням виробництва комунальної, дорожньої, будівельної та іншої спеціальної техніки та послуг за відповідними кодами КВЕД. Розрахунки ґрунтуються на даних, наведених у таблиці 13 цієї Концепції. Такий підхід забезпечує об’єктивну оцінку впливу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на структурні зміни в економіці та ефективність державних інвестицій.</w:t>
      </w:r>
    </w:p>
    <w:p w:rsidR="003755F0" w:rsidP="003755F0" w14:paraId="3B459C98" w14:textId="5252F460">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Результати моделювання вказують, що завдяки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індустріального парку «БУДШЛЯХМАШ» темп приросту ВВП України у середньостроковій перспективі зросте на 0,23% на рік, що в абсолютному вимірі складає близько 17,9 млрд грн щорічно (табл. 21).</w:t>
      </w:r>
    </w:p>
    <w:p w:rsidR="003755F0" w:rsidRPr="003755F0" w:rsidP="003755F0" w14:paraId="5375EC67"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789559CB" w14:textId="77777777">
      <w:pPr>
        <w:tabs>
          <w:tab w:val="left" w:pos="851"/>
        </w:tabs>
        <w:spacing w:after="0" w:line="240" w:lineRule="auto"/>
        <w:jc w:val="center"/>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b/>
          <w:bCs/>
          <w:kern w:val="2"/>
          <w:sz w:val="28"/>
          <w:szCs w:val="28"/>
          <w:lang w:eastAsia="en-US"/>
          <w14:ligatures w14:val="standardContextual"/>
        </w:rPr>
        <w:t>Табл. 21.</w:t>
      </w:r>
      <w:r w:rsidRPr="003755F0">
        <w:rPr>
          <w:rFonts w:ascii="Times New Roman" w:eastAsia="Calibri" w:hAnsi="Times New Roman" w:cs="Times New Roman"/>
          <w:kern w:val="2"/>
          <w:sz w:val="28"/>
          <w:szCs w:val="28"/>
          <w:lang w:eastAsia="en-US"/>
          <w14:ligatures w14:val="standardContextual"/>
        </w:rPr>
        <w:t xml:space="preserve"> Результати моделювання середньострокових макроекономічних і галузевих ефектів від реалізації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ІП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w:t>
      </w:r>
    </w:p>
    <w:tbl>
      <w:tblPr>
        <w:tblStyle w:val="14"/>
        <w:tblW w:w="9351" w:type="dxa"/>
        <w:tblInd w:w="0" w:type="dxa"/>
        <w:tblLook w:val="04A0"/>
      </w:tblPr>
      <w:tblGrid>
        <w:gridCol w:w="3175"/>
        <w:gridCol w:w="1275"/>
        <w:gridCol w:w="2835"/>
        <w:gridCol w:w="2066"/>
      </w:tblGrid>
      <w:tr w14:paraId="6745BDFC" w14:textId="77777777" w:rsidTr="003755F0">
        <w:tblPrEx>
          <w:tblW w:w="9351" w:type="dxa"/>
          <w:tblInd w:w="0" w:type="dxa"/>
          <w:tblLook w:val="04A0"/>
        </w:tblPrEx>
        <w:tc>
          <w:tcPr>
            <w:tcW w:w="3175"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14A2B423" w14:textId="77777777">
            <w:pPr>
              <w:tabs>
                <w:tab w:val="left" w:pos="851"/>
              </w:tabs>
              <w:jc w:val="center"/>
              <w:rPr>
                <w:rFonts w:ascii="Times New Roman" w:hAnsi="Times New Roman"/>
                <w:b/>
                <w:bCs/>
                <w:sz w:val="24"/>
                <w:szCs w:val="28"/>
              </w:rPr>
            </w:pPr>
            <w:r w:rsidRPr="003755F0">
              <w:rPr>
                <w:rFonts w:ascii="Times New Roman" w:eastAsia="Times New Roman" w:hAnsi="Times New Roman"/>
                <w:b/>
                <w:bCs/>
                <w:sz w:val="24"/>
                <w:szCs w:val="28"/>
              </w:rPr>
              <w:t>Макропоказники</w:t>
            </w:r>
          </w:p>
        </w:tc>
        <w:tc>
          <w:tcPr>
            <w:tcW w:w="1275"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40E57210"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Ефекти, %</w:t>
            </w:r>
          </w:p>
        </w:tc>
        <w:tc>
          <w:tcPr>
            <w:tcW w:w="2835"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3D55B75D"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Секторальні показники</w:t>
            </w:r>
          </w:p>
        </w:tc>
        <w:tc>
          <w:tcPr>
            <w:tcW w:w="2066" w:type="dxa"/>
            <w:tcBorders>
              <w:top w:val="single" w:sz="4" w:space="0" w:color="auto"/>
              <w:left w:val="single" w:sz="4" w:space="0" w:color="auto"/>
              <w:bottom w:val="single" w:sz="4" w:space="0" w:color="auto"/>
              <w:right w:val="single" w:sz="4" w:space="0" w:color="auto"/>
            </w:tcBorders>
            <w:shd w:val="clear" w:color="auto" w:fill="809EC2"/>
            <w:hideMark/>
          </w:tcPr>
          <w:p w:rsidR="003755F0" w:rsidRPr="003755F0" w:rsidP="003755F0" w14:paraId="1C6845AD" w14:textId="77777777">
            <w:pPr>
              <w:tabs>
                <w:tab w:val="left" w:pos="851"/>
              </w:tabs>
              <w:jc w:val="center"/>
              <w:rPr>
                <w:rFonts w:ascii="Times New Roman" w:eastAsia="Times New Roman" w:hAnsi="Times New Roman"/>
                <w:b/>
                <w:bCs/>
                <w:sz w:val="24"/>
                <w:szCs w:val="28"/>
              </w:rPr>
            </w:pPr>
            <w:r w:rsidRPr="003755F0">
              <w:rPr>
                <w:rFonts w:ascii="Times New Roman" w:eastAsia="Times New Roman" w:hAnsi="Times New Roman"/>
                <w:b/>
                <w:bCs/>
                <w:sz w:val="24"/>
                <w:szCs w:val="28"/>
              </w:rPr>
              <w:t>Ефекти, %</w:t>
            </w:r>
          </w:p>
        </w:tc>
      </w:tr>
      <w:tr w14:paraId="689311D0" w14:textId="77777777" w:rsidTr="003755F0">
        <w:tblPrEx>
          <w:tblW w:w="9351" w:type="dxa"/>
          <w:tblInd w:w="0" w:type="dxa"/>
          <w:tblLook w:val="04A0"/>
        </w:tblPrEx>
        <w:tc>
          <w:tcPr>
            <w:tcW w:w="3175" w:type="dxa"/>
            <w:tcBorders>
              <w:top w:val="single" w:sz="4" w:space="0" w:color="auto"/>
              <w:left w:val="single" w:sz="4" w:space="0" w:color="auto"/>
              <w:bottom w:val="single" w:sz="4" w:space="0" w:color="auto"/>
              <w:right w:val="single" w:sz="4" w:space="0" w:color="auto"/>
            </w:tcBorders>
            <w:hideMark/>
          </w:tcPr>
          <w:p w:rsidR="003755F0" w:rsidRPr="003755F0" w:rsidP="003755F0" w14:paraId="799658F7"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ВВП України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17DFF591"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0,23</w:t>
            </w:r>
          </w:p>
        </w:tc>
        <w:tc>
          <w:tcPr>
            <w:tcW w:w="2835" w:type="dxa"/>
            <w:tcBorders>
              <w:top w:val="single" w:sz="4" w:space="0" w:color="auto"/>
              <w:left w:val="single" w:sz="4" w:space="0" w:color="auto"/>
              <w:bottom w:val="single" w:sz="4" w:space="0" w:color="auto"/>
              <w:right w:val="single" w:sz="4" w:space="0" w:color="auto"/>
            </w:tcBorders>
            <w:hideMark/>
          </w:tcPr>
          <w:p w:rsidR="003755F0" w:rsidRPr="003755F0" w:rsidP="003755F0" w14:paraId="05DC7CA4"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Сільське господарство</w:t>
            </w:r>
          </w:p>
        </w:tc>
        <w:tc>
          <w:tcPr>
            <w:tcW w:w="206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6A6658F"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0,01</w:t>
            </w:r>
          </w:p>
        </w:tc>
      </w:tr>
      <w:tr w14:paraId="7B78C247" w14:textId="77777777" w:rsidTr="003755F0">
        <w:tblPrEx>
          <w:tblW w:w="9351" w:type="dxa"/>
          <w:tblInd w:w="0" w:type="dxa"/>
          <w:tblLook w:val="04A0"/>
        </w:tblPrEx>
        <w:tc>
          <w:tcPr>
            <w:tcW w:w="3175" w:type="dxa"/>
            <w:tcBorders>
              <w:top w:val="single" w:sz="4" w:space="0" w:color="auto"/>
              <w:left w:val="single" w:sz="4" w:space="0" w:color="auto"/>
              <w:bottom w:val="single" w:sz="4" w:space="0" w:color="auto"/>
              <w:right w:val="single" w:sz="4" w:space="0" w:color="auto"/>
            </w:tcBorders>
            <w:hideMark/>
          </w:tcPr>
          <w:p w:rsidR="003755F0" w:rsidRPr="003755F0" w:rsidP="003755F0" w14:paraId="6D1F43EF"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Оплата праці найманих працівників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637E0CD3"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0,22</w:t>
            </w:r>
          </w:p>
        </w:tc>
        <w:tc>
          <w:tcPr>
            <w:tcW w:w="2835" w:type="dxa"/>
            <w:tcBorders>
              <w:top w:val="single" w:sz="4" w:space="0" w:color="auto"/>
              <w:left w:val="single" w:sz="4" w:space="0" w:color="auto"/>
              <w:bottom w:val="single" w:sz="4" w:space="0" w:color="auto"/>
              <w:right w:val="single" w:sz="4" w:space="0" w:color="auto"/>
            </w:tcBorders>
            <w:hideMark/>
          </w:tcPr>
          <w:p w:rsidR="003755F0" w:rsidRPr="003755F0" w:rsidP="003755F0" w14:paraId="75BEF528"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Добувна промисловість, розроблення кар’єрів</w:t>
            </w:r>
          </w:p>
        </w:tc>
        <w:tc>
          <w:tcPr>
            <w:tcW w:w="206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9CFFF0F"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0,69</w:t>
            </w:r>
          </w:p>
        </w:tc>
      </w:tr>
      <w:tr w14:paraId="21C94692" w14:textId="77777777" w:rsidTr="003755F0">
        <w:tblPrEx>
          <w:tblW w:w="9351" w:type="dxa"/>
          <w:tblInd w:w="0" w:type="dxa"/>
          <w:tblLook w:val="04A0"/>
        </w:tblPrEx>
        <w:tc>
          <w:tcPr>
            <w:tcW w:w="3175" w:type="dxa"/>
            <w:tcBorders>
              <w:top w:val="single" w:sz="4" w:space="0" w:color="auto"/>
              <w:left w:val="single" w:sz="4" w:space="0" w:color="auto"/>
              <w:bottom w:val="single" w:sz="4" w:space="0" w:color="auto"/>
              <w:right w:val="single" w:sz="4" w:space="0" w:color="auto"/>
            </w:tcBorders>
            <w:hideMark/>
          </w:tcPr>
          <w:p w:rsidR="003755F0" w:rsidRPr="003755F0" w:rsidP="003755F0" w14:paraId="62C22A35"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Валовий прибуток, змішаний дохід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DDA1C61"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0,25</w:t>
            </w:r>
          </w:p>
        </w:tc>
        <w:tc>
          <w:tcPr>
            <w:tcW w:w="2835" w:type="dxa"/>
            <w:tcBorders>
              <w:top w:val="single" w:sz="4" w:space="0" w:color="auto"/>
              <w:left w:val="single" w:sz="4" w:space="0" w:color="auto"/>
              <w:bottom w:val="single" w:sz="4" w:space="0" w:color="auto"/>
              <w:right w:val="single" w:sz="4" w:space="0" w:color="auto"/>
            </w:tcBorders>
            <w:hideMark/>
          </w:tcPr>
          <w:p w:rsidR="003755F0" w:rsidRPr="003755F0" w:rsidP="003755F0" w14:paraId="437F8902"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 xml:space="preserve">Переробна </w:t>
            </w:r>
          </w:p>
          <w:p w:rsidR="003755F0" w:rsidRPr="003755F0" w:rsidP="003755F0" w14:paraId="0EB7EE6B"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промисловість</w:t>
            </w:r>
          </w:p>
        </w:tc>
        <w:tc>
          <w:tcPr>
            <w:tcW w:w="206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4142266F"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0,70</w:t>
            </w:r>
          </w:p>
        </w:tc>
      </w:tr>
      <w:tr w14:paraId="768BEA60" w14:textId="77777777" w:rsidTr="003755F0">
        <w:tblPrEx>
          <w:tblW w:w="9351" w:type="dxa"/>
          <w:tblInd w:w="0" w:type="dxa"/>
          <w:tblLook w:val="04A0"/>
        </w:tblPrEx>
        <w:tc>
          <w:tcPr>
            <w:tcW w:w="3175" w:type="dxa"/>
            <w:tcBorders>
              <w:top w:val="single" w:sz="4" w:space="0" w:color="auto"/>
              <w:left w:val="single" w:sz="4" w:space="0" w:color="auto"/>
              <w:bottom w:val="single" w:sz="4" w:space="0" w:color="auto"/>
              <w:right w:val="single" w:sz="4" w:space="0" w:color="auto"/>
            </w:tcBorders>
            <w:hideMark/>
          </w:tcPr>
          <w:p w:rsidR="003755F0" w:rsidRPr="003755F0" w:rsidP="003755F0" w14:paraId="41A50523"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Експорт товарів і послуг</w:t>
            </w:r>
          </w:p>
        </w:tc>
        <w:tc>
          <w:tcPr>
            <w:tcW w:w="12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2C2EF19"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0,27</w:t>
            </w:r>
          </w:p>
        </w:tc>
        <w:tc>
          <w:tcPr>
            <w:tcW w:w="2835" w:type="dxa"/>
            <w:tcBorders>
              <w:top w:val="single" w:sz="4" w:space="0" w:color="auto"/>
              <w:left w:val="single" w:sz="4" w:space="0" w:color="auto"/>
              <w:bottom w:val="single" w:sz="4" w:space="0" w:color="auto"/>
              <w:right w:val="single" w:sz="4" w:space="0" w:color="auto"/>
            </w:tcBorders>
            <w:hideMark/>
          </w:tcPr>
          <w:p w:rsidR="003755F0" w:rsidRPr="003755F0" w:rsidP="003755F0" w14:paraId="3B5B74B0"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Будівельна галузь</w:t>
            </w:r>
          </w:p>
        </w:tc>
        <w:tc>
          <w:tcPr>
            <w:tcW w:w="206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3E985F47"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0,05</w:t>
            </w:r>
          </w:p>
        </w:tc>
      </w:tr>
      <w:tr w14:paraId="707D7DBB" w14:textId="77777777" w:rsidTr="003755F0">
        <w:tblPrEx>
          <w:tblW w:w="9351" w:type="dxa"/>
          <w:tblInd w:w="0" w:type="dxa"/>
          <w:tblLook w:val="04A0"/>
        </w:tblPrEx>
        <w:tc>
          <w:tcPr>
            <w:tcW w:w="3175" w:type="dxa"/>
            <w:tcBorders>
              <w:top w:val="single" w:sz="4" w:space="0" w:color="auto"/>
              <w:left w:val="single" w:sz="4" w:space="0" w:color="auto"/>
              <w:bottom w:val="single" w:sz="4" w:space="0" w:color="auto"/>
              <w:right w:val="single" w:sz="4" w:space="0" w:color="auto"/>
            </w:tcBorders>
            <w:hideMark/>
          </w:tcPr>
          <w:p w:rsidR="003755F0" w:rsidRPr="003755F0" w:rsidP="003755F0" w14:paraId="70AB5EEE"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Імпорт сировини і обладнання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7965CC9D"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0,64</w:t>
            </w:r>
          </w:p>
        </w:tc>
        <w:tc>
          <w:tcPr>
            <w:tcW w:w="2835"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5167A27D" w14:textId="77777777">
            <w:pPr>
              <w:tabs>
                <w:tab w:val="left" w:pos="851"/>
              </w:tabs>
              <w:rPr>
                <w:rFonts w:ascii="Times New Roman" w:eastAsia="Times New Roman" w:hAnsi="Times New Roman"/>
                <w:sz w:val="24"/>
                <w:szCs w:val="28"/>
              </w:rPr>
            </w:pPr>
            <w:r w:rsidRPr="003755F0">
              <w:rPr>
                <w:rFonts w:ascii="Times New Roman" w:eastAsia="Times New Roman" w:hAnsi="Times New Roman"/>
                <w:sz w:val="24"/>
                <w:szCs w:val="28"/>
              </w:rPr>
              <w:t>Сектор послуг</w:t>
            </w:r>
          </w:p>
        </w:tc>
        <w:tc>
          <w:tcPr>
            <w:tcW w:w="2066" w:type="dxa"/>
            <w:tcBorders>
              <w:top w:val="single" w:sz="4" w:space="0" w:color="auto"/>
              <w:left w:val="single" w:sz="4" w:space="0" w:color="auto"/>
              <w:bottom w:val="single" w:sz="4" w:space="0" w:color="auto"/>
              <w:right w:val="single" w:sz="4" w:space="0" w:color="auto"/>
            </w:tcBorders>
            <w:vAlign w:val="center"/>
            <w:hideMark/>
          </w:tcPr>
          <w:p w:rsidR="003755F0" w:rsidRPr="003755F0" w:rsidP="003755F0" w14:paraId="0FD16E34" w14:textId="77777777">
            <w:pPr>
              <w:tabs>
                <w:tab w:val="left" w:pos="851"/>
              </w:tabs>
              <w:jc w:val="right"/>
              <w:rPr>
                <w:rFonts w:ascii="Times New Roman" w:eastAsia="Times New Roman" w:hAnsi="Times New Roman"/>
                <w:sz w:val="24"/>
                <w:szCs w:val="28"/>
              </w:rPr>
            </w:pPr>
            <w:r w:rsidRPr="003755F0">
              <w:rPr>
                <w:rFonts w:ascii="Times New Roman" w:eastAsia="Times New Roman" w:hAnsi="Times New Roman"/>
                <w:sz w:val="24"/>
                <w:szCs w:val="28"/>
              </w:rPr>
              <w:t>0,16</w:t>
            </w:r>
          </w:p>
        </w:tc>
      </w:tr>
    </w:tbl>
    <w:p w:rsidR="003755F0" w:rsidRPr="003755F0" w:rsidP="003755F0" w14:paraId="194D5BA8"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p>
    <w:p w:rsidR="003755F0" w:rsidRPr="003755F0" w:rsidP="003755F0" w14:paraId="47C2051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Беручи до уваги, що безпосередньо на території парку вироблятиметься близько 9 млрд грн валового продукту на рік, міжгалузеві зв’язки учасників індустріального парку з іншими вітчизняними постачальниками сировини, обладнання, послуг забезпечуватимуть додатковий приріст ВВП України на 8,9 млрд грн в рік. Кожна гривня створеного у ІП продукту генеруватиме додаткові 0,98 грн виробленого продукту поза межами індустріального парку.</w:t>
      </w:r>
    </w:p>
    <w:p w:rsidR="003755F0" w:rsidRPr="003755F0" w:rsidP="003755F0" w14:paraId="7949FAA6" w14:textId="77777777">
      <w:pPr>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Загальний фонд оплати праці найманих працівників в Україні збільшиться на 0,22%, що в абсолютному вимірі відповідає зростанню на приблизно 585 млн грн на рік. Враховуючи, що річний фонд оплати праці ІП «</w:t>
      </w:r>
      <w:r w:rsidRPr="003755F0">
        <w:rPr>
          <w:rFonts w:ascii="Times New Roman" w:eastAsia="Calibri" w:hAnsi="Times New Roman" w:cs="Times New Roman"/>
          <w:caps/>
          <w:kern w:val="2"/>
          <w:sz w:val="28"/>
          <w:szCs w:val="28"/>
          <w:lang w:eastAsia="en-US"/>
          <w14:ligatures w14:val="standardContextual"/>
        </w:rPr>
        <w:t>БУДШЛЯХМАШ</w:t>
      </w:r>
      <w:r w:rsidRPr="003755F0">
        <w:rPr>
          <w:rFonts w:ascii="Times New Roman" w:eastAsia="Calibri" w:hAnsi="Times New Roman" w:cs="Times New Roman"/>
          <w:kern w:val="2"/>
          <w:sz w:val="28"/>
          <w:szCs w:val="28"/>
          <w:lang w:eastAsia="en-US"/>
          <w14:ligatures w14:val="standardContextual"/>
        </w:rPr>
        <w:t xml:space="preserve">» оцінюється у 365 млн грн (що скориговано на середню заробітну плату в Україні у 2024 р.), маємо додаткове зростання цього показника поза межами парку на рівні 220 млн грн. З цього співвідношення можна припускаємо, що кожне створене робоче місце на території ІП призведе до появи ще 0,6 робочих місць поза межами парку. Відтак на макрорівні реалізація </w:t>
      </w:r>
      <w:r w:rsidRPr="003755F0">
        <w:rPr>
          <w:rFonts w:ascii="Times New Roman" w:eastAsia="Calibri" w:hAnsi="Times New Roman" w:cs="Times New Roman"/>
          <w:kern w:val="2"/>
          <w:sz w:val="28"/>
          <w:szCs w:val="28"/>
          <w:lang w:eastAsia="en-US"/>
          <w14:ligatures w14:val="standardContextual"/>
        </w:rPr>
        <w:t>проєкту</w:t>
      </w:r>
      <w:r w:rsidRPr="003755F0">
        <w:rPr>
          <w:rFonts w:ascii="Times New Roman" w:eastAsia="Calibri" w:hAnsi="Times New Roman" w:cs="Times New Roman"/>
          <w:kern w:val="2"/>
          <w:sz w:val="28"/>
          <w:szCs w:val="28"/>
          <w:lang w:eastAsia="en-US"/>
          <w14:ligatures w14:val="standardContextual"/>
        </w:rPr>
        <w:t xml:space="preserve"> ІП призведе до створення 800 нових робочих місць (500 безпосередньо в парку та 300 поза ним).</w:t>
      </w:r>
    </w:p>
    <w:p w:rsidR="003755F0" w:rsidRPr="003755F0" w:rsidP="003755F0" w14:paraId="2621B475"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 xml:space="preserve">Серед інших важливих ефектів варто також відзначити зростання валового прибутку та змішаного доходу підприємств на 0,25%. Темпи зростання вітчизняного експорту товарів та послуг прискоряться на 0,27% на рік, імпорт сировини та обладнання зросте на 0,64% у зв’язку з необхідністю закупівлі </w:t>
      </w:r>
      <w:r w:rsidRPr="003755F0">
        <w:rPr>
          <w:rFonts w:ascii="Times New Roman" w:eastAsia="Calibri" w:hAnsi="Times New Roman" w:cs="Times New Roman"/>
          <w:kern w:val="2"/>
          <w:sz w:val="28"/>
          <w:szCs w:val="28"/>
          <w:lang w:eastAsia="en-US"/>
          <w14:ligatures w14:val="standardContextual"/>
        </w:rPr>
        <w:t xml:space="preserve">іноземних машин, комплектуючих та устаткування для зведення виробничих </w:t>
      </w:r>
      <w:r w:rsidRPr="003755F0">
        <w:rPr>
          <w:rFonts w:ascii="Times New Roman" w:eastAsia="Calibri" w:hAnsi="Times New Roman" w:cs="Times New Roman"/>
          <w:kern w:val="2"/>
          <w:sz w:val="28"/>
          <w:szCs w:val="28"/>
          <w:lang w:eastAsia="en-US"/>
          <w14:ligatures w14:val="standardContextual"/>
        </w:rPr>
        <w:t>потужностей</w:t>
      </w:r>
      <w:r w:rsidRPr="003755F0">
        <w:rPr>
          <w:rFonts w:ascii="Times New Roman" w:eastAsia="Calibri" w:hAnsi="Times New Roman" w:cs="Times New Roman"/>
          <w:kern w:val="2"/>
          <w:sz w:val="28"/>
          <w:szCs w:val="28"/>
          <w:lang w:eastAsia="en-US"/>
          <w14:ligatures w14:val="standardContextual"/>
        </w:rPr>
        <w:t xml:space="preserve"> та інфраструктурних об’єктів індустріального парку.</w:t>
      </w:r>
    </w:p>
    <w:p w:rsidR="003755F0" w:rsidRPr="003755F0" w:rsidP="003755F0" w14:paraId="7614B39C" w14:textId="77777777">
      <w:pPr>
        <w:tabs>
          <w:tab w:val="left" w:pos="851"/>
        </w:tabs>
        <w:spacing w:after="0" w:line="240" w:lineRule="auto"/>
        <w:ind w:firstLine="567"/>
        <w:jc w:val="both"/>
        <w:rPr>
          <w:rFonts w:ascii="Times New Roman" w:eastAsia="Calibri" w:hAnsi="Times New Roman" w:cs="Times New Roman"/>
          <w:kern w:val="2"/>
          <w:sz w:val="28"/>
          <w:szCs w:val="28"/>
          <w:lang w:eastAsia="en-US"/>
          <w14:ligatures w14:val="standardContextual"/>
        </w:rPr>
      </w:pPr>
      <w:r w:rsidRPr="003755F0">
        <w:rPr>
          <w:rFonts w:ascii="Times New Roman" w:eastAsia="Calibri" w:hAnsi="Times New Roman" w:cs="Times New Roman"/>
          <w:kern w:val="2"/>
          <w:sz w:val="28"/>
          <w:szCs w:val="28"/>
          <w:lang w:eastAsia="en-US"/>
          <w14:ligatures w14:val="standardContextual"/>
        </w:rPr>
        <w:t>У секторальному розрізі найбільший ефект від запуску роботи індустріального парку буде спостерігатися, безперечно, у напрямку машинобудування, яке збільшить свій випуск на 2,3% на рівні країни. Добувна промисловість збільшить випуск на 0,69% для задоволення потреб ІП у постачанні енергії. Зростання у секторі послуг складе 0,16%, передусім за рахунок послуг ремонту, транспортно-логістичних послуг, фінансових, консультаційних та інших ділових послуг для задоволення потреб учасників індустріального парку.</w:t>
      </w:r>
    </w:p>
    <w:p w:rsidR="003755F0" w:rsidRPr="003755F0" w:rsidP="003755F0" w14:paraId="133B4FFA" w14:textId="77777777">
      <w:pPr>
        <w:spacing w:after="0" w:line="240" w:lineRule="auto"/>
        <w:rPr>
          <w:rFonts w:ascii="Times New Roman" w:eastAsia="Times New Roman" w:hAnsi="Times New Roman" w:cs="Times New Roman"/>
          <w:b/>
          <w:sz w:val="28"/>
          <w:szCs w:val="28"/>
        </w:rPr>
      </w:pPr>
    </w:p>
    <w:p w:rsidR="003755F0" w:rsidRPr="003755F0" w:rsidP="003755F0" w14:paraId="6577D74D" w14:textId="77777777">
      <w:pPr>
        <w:spacing w:after="0" w:line="240" w:lineRule="auto"/>
        <w:rPr>
          <w:rFonts w:ascii="Times New Roman" w:eastAsia="Times New Roman" w:hAnsi="Times New Roman" w:cs="Times New Roman"/>
          <w:b/>
          <w:sz w:val="28"/>
          <w:szCs w:val="28"/>
        </w:rPr>
      </w:pPr>
    </w:p>
    <w:p w:rsidR="003755F0" w:rsidRPr="003755F0" w:rsidP="003755F0" w14:paraId="418B88A1" w14:textId="5C5F76E1">
      <w:pPr>
        <w:tabs>
          <w:tab w:val="left" w:pos="7088"/>
        </w:tabs>
        <w:spacing w:after="0"/>
        <w:jc w:val="both"/>
        <w:rPr>
          <w:rFonts w:ascii="Times New Roman" w:eastAsia="Times New Roman" w:hAnsi="Times New Roman" w:cs="Times New Roman"/>
          <w:sz w:val="28"/>
          <w:szCs w:val="28"/>
        </w:rPr>
      </w:pPr>
      <w:r w:rsidRPr="003755F0">
        <w:rPr>
          <w:rFonts w:ascii="Times New Roman" w:eastAsia="Times New Roman" w:hAnsi="Times New Roman" w:cs="Times New Roman"/>
          <w:iCs/>
          <w:sz w:val="28"/>
          <w:szCs w:val="28"/>
        </w:rPr>
        <w:t xml:space="preserve">Міський голова                                                                        </w:t>
      </w:r>
      <w:r>
        <w:rPr>
          <w:rFonts w:ascii="Times New Roman" w:eastAsia="Times New Roman" w:hAnsi="Times New Roman" w:cs="Times New Roman"/>
          <w:iCs/>
          <w:sz w:val="28"/>
          <w:szCs w:val="28"/>
        </w:rPr>
        <w:t xml:space="preserve">  </w:t>
      </w:r>
      <w:bookmarkStart w:id="18" w:name="_GoBack"/>
      <w:bookmarkEnd w:id="18"/>
      <w:r w:rsidRPr="003755F0">
        <w:rPr>
          <w:rFonts w:ascii="Times New Roman" w:eastAsia="Times New Roman" w:hAnsi="Times New Roman" w:cs="Times New Roman"/>
          <w:iCs/>
          <w:sz w:val="28"/>
          <w:szCs w:val="28"/>
        </w:rPr>
        <w:t>Ігор САПОЖКО</w:t>
      </w:r>
    </w:p>
    <w:permEnd w:id="1"/>
    <w:p w:rsidR="004F7CAD" w:rsidRPr="00EE06C3" w:rsidP="003755F0" w14:paraId="5FF0D8BD" w14:textId="6DFB09FA">
      <w:pPr>
        <w:spacing w:after="0"/>
        <w:jc w:val="both"/>
        <w:rPr>
          <w:rFonts w:ascii="Times New Roman" w:hAnsi="Times New Roman" w:cs="Times New Roman"/>
          <w:sz w:val="28"/>
          <w:szCs w:val="28"/>
        </w:rPr>
      </w:pPr>
    </w:p>
    <w:sectPr w:rsidSect="004F7CAD">
      <w:headerReference w:type="default" r:id="rId19"/>
      <w:footerReference w:type="default" r:id="rId20"/>
      <w:pgSz w:w="11906" w:h="16838"/>
      <w:pgMar w:top="1135" w:right="707" w:bottom="993"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2605958"/>
      <w:docPartObj>
        <w:docPartGallery w:val="Page Numbers (Bottom of Page)"/>
        <w:docPartUnique/>
      </w:docPartObj>
    </w:sdtPr>
    <w:sdtEndPr>
      <w:rPr>
        <w:rFonts w:ascii="Times New Roman" w:hAnsi="Times New Roman" w:cs="Times New Roman"/>
        <w:sz w:val="24"/>
        <w:szCs w:val="24"/>
      </w:rPr>
    </w:sdtEndPr>
    <w:sdtContent>
      <w:p w:rsidR="004F7CAD" w:rsidRPr="004F7CAD" w14:paraId="6C054228" w14:textId="31E05E95">
        <w:pPr>
          <w:pStyle w:val="Footer"/>
          <w:jc w:val="center"/>
          <w:rPr>
            <w:rFonts w:ascii="Times New Roman" w:hAnsi="Times New Roman" w:cs="Times New Roman"/>
            <w:sz w:val="24"/>
            <w:szCs w:val="24"/>
          </w:rPr>
        </w:pPr>
        <w:r w:rsidRPr="004F7CAD">
          <w:rPr>
            <w:rFonts w:ascii="Times New Roman" w:hAnsi="Times New Roman" w:cs="Times New Roman"/>
            <w:sz w:val="24"/>
            <w:szCs w:val="24"/>
          </w:rPr>
          <w:fldChar w:fldCharType="begin"/>
        </w:r>
        <w:r w:rsidRPr="004F7CAD">
          <w:rPr>
            <w:rFonts w:ascii="Times New Roman" w:hAnsi="Times New Roman" w:cs="Times New Roman"/>
            <w:sz w:val="24"/>
            <w:szCs w:val="24"/>
          </w:rPr>
          <w:instrText>PAGE   \* MERGEFORMAT</w:instrText>
        </w:r>
        <w:r w:rsidRPr="004F7CAD">
          <w:rPr>
            <w:rFonts w:ascii="Times New Roman" w:hAnsi="Times New Roman" w:cs="Times New Roman"/>
            <w:sz w:val="24"/>
            <w:szCs w:val="24"/>
          </w:rPr>
          <w:fldChar w:fldCharType="separate"/>
        </w:r>
        <w:r w:rsidRPr="004F7CAD">
          <w:rPr>
            <w:rFonts w:ascii="Times New Roman" w:hAnsi="Times New Roman" w:cs="Times New Roman"/>
            <w:sz w:val="24"/>
            <w:szCs w:val="24"/>
            <w:lang w:val="ru-RU"/>
          </w:rPr>
          <w:t>2</w:t>
        </w:r>
        <w:r w:rsidRPr="004F7CAD">
          <w:rPr>
            <w:rFonts w:ascii="Times New Roman" w:hAnsi="Times New Roman" w:cs="Times New Roman"/>
            <w:sz w:val="24"/>
            <w:szCs w:val="24"/>
          </w:rPr>
          <w:fldChar w:fldCharType="end"/>
        </w:r>
      </w:p>
    </w:sdtContent>
  </w:sdt>
  <w:p w:rsidR="004F7CAD" w14:paraId="088B92D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A6DCE" w14:paraId="40F99265" w14:textId="77777777">
      <w:pPr>
        <w:spacing w:after="0" w:line="240" w:lineRule="auto"/>
      </w:pPr>
      <w:r>
        <w:separator/>
      </w:r>
    </w:p>
  </w:footnote>
  <w:footnote w:type="continuationSeparator" w:id="1">
    <w:p w:rsidR="00FA6DCE" w14:paraId="50AA8779" w14:textId="77777777">
      <w:pPr>
        <w:spacing w:after="0" w:line="240" w:lineRule="auto"/>
      </w:pPr>
      <w:r>
        <w:continuationSeparator/>
      </w:r>
    </w:p>
  </w:footnote>
  <w:footnote w:id="2">
    <w:p w:rsidR="003755F0" w:rsidP="003755F0" w14:paraId="4EFB04A6" w14:textId="77777777">
      <w:pPr>
        <w:pStyle w:val="FootnoteText"/>
      </w:pPr>
      <w:r>
        <w:rPr>
          <w:rStyle w:val="FootnoteReference"/>
          <w:color w:val="809EC2"/>
          <w:sz w:val="18"/>
          <w:szCs w:val="18"/>
        </w:rPr>
        <w:footnoteRef/>
      </w:r>
      <w:r>
        <w:rPr>
          <w:color w:val="809EC2"/>
          <w:sz w:val="18"/>
          <w:szCs w:val="18"/>
        </w:rPr>
        <w:t xml:space="preserve"> </w:t>
      </w:r>
      <w:hyperlink r:id="rId1" w:anchor="Text" w:history="1">
        <w:r>
          <w:rPr>
            <w:rStyle w:val="Hyperlink"/>
            <w:color w:val="809EC2"/>
            <w:sz w:val="18"/>
            <w:szCs w:val="18"/>
          </w:rPr>
          <w:t>https://zakon.rada.gov.ua/laws/show/644-2024-%D0%BF#Text</w:t>
        </w:r>
      </w:hyperlink>
      <w:r>
        <w:rPr>
          <w:color w:val="809EC2"/>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Antiqua" w:eastAsia="Times New Roman" w:hAnsi="Antiqua" w:cs="Times New Roman"/>
        <w:color w:val="7F7F7F" w:themeColor="text1" w:themeTint="80"/>
        <w:sz w:val="28"/>
        <w:szCs w:val="20"/>
        <w:lang w:val="hr-HR" w:eastAsia="ru-RU"/>
      </w:rPr>
      <w:alias w:val="Название"/>
      <w:id w:val="1116400235"/>
      <w:placeholder>
        <w:docPart w:val="A9F0599B319A4DFEBC011EDB594FDDF6"/>
      </w:placeholder>
      <w:dataBinding w:prefixMappings="xmlns:ns0='http://purl.org/dc/elements/1.1/' xmlns:ns1='http://schemas.openxmlformats.org/package/2006/metadata/core-properties' " w:xpath="/ns1:coreProperties[1]/ns0:title[1]" w:storeItemID="{6C3C8BC8-F283-45AE-878A-BAB7291924A1}"/>
      <w:text/>
    </w:sdtPr>
    <w:sdtContent>
      <w:p w:rsidR="004F7CAD" w:rsidRPr="004F7CAD" w:rsidP="004F7CAD" w14:paraId="77FE52F9" w14:textId="7CF36958">
        <w:pPr>
          <w:tabs>
            <w:tab w:val="center" w:pos="4819"/>
            <w:tab w:val="right" w:pos="9639"/>
          </w:tabs>
          <w:overflowPunct w:val="0"/>
          <w:autoSpaceDE w:val="0"/>
          <w:autoSpaceDN w:val="0"/>
          <w:adjustRightInd w:val="0"/>
          <w:spacing w:after="0" w:line="240" w:lineRule="auto"/>
          <w:jc w:val="right"/>
          <w:rPr>
            <w:rFonts w:ascii="Antiqua" w:eastAsia="Times New Roman" w:hAnsi="Antiqua" w:cs="Times New Roman"/>
            <w:color w:val="7F7F7F"/>
            <w:sz w:val="28"/>
            <w:szCs w:val="20"/>
            <w:lang w:val="hr-HR" w:eastAsia="ru-RU"/>
          </w:rPr>
        </w:pPr>
        <w:r w:rsidRPr="004F7CAD">
          <w:rPr>
            <w:rFonts w:ascii="Antiqua" w:eastAsia="Times New Roman" w:hAnsi="Antiqua" w:cs="Times New Roman"/>
            <w:color w:val="7F7F7F" w:themeColor="text1" w:themeTint="80"/>
            <w:sz w:val="28"/>
            <w:szCs w:val="20"/>
            <w:lang w:val="hr-HR" w:eastAsia="ru-RU"/>
          </w:rPr>
          <w:t>Продовження додатку</w:t>
        </w:r>
      </w:p>
    </w:sdtContent>
  </w:sdt>
  <w:p w:rsidR="004F7CAD" w14:paraId="1D05D1E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C7D4CA7"/>
    <w:multiLevelType w:val="hybridMultilevel"/>
    <w:tmpl w:val="6150BB7C"/>
    <w:lvl w:ilvl="0">
      <w:start w:val="1"/>
      <w:numFmt w:val="bullet"/>
      <w:lvlText w:val=""/>
      <w:lvlJc w:val="left"/>
      <w:pPr>
        <w:ind w:left="1287" w:hanging="360"/>
      </w:pPr>
      <w:rPr>
        <w:rFonts w:ascii="Symbol" w:hAnsi="Symbol" w:hint="default"/>
        <w:color w:val="E36C0A" w:themeColor="accent6" w:themeShade="BF"/>
        <w:sz w:val="20"/>
        <w:szCs w:val="20"/>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0E922D9E"/>
    <w:multiLevelType w:val="hybridMultilevel"/>
    <w:tmpl w:val="3982859C"/>
    <w:lvl w:ilvl="0">
      <w:start w:val="1"/>
      <w:numFmt w:val="bullet"/>
      <w:lvlText w:val="-"/>
      <w:lvlJc w:val="left"/>
      <w:pPr>
        <w:ind w:left="927" w:hanging="360"/>
      </w:pPr>
      <w:rPr>
        <w:rFonts w:ascii="Calibri" w:eastAsia="Calibri" w:hAnsi="Calibri" w:cs="Calibri"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 w15:restartNumberingAfterBreak="0">
    <w:nsid w:val="0F4C156F"/>
    <w:multiLevelType w:val="hybridMultilevel"/>
    <w:tmpl w:val="0FBE31EA"/>
    <w:lvl w:ilvl="0">
      <w:start w:val="1"/>
      <w:numFmt w:val="bullet"/>
      <w:lvlText w:val="­"/>
      <w:lvlJc w:val="left"/>
      <w:pPr>
        <w:ind w:left="1996" w:hanging="360"/>
      </w:pPr>
      <w:rPr>
        <w:rFonts w:ascii="Agency FB" w:hAnsi="Agency FB"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3" w15:restartNumberingAfterBreak="0">
    <w:nsid w:val="1FCF08D8"/>
    <w:multiLevelType w:val="hybridMultilevel"/>
    <w:tmpl w:val="04EC304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 w15:restartNumberingAfterBreak="0">
    <w:nsid w:val="3F607E68"/>
    <w:multiLevelType w:val="hybridMultilevel"/>
    <w:tmpl w:val="BE066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444E3D"/>
    <w:multiLevelType w:val="multilevel"/>
    <w:tmpl w:val="9F54C688"/>
    <w:lvl w:ilvl="0">
      <w:start w:val="1"/>
      <w:numFmt w:val="bullet"/>
      <w:lvlText w:val=""/>
      <w:lvlJc w:val="left"/>
      <w:pPr>
        <w:tabs>
          <w:tab w:val="num" w:pos="720"/>
        </w:tabs>
        <w:ind w:left="720" w:hanging="360"/>
      </w:pPr>
      <w:rPr>
        <w:rFonts w:ascii="Symbol" w:hAnsi="Symbol" w:hint="default"/>
        <w:color w:val="F79646" w:themeColor="accent6"/>
        <w:sz w:val="20"/>
      </w:rPr>
    </w:lvl>
    <w:lvl w:ilvl="1">
      <w:start w:val="1"/>
      <w:numFmt w:val="bullet"/>
      <w:lvlText w:val="o"/>
      <w:lvlJc w:val="left"/>
      <w:pPr>
        <w:tabs>
          <w:tab w:val="num" w:pos="1440"/>
        </w:tabs>
        <w:ind w:left="1440" w:hanging="360"/>
      </w:pPr>
      <w:rPr>
        <w:rFonts w:ascii="Courier New" w:hAnsi="Courier New" w:cs="Times New Roman" w:hint="default"/>
        <w:color w:val="E36C0A" w:themeColor="accent6" w:themeShade="BF"/>
        <w:sz w:val="18"/>
        <w:szCs w:val="22"/>
      </w:rPr>
    </w:lvl>
    <w:lvl w:ilvl="2">
      <w:start w:val="1"/>
      <w:numFmt w:val="bullet"/>
      <w:lvlText w:val=""/>
      <w:lvlJc w:val="left"/>
      <w:pPr>
        <w:tabs>
          <w:tab w:val="num" w:pos="2160"/>
        </w:tabs>
        <w:ind w:left="2160" w:hanging="360"/>
      </w:pPr>
      <w:rPr>
        <w:rFonts w:ascii="Wingdings" w:hAnsi="Wingdings" w:hint="default"/>
        <w:color w:val="F79646" w:themeColor="accent6"/>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61751"/>
    <w:multiLevelType w:val="hybridMultilevel"/>
    <w:tmpl w:val="735AC248"/>
    <w:lvl w:ilvl="0">
      <w:start w:val="1"/>
      <w:numFmt w:val="bullet"/>
      <w:lvlText w:val=""/>
      <w:lvlJc w:val="left"/>
      <w:pPr>
        <w:ind w:left="1287" w:hanging="360"/>
      </w:pPr>
      <w:rPr>
        <w:rFonts w:ascii="Symbol" w:hAnsi="Symbol" w:hint="default"/>
        <w:color w:val="F79646" w:themeColor="accent6"/>
        <w:sz w:val="22"/>
        <w:szCs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6ABC6E88"/>
    <w:multiLevelType w:val="hybridMultilevel"/>
    <w:tmpl w:val="53D8FE26"/>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 w15:restartNumberingAfterBreak="0">
    <w:nsid w:val="77DB6DB3"/>
    <w:multiLevelType w:val="multilevel"/>
    <w:tmpl w:val="40DA38D6"/>
    <w:lvl w:ilvl="0">
      <w:start w:val="1"/>
      <w:numFmt w:val="bullet"/>
      <w:lvlText w:val=""/>
      <w:lvlJc w:val="left"/>
      <w:pPr>
        <w:tabs>
          <w:tab w:val="num" w:pos="720"/>
        </w:tabs>
        <w:ind w:left="720" w:hanging="360"/>
      </w:pPr>
      <w:rPr>
        <w:rFonts w:ascii="Wingdings" w:hAnsi="Wingdings" w:hint="default"/>
        <w:color w:val="E36C0A" w:themeColor="accent6" w:themeShade="BF"/>
        <w:sz w:val="20"/>
      </w:rPr>
    </w:lvl>
    <w:lvl w:ilvl="1">
      <w:start w:val="1"/>
      <w:numFmt w:val="bullet"/>
      <w:lvlText w:val="o"/>
      <w:lvlJc w:val="left"/>
      <w:pPr>
        <w:tabs>
          <w:tab w:val="num" w:pos="1440"/>
        </w:tabs>
        <w:ind w:left="1440" w:hanging="360"/>
      </w:pPr>
      <w:rPr>
        <w:rFonts w:ascii="Courier New" w:hAnsi="Courier New" w:cs="Times New Roman" w:hint="default"/>
        <w:color w:val="E36C0A" w:themeColor="accent6" w:themeShade="BF"/>
        <w:sz w:val="18"/>
        <w:szCs w:val="22"/>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lvlOverride w:ilvl="2"/>
    <w:lvlOverride w:ilvl="3"/>
    <w:lvlOverride w:ilvl="4"/>
    <w:lvlOverride w:ilvl="5"/>
    <w:lvlOverride w:ilvl="6"/>
    <w:lvlOverride w:ilvl="7"/>
    <w:lvlOverride w:ilvl="8"/>
  </w:num>
  <w:num w:numId="3">
    <w:abstractNumId w:val="3"/>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5"/>
    <w:lvlOverride w:ilvl="0"/>
    <w:lvlOverride w:ilvl="1"/>
    <w:lvlOverride w:ilvl="2"/>
    <w:lvlOverride w:ilvl="3"/>
    <w:lvlOverride w:ilvl="4"/>
    <w:lvlOverride w:ilvl="5"/>
    <w:lvlOverride w:ilvl="6"/>
    <w:lvlOverride w:ilvl="7"/>
    <w:lvlOverride w:ilvl="8"/>
  </w:num>
  <w:num w:numId="6">
    <w:abstractNumId w:val="8"/>
    <w:lvlOverride w:ilvl="0"/>
    <w:lvlOverride w:ilvl="1"/>
    <w:lvlOverride w:ilvl="2">
      <w:startOverride w:val="1"/>
    </w:lvlOverride>
    <w:lvlOverride w:ilvl="3"/>
    <w:lvlOverride w:ilvl="4"/>
    <w:lvlOverride w:ilvl="5"/>
    <w:lvlOverride w:ilvl="6"/>
    <w:lvlOverride w:ilvl="7"/>
    <w:lvlOverride w:ilvl="8"/>
  </w:num>
  <w:num w:numId="7">
    <w:abstractNumId w:val="1"/>
    <w:lvlOverride w:ilvl="0"/>
    <w:lvlOverride w:ilvl="1"/>
    <w:lvlOverride w:ilvl="2"/>
    <w:lvlOverride w:ilvl="3"/>
    <w:lvlOverride w:ilvl="4"/>
    <w:lvlOverride w:ilvl="5"/>
    <w:lvlOverride w:ilvl="6"/>
    <w:lvlOverride w:ilvl="7"/>
    <w:lvlOverride w:ilvl="8"/>
  </w:num>
  <w:num w:numId="8">
    <w:abstractNumId w:val="0"/>
    <w:lvlOverride w:ilvl="0"/>
    <w:lvlOverride w:ilvl="1"/>
    <w:lvlOverride w:ilvl="2"/>
    <w:lvlOverride w:ilvl="3"/>
    <w:lvlOverride w:ilvl="4"/>
    <w:lvlOverride w:ilvl="5"/>
    <w:lvlOverride w:ilvl="6"/>
    <w:lvlOverride w:ilvl="7"/>
    <w:lvlOverride w:ilvl="8"/>
  </w:num>
  <w:num w:numId="9">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readOnly" w:enforcement="1" w:cryptProviderType="rsaAES" w:cryptAlgorithmClass="hash" w:cryptAlgorithmType="typeAny" w:cryptAlgorithmSid="14" w:cryptSpinCount="100000" w:hash="AwTajyKu4Zvmdo07MjD7BeSsJoIR9B/j4vxb6neCaQ7ITMAELT/WiDF8e/+rfS6DtBJDQq/12jUl&#10;MfW3wNsYrQ==&#10;" w:salt="rsfmQHnSKmzie5FZtF3EGA==&#1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8DA"/>
    <w:rsid w:val="0004464E"/>
    <w:rsid w:val="000E0637"/>
    <w:rsid w:val="000E7ADA"/>
    <w:rsid w:val="000F3141"/>
    <w:rsid w:val="00131AEA"/>
    <w:rsid w:val="0019083E"/>
    <w:rsid w:val="001D73DB"/>
    <w:rsid w:val="002D71B2"/>
    <w:rsid w:val="003044F0"/>
    <w:rsid w:val="003530E1"/>
    <w:rsid w:val="003735BC"/>
    <w:rsid w:val="003755F0"/>
    <w:rsid w:val="003A4315"/>
    <w:rsid w:val="003B2A39"/>
    <w:rsid w:val="004208DA"/>
    <w:rsid w:val="00424AD7"/>
    <w:rsid w:val="00424B54"/>
    <w:rsid w:val="00456BA9"/>
    <w:rsid w:val="004851E3"/>
    <w:rsid w:val="004A29C7"/>
    <w:rsid w:val="004C6C25"/>
    <w:rsid w:val="004F7CAD"/>
    <w:rsid w:val="00520285"/>
    <w:rsid w:val="00524AF7"/>
    <w:rsid w:val="00545B76"/>
    <w:rsid w:val="0066012A"/>
    <w:rsid w:val="00660131"/>
    <w:rsid w:val="00784598"/>
    <w:rsid w:val="007C16E3"/>
    <w:rsid w:val="007C582E"/>
    <w:rsid w:val="0081066D"/>
    <w:rsid w:val="00853C00"/>
    <w:rsid w:val="00893E2E"/>
    <w:rsid w:val="008B6EF2"/>
    <w:rsid w:val="009378D7"/>
    <w:rsid w:val="009E1F3A"/>
    <w:rsid w:val="00A67CE5"/>
    <w:rsid w:val="00A84A56"/>
    <w:rsid w:val="00B20C04"/>
    <w:rsid w:val="00B3670E"/>
    <w:rsid w:val="00BE6BBD"/>
    <w:rsid w:val="00BF532A"/>
    <w:rsid w:val="00C72BF6"/>
    <w:rsid w:val="00CB633A"/>
    <w:rsid w:val="00CB7665"/>
    <w:rsid w:val="00E75D37"/>
    <w:rsid w:val="00EE06C3"/>
    <w:rsid w:val="00F1156F"/>
    <w:rsid w:val="00F13CCA"/>
    <w:rsid w:val="00F33B16"/>
    <w:rsid w:val="00FA6DCE"/>
    <w:rsid w:val="00FA7F3E"/>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4:docId w14:val="0A1F4061"/>
  <w15:docId w15:val="{7A8CFBAB-0190-449F-A1DC-C607D3A0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AF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4F7CAD"/>
    <w:pPr>
      <w:tabs>
        <w:tab w:val="center" w:pos="4677"/>
        <w:tab w:val="right" w:pos="9355"/>
      </w:tabs>
      <w:spacing w:after="0" w:line="240" w:lineRule="auto"/>
    </w:pPr>
  </w:style>
  <w:style w:type="character" w:customStyle="1" w:styleId="a">
    <w:name w:val="Верхній колонтитул Знак"/>
    <w:basedOn w:val="DefaultParagraphFont"/>
    <w:link w:val="Header"/>
    <w:uiPriority w:val="99"/>
    <w:rsid w:val="004F7CAD"/>
  </w:style>
  <w:style w:type="paragraph" w:styleId="Footer">
    <w:name w:val="footer"/>
    <w:basedOn w:val="Normal"/>
    <w:link w:val="a0"/>
    <w:uiPriority w:val="99"/>
    <w:unhideWhenUsed/>
    <w:rsid w:val="004F7CAD"/>
    <w:pPr>
      <w:tabs>
        <w:tab w:val="center" w:pos="4677"/>
        <w:tab w:val="right" w:pos="9355"/>
      </w:tabs>
      <w:spacing w:after="0" w:line="240" w:lineRule="auto"/>
    </w:pPr>
  </w:style>
  <w:style w:type="character" w:customStyle="1" w:styleId="a0">
    <w:name w:val="Нижній колонтитул Знак"/>
    <w:basedOn w:val="DefaultParagraphFont"/>
    <w:link w:val="Footer"/>
    <w:uiPriority w:val="99"/>
    <w:rsid w:val="004F7CAD"/>
  </w:style>
  <w:style w:type="numbering" w:customStyle="1" w:styleId="1">
    <w:name w:val="Немає списку1"/>
    <w:next w:val="NoList"/>
    <w:uiPriority w:val="99"/>
    <w:semiHidden/>
    <w:unhideWhenUsed/>
    <w:rsid w:val="003755F0"/>
  </w:style>
  <w:style w:type="character" w:styleId="Hyperlink">
    <w:name w:val="Hyperlink"/>
    <w:basedOn w:val="DefaultParagraphFont"/>
    <w:uiPriority w:val="99"/>
    <w:semiHidden/>
    <w:unhideWhenUsed/>
    <w:rsid w:val="003755F0"/>
    <w:rPr>
      <w:color w:val="0000FF" w:themeColor="hyperlink"/>
      <w:u w:val="single"/>
    </w:rPr>
  </w:style>
  <w:style w:type="character" w:styleId="FollowedHyperlink">
    <w:name w:val="FollowedHyperlink"/>
    <w:basedOn w:val="DefaultParagraphFont"/>
    <w:uiPriority w:val="99"/>
    <w:semiHidden/>
    <w:unhideWhenUsed/>
    <w:rsid w:val="003755F0"/>
    <w:rPr>
      <w:color w:val="800080" w:themeColor="followedHyperlink"/>
      <w:u w:val="single"/>
    </w:rPr>
  </w:style>
  <w:style w:type="paragraph" w:customStyle="1" w:styleId="msonormal">
    <w:name w:val="msonormal"/>
    <w:basedOn w:val="Normal"/>
    <w:rsid w:val="003755F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a1"/>
    <w:uiPriority w:val="99"/>
    <w:semiHidden/>
    <w:unhideWhenUsed/>
    <w:rsid w:val="003755F0"/>
    <w:pPr>
      <w:spacing w:after="0" w:line="240" w:lineRule="auto"/>
    </w:pPr>
    <w:rPr>
      <w:rFonts w:ascii="Calibri" w:eastAsia="Calibri" w:hAnsi="Calibri" w:cs="Times New Roman"/>
      <w:kern w:val="2"/>
      <w:sz w:val="20"/>
      <w:szCs w:val="20"/>
      <w:lang w:eastAsia="en-US"/>
      <w14:ligatures w14:val="standardContextual"/>
    </w:rPr>
  </w:style>
  <w:style w:type="character" w:customStyle="1" w:styleId="a1">
    <w:name w:val="Текст виноски Знак"/>
    <w:basedOn w:val="DefaultParagraphFont"/>
    <w:link w:val="FootnoteText"/>
    <w:uiPriority w:val="99"/>
    <w:semiHidden/>
    <w:rsid w:val="003755F0"/>
    <w:rPr>
      <w:rFonts w:ascii="Calibri" w:eastAsia="Calibri" w:hAnsi="Calibri" w:cs="Times New Roman"/>
      <w:kern w:val="2"/>
      <w:sz w:val="20"/>
      <w:szCs w:val="20"/>
      <w:lang w:eastAsia="en-US"/>
      <w14:ligatures w14:val="standardContextual"/>
    </w:rPr>
  </w:style>
  <w:style w:type="paragraph" w:styleId="ListParagraph">
    <w:name w:val="List Paragraph"/>
    <w:basedOn w:val="Normal"/>
    <w:uiPriority w:val="34"/>
    <w:qFormat/>
    <w:rsid w:val="003755F0"/>
    <w:pPr>
      <w:ind w:left="720"/>
      <w:contextualSpacing/>
    </w:pPr>
    <w:rPr>
      <w:rFonts w:ascii="Calibri" w:eastAsia="Times New Roman" w:hAnsi="Calibri" w:cs="Times New Roman"/>
    </w:rPr>
  </w:style>
  <w:style w:type="character" w:styleId="FootnoteReference">
    <w:name w:val="footnote reference"/>
    <w:basedOn w:val="DefaultParagraphFont"/>
    <w:uiPriority w:val="99"/>
    <w:semiHidden/>
    <w:unhideWhenUsed/>
    <w:rsid w:val="003755F0"/>
    <w:rPr>
      <w:vertAlign w:val="superscript"/>
    </w:rPr>
  </w:style>
  <w:style w:type="character" w:styleId="PlaceholderText">
    <w:name w:val="Placeholder Text"/>
    <w:basedOn w:val="DefaultParagraphFont"/>
    <w:uiPriority w:val="99"/>
    <w:semiHidden/>
    <w:rsid w:val="003755F0"/>
    <w:rPr>
      <w:color w:val="808080"/>
    </w:rPr>
  </w:style>
  <w:style w:type="table" w:styleId="TableGrid">
    <w:name w:val="Table Grid"/>
    <w:basedOn w:val="TableNormal"/>
    <w:uiPriority w:val="59"/>
    <w:rsid w:val="003755F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3755F0"/>
    <w:pPr>
      <w:spacing w:after="0" w:line="240" w:lineRule="auto"/>
    </w:pPr>
    <w:rPr>
      <w:rFonts w:ascii="Calibri" w:eastAsia="Times New Roman" w:hAnsi="Calibri" w:cs="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0">
    <w:name w:val="Сітка таблиці1"/>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ітка таблиці2"/>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ітка таблиці3"/>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ітка таблиці10"/>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1"/>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2"/>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ітка таблиці13"/>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ітка таблиці14"/>
    <w:basedOn w:val="TableNormal"/>
    <w:uiPriority w:val="59"/>
    <w:rsid w:val="003755F0"/>
    <w:pPr>
      <w:spacing w:after="0" w:line="240" w:lineRule="auto"/>
    </w:pPr>
    <w:rPr>
      <w:rFonts w:ascii="Calibri" w:eastAsia="Calibri" w:hAnsi="Calibri" w:cs="Times New Roman"/>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kyivobl.ukrstat.gov.ua/p.php3?c=88&amp;lang=1" TargetMode="External" /><Relationship Id="rId11" Type="http://schemas.openxmlformats.org/officeDocument/2006/relationships/hyperlink" Target="http://kyivobl.ukrstat.gov.ua/p.php3?c=82&amp;lang=1" TargetMode="External" /><Relationship Id="rId12" Type="http://schemas.openxmlformats.org/officeDocument/2006/relationships/hyperlink" Target="http://kyivobl.ukrstat.gov.ua/p.php3?c=1109&amp;lang=1" TargetMode="External" /><Relationship Id="rId13" Type="http://schemas.openxmlformats.org/officeDocument/2006/relationships/hyperlink" Target="https://profix.brovary-rada.gov.ua/storage/app/media/&#1055;&#1088;&#1086;%20&#1084;&#1110;&#1089;&#1090;&#1086;/&#1030;&#1085;&#1074;&#1077;&#1089;&#1090;&#1080;&#1094;&#1110;&#1081;&#1085;&#1080;&#1081;%20&#1087;&#1072;&#1089;&#1087;&#1086;&#1088;&#1090;.pdf" TargetMode="External"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jpe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header" Target="header1.xml" /><Relationship Id="rId2" Type="http://schemas.openxmlformats.org/officeDocument/2006/relationships/settings" Target="settings.xml" /><Relationship Id="rId20" Type="http://schemas.openxmlformats.org/officeDocument/2006/relationships/footer" Target="footer1.xml" /><Relationship Id="rId21" Type="http://schemas.openxmlformats.org/officeDocument/2006/relationships/glossaryDocument" Target="glossary/document.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yperlink" Target="mailto:tov.atomis@gmail.com"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notes.xml.rels><?xml version="1.0" encoding="utf-8" standalone="yes"?><Relationships xmlns="http://schemas.openxmlformats.org/package/2006/relationships"><Relationship Id="rId1" Type="http://schemas.openxmlformats.org/officeDocument/2006/relationships/hyperlink" Target="https://zakon.rada.gov.ua/laws/show/644-2024-%D0%BF" TargetMode="External"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A9F0599B319A4DFEBC011EDB594FDDF6"/>
        <w:category>
          <w:name w:val="Общие"/>
          <w:gallery w:val="placeholder"/>
        </w:category>
        <w:types>
          <w:type w:val="bbPlcHdr"/>
        </w:types>
        <w:behaviors>
          <w:behavior w:val="content"/>
        </w:behaviors>
        <w:guid w:val="{D0BBBA00-8F61-46D5-BC32-00922E60BD4A}"/>
      </w:docPartPr>
      <w:docPartBody>
        <w:p w:rsidR="000E7ADA" w:rsidP="0019083E">
          <w:pPr>
            <w:pStyle w:val="A9F0599B319A4DFEBC011EDB594FDDF6"/>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gency FB">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3E"/>
    <w:rsid w:val="000B4431"/>
    <w:rsid w:val="000E7ADA"/>
    <w:rsid w:val="001043C3"/>
    <w:rsid w:val="0019083E"/>
    <w:rsid w:val="00213E54"/>
    <w:rsid w:val="0026497A"/>
    <w:rsid w:val="004D1168"/>
    <w:rsid w:val="007660A4"/>
    <w:rsid w:val="00767368"/>
    <w:rsid w:val="00934C4A"/>
    <w:rsid w:val="00A51DB1"/>
    <w:rsid w:val="00AE1036"/>
    <w:rsid w:val="00E355C2"/>
    <w:rsid w:val="00FA1083"/>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F0599B319A4DFEBC011EDB594FDDF6">
    <w:name w:val="A9F0599B319A4DFEBC011EDB594FDDF6"/>
    <w:rsid w:val="001908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68613</Words>
  <Characters>39110</Characters>
  <Application>Microsoft Office Word</Application>
  <DocSecurity>8</DocSecurity>
  <Lines>325</Lines>
  <Paragraphs>215</Paragraphs>
  <ScaleCrop>false</ScaleCrop>
  <Company/>
  <LinksUpToDate>false</LinksUpToDate>
  <CharactersWithSpaces>107508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Продовження додатку</dc:title>
  <dc:creator>Пользователь</dc:creator>
  <cp:lastModifiedBy>Користувач</cp:lastModifiedBy>
  <cp:revision>22</cp:revision>
  <dcterms:created xsi:type="dcterms:W3CDTF">2023-03-27T06:26:00Z</dcterms:created>
  <dcterms:modified xsi:type="dcterms:W3CDTF">2026-03-26T07:52:00Z</dcterms:modified>
</cp:coreProperties>
</file>