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10484B2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371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26.03.2026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2613-114-08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23710" w:rsidP="00823710" w14:paraId="5129AC56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>
        <w:rPr>
          <w:rFonts w:eastAsia="Calibri"/>
          <w:b/>
          <w:bCs/>
          <w:lang w:val="uk-UA" w:eastAsia="en-US"/>
        </w:rPr>
        <w:t xml:space="preserve">Перелік майна, що перебуває на балансі </w:t>
      </w:r>
      <w:r>
        <w:rPr>
          <w:b/>
          <w:lang w:val="uk-UA"/>
        </w:rPr>
        <w:t xml:space="preserve">комунального некомерційного </w:t>
      </w:r>
      <w:r>
        <w:rPr>
          <w:b/>
          <w:bCs/>
          <w:lang w:val="uk-UA"/>
        </w:rPr>
        <w:t xml:space="preserve">товариства </w:t>
      </w:r>
      <w:r>
        <w:rPr>
          <w:b/>
          <w:lang w:val="uk-UA"/>
        </w:rPr>
        <w:t>«Броварська багатопрофільна клінічна лікарня» територіальних громад Броварського району Київської област</w:t>
      </w:r>
      <w:r>
        <w:rPr>
          <w:lang w:val="uk-UA"/>
        </w:rPr>
        <w:t xml:space="preserve">і </w:t>
      </w:r>
      <w:r>
        <w:rPr>
          <w:b/>
          <w:bCs/>
          <w:lang w:val="uk-UA"/>
        </w:rPr>
        <w:t>та підлягає списанню:</w:t>
      </w:r>
    </w:p>
    <w:p w:rsidR="00823710" w:rsidP="00823710" w14:paraId="46C53D21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5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10"/>
        <w:gridCol w:w="1700"/>
        <w:gridCol w:w="1275"/>
        <w:gridCol w:w="992"/>
        <w:gridCol w:w="4676"/>
        <w:gridCol w:w="1416"/>
        <w:gridCol w:w="1417"/>
        <w:gridCol w:w="1134"/>
        <w:gridCol w:w="1275"/>
      </w:tblGrid>
      <w:tr w14:paraId="450369C8" w14:textId="77777777" w:rsidTr="00823710">
        <w:tblPrEx>
          <w:tblW w:w="14595" w:type="dxa"/>
          <w:tblInd w:w="55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7C6E552" w14:textId="2860B825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458357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707ABF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C5CC9C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Кількість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EB55665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DC033A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189D0F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F22DBB6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5753CD9A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7C90FAE4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2EFDF985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05A3151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Крісло гінекологічне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F22CDA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101471686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7537BE8D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6962D6B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Розтріскування корпусу у місцях кріплень, деформація, корозія.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A5947FF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297,00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E2BF1A7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297,00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6E282C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3AC0412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1987</w:t>
            </w:r>
          </w:p>
        </w:tc>
      </w:tr>
      <w:tr w14:paraId="0C222CC0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60F5E8B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4EDF0A0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Аспіратор електричний MINIVAC-8-S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73507C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101470551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587885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2B21D3C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Пошкодження кріплення апарату. Несправність з’єднувального шнура. Деформація пазу обойми насоса. Зламані перемикачі. Деформація корпусу.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61841C4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11 500,00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B9FD42C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11 500,00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D9B58E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1BAE633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2011</w:t>
            </w:r>
          </w:p>
        </w:tc>
      </w:tr>
      <w:tr w14:paraId="5C6421DC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161B7275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602A887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Пульсоксиметр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F081B76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101456749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15123E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7EA3865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реагує на вхідний сигнал. Фізичний знос.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F826829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8E2D544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11C92F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10" w14:paraId="303E813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2003</w:t>
            </w:r>
          </w:p>
          <w:p w:rsidR="00823710" w14:paraId="68F00E5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  <w:tr w14:paraId="6FE2D1F0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0873DC7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FDDE8D8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 ВАТС LG-Nortel LDK-300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F3A8CF8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101490148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43EF2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DEA856C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Вихід з ладу через конфлікт частот та невідповідність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полярностей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вихідних і вхідних сигналів. Знос через часте знеструмлення приміщення, короткі замикання в мережі та електростатичні збої. Несправний блок сполучення з телефонною лінією (детектор виклику і узгоджувального ланцюга). Вихід з ладу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випрямлювачів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втрата опору ізоляції, вигорання контактів, замикання обмотки в трансформаторах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перегорання транзисторів. Висихання ємності конденсаторів, окислення контактів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роз’ємах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контактів реле і перемикачів, обрив кабелю провідників.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90D676A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32 185,00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245058D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CF2ED5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10" w14:paraId="5E879A1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2008</w:t>
            </w:r>
          </w:p>
          <w:p w:rsidR="00823710" w14:paraId="132E3CE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  <w:tr w14:paraId="2F098D2A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6B9CDF9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C3AAA59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Стіл 2-х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тумбовий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1A61A54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101620727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0C4D0E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32EC2C4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Був у тривалому використанні, розтріскування корпусу у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3F28CE8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B14607E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7C6CC2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009353F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1991</w:t>
            </w:r>
          </w:p>
        </w:tc>
      </w:tr>
      <w:tr w14:paraId="49A2CD51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1C795AF4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6A307AF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Електрокардіограф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ЕК1т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76AC03E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101470609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055DEF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FC9418A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Вийшов з ладу блок живлення мережевий. Окислення контактів. Вийшов з ладу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підсилюючий-реєструючий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6E4360E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BFA98B7" w14:textId="77777777">
            <w:pPr>
              <w:widowControl w:val="0"/>
              <w:suppressAutoHyphens/>
              <w:overflowPunct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7C1985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18FD549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2015</w:t>
            </w:r>
          </w:p>
        </w:tc>
      </w:tr>
      <w:tr w14:paraId="56C298CC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05AB7991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E635AB0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Пульсоксиметр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Xeco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49ACF74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101474157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221573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C0A3C73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Згоріли  мікросхеми логіки. Пошкоджене табло. Замкнення доріжок. Замкнення витків обмотки блоку живлення.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FBDE1D8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28DDBAE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731959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3445044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</w:tr>
      <w:tr w14:paraId="3756475A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026CA50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D02B124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Стерилізатор ГП 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B527824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101470618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75D7C1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11B2C8B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Перегорання нагрівального елементу. Вийшов з ладу електродвигун вентилятора системи циркуляції  повітря. Вийшов з ладу електронний блок керування. Відсутня індикація.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A88D618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8 003,60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E8A2B77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8 003,60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5B2386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10" w14:paraId="212B1F9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  <w:p w:rsidR="00823710" w14:paraId="0E67989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  <w:tr w14:paraId="0D0A5808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03FC27C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B8DEBB4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Центрифуга ОПН-3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E985B5E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101450782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05F5EC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66FA22C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Вихід з ладу двигуна та пускових конденсаторів. Фізичний знос.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3AD4E12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A98EB71" w14:textId="77777777">
            <w:pPr>
              <w:pStyle w:val="a1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78D454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51A6F4C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1986</w:t>
            </w:r>
          </w:p>
        </w:tc>
      </w:tr>
      <w:tr w14:paraId="44DEB8FC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60DFF28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A68647D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Аспіратор електричний</w:t>
            </w:r>
          </w:p>
          <w:p w:rsidR="00823710" w14:paraId="61E3C668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MINIVAC-8-S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A3F6A0E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101470055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DD498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FFD1B91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Пошкодження кріплення апарату.  Несправність з'єднувального шнура. Деформація пазу обойми насоса. Зламані перемикачі. Деформація корпусу.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C174970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4693DA2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46E31B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276065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</w:tr>
      <w:tr w14:paraId="24751254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2F6B72E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8244CE7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Відсмоктувач медичний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3A72837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101470355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2EBE87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E6E3658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Втрата герметичності з’єднань. Заклинення якоря вентилятора притоку повітря. Вийшов з ладу компресор. Втрата контакту в дроті електричного живлення. Протікання.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527B5BF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3 366,00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F7429D2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675111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141C805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</w:tr>
      <w:tr w14:paraId="65670BBC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3A4CF03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4A93831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Відсмоктувач хірургічний</w:t>
            </w:r>
          </w:p>
          <w:p w:rsidR="00823710" w14:paraId="5ADD7615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D07EC00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101470262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33F5BD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56746E1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Вийшов з ладу компресор. Втрата контакту в дроті електричного живлення. Втрата герметичності з’єднань. Протікання.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6171649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EBE9B68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15C90B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17279AB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</w:tc>
      </w:tr>
      <w:tr w14:paraId="2629DA5A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3D3A206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9FA324F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Ваги дитячі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Momert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електронні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14:paraId="0E68FC8F" w14:textId="777777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710" w14:paraId="6CADB72A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101430006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5F58AF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84FF63D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Вийшов з ладу тензодатчик. Окислення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контаків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Фізичний знос.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EA68116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4B31DA8" w14:textId="77777777">
            <w:pPr>
              <w:widowControl w:val="0"/>
              <w:suppressAutoHyphens/>
              <w:overflowPunct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68588C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5BDC1BF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2006</w:t>
            </w:r>
          </w:p>
        </w:tc>
      </w:tr>
      <w:tr w14:paraId="76C71778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2EAA7FB2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DF190B3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Ліжко Рахманова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749165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101470921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9EAF6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5F9A000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старому стані, не придатне до подальшого використання. Фізичний знос опірних ручок. Деформація каркасу. Ослаблення кріплення.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47C20E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9061B6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A55F2B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7E4D4E7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1981</w:t>
            </w:r>
          </w:p>
        </w:tc>
      </w:tr>
      <w:tr w14:paraId="52F8AD0E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4EDC4F4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4DB2EC9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Ліжко Рахманова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79ED1D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101471023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2E563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5212E49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Фізичний знос опірних ручок. Корозія. Деформація каркасу. Ослаблення кріплення.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4F9A86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8BD161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906029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169E539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1982</w:t>
            </w:r>
          </w:p>
        </w:tc>
      </w:tr>
      <w:tr w14:paraId="1E6525F3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2913C196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5F6669D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Ліжко функціональне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8CB8E0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101470905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041523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9F8ED23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Фізичний знос. Пошкодження корпусу у місцях кріплення.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DAE243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CB03D4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02BAAD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36455F4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1981</w:t>
            </w:r>
          </w:p>
        </w:tc>
      </w:tr>
      <w:tr w14:paraId="19E6F8A7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296D981F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C71A39E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Ліжко функціональне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E9ED3B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101471025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0E2DF6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4646A22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Фізичний знос. Пошкодження корпусу у місцях кріплення.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B4858C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1823CC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C63905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2A61E5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1981</w:t>
            </w:r>
          </w:p>
        </w:tc>
      </w:tr>
      <w:tr w14:paraId="15BC8AA5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4CDDDA9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618787F" w14:textId="77777777">
            <w:pPr>
              <w:widowControl w:val="0"/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Ліжко функціональне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3D39A9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101471043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07DDA5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D1E9257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Фізичний знос. Пошкодження корпусу у місцях кріплення.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8E1097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C350FB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AA8D87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A861AB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1981</w:t>
            </w:r>
          </w:p>
        </w:tc>
      </w:tr>
      <w:tr w14:paraId="5FED8214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7D1FA871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28DE259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Ліжко функціональне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8314E5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101471044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769844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A856F4C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Фізичний знос. Пошкодження корпусу у місцях кріплення. Не придатне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C0B99E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41B8D2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002FC6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5D995F6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1981</w:t>
            </w:r>
          </w:p>
        </w:tc>
      </w:tr>
      <w:tr w14:paraId="40D60423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35A411AF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24726EF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Ліжко функціональне Аліса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EADA02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101474163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55E5BF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9ED8878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корпусу у місцях кріплення. Зламані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колещата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899558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D74335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DE2ECD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5A4080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1995</w:t>
            </w:r>
          </w:p>
        </w:tc>
      </w:tr>
      <w:tr w14:paraId="5E41F358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6D6980A3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378E9D3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Ліжко функціональне Аліса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0AEF9D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101474164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3B2FA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42DD6D9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корпусу у місцях кріплення. Зламані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колещата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D981E8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374,00</w:t>
            </w:r>
            <w:r>
              <w:rPr>
                <w:rFonts w:cs="Times New Roman"/>
              </w:rPr>
              <w:br/>
            </w:r>
            <w:r>
              <w:rPr>
                <w:rFonts w:cs="Times New Roman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FD8A0E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4A2633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34C4000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1995</w:t>
            </w:r>
          </w:p>
        </w:tc>
      </w:tr>
      <w:tr w14:paraId="6FD5957F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232158E7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15C58E7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Пульсоксиметр</w:t>
            </w:r>
            <w:r>
              <w:rPr>
                <w:rFonts w:cs="Times New Roman"/>
              </w:rPr>
              <w:t xml:space="preserve"> FPO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ECB7E9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101470245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3FC45D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B456C8B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Вийшов з ладу газорозрядний індикатор. Згоріли  мікросхеми логіки. Пошкоджене табло. Замкнення доріжок.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162028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8082D4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CBE62D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EE2048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</w:tc>
      </w:tr>
      <w:tr w14:paraId="2D0CCEA4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6FD52823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F71C26B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Стіл операційний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A3C7EE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101470961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DDC48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6E253EA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Розтріскування корпусу у 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3BA17B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3 423,00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52BB96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3 423,00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97508B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9DC8CA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1981</w:t>
            </w:r>
          </w:p>
        </w:tc>
      </w:tr>
      <w:tr w14:paraId="5AD28CD9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5F60399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98EA27D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Стіл операційний СОЛ-1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FFC4B3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101470013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CDE1A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F9D30B6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Розтріскування корпусу у 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C62B65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8 500,00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1F9398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1211D2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7E67451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2006</w:t>
            </w:r>
          </w:p>
        </w:tc>
      </w:tr>
      <w:tr w14:paraId="6193A6E1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5A7246A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D0D9576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Стіл операційний СОЛ-1(г) з </w:t>
            </w:r>
            <w:r>
              <w:rPr>
                <w:rFonts w:cs="Times New Roman"/>
              </w:rPr>
              <w:t>гідропроводом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D2BC86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101477065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53B4E1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D3AE407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Розтріскування корпусу у  місцях кріплень, деформація. Зламаний механізм. 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74AD12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5 187,00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C46EBF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5 187,00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7D6FC9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DA4AD2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2005</w:t>
            </w:r>
          </w:p>
        </w:tc>
      </w:tr>
      <w:tr w14:paraId="16E2B144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7875ED5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F1FEAA4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Стіл операційний універсальний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679781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101470029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5D019E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22C0234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Розтріскування корпусу у  місцях кріплень, деформація. Не придатний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D5D583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15 563,00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10DE8D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15 563,00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DAB003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433EB9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2006</w:t>
            </w:r>
          </w:p>
        </w:tc>
      </w:tr>
      <w:tr w14:paraId="2CA8D184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11B73F45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E02EB12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Фетальний </w:t>
            </w:r>
            <w:r>
              <w:rPr>
                <w:rFonts w:cs="Times New Roman"/>
              </w:rPr>
              <w:t>доплер</w:t>
            </w:r>
            <w:r>
              <w:rPr>
                <w:rFonts w:cs="Times New Roman"/>
              </w:rPr>
              <w:t xml:space="preserve"> Fetal-Doppler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100E37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101470499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A2207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68B20A0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Роздуті електролітичні конденсатори.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Мікро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тріщини в пайці. Несправна мікросхема. Порушений контакт сигнального шлейфу з контактами електродів матриці.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26F670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6CF52C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AA765B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32F6445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</w:tr>
      <w:tr w14:paraId="46C1D283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637A7DDB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D3B30A5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Холодильник низькотемпературний КНХ 40-40-1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2C60DF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101496512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5312CF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3BB4DE9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Згорів мотор-компресор. Пошкоджений контур охолодження. Замкнення контактів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пуско-захисному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реле. Фізичне зношення.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3A893F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3 817,00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541975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3 817,00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058B7C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6903EB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1999</w:t>
            </w:r>
          </w:p>
        </w:tc>
      </w:tr>
      <w:tr w14:paraId="174B1F46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14B5B506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9EE5AF5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Центрифуга ОПН-3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824302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101451033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F596A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45181B2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Вихід з ладу двигуна та пускових конденсаторів. Фізичний знос.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5E9475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1624E2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35D634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70B628E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1983</w:t>
            </w:r>
          </w:p>
        </w:tc>
      </w:tr>
      <w:tr w14:paraId="76B27D7B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37FB8AAF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80435A3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Ліжко функціональне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48A94C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101470362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337AFC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0400748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Розтріскування корпусу у  місцях кріплень, деформація.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364165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1BA08D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8F2A00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1EF34BD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</w:tr>
      <w:tr w14:paraId="01CABFCE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3884BED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79ADC68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Шафа холодильна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B065D7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101456743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E3D91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AF8370E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Згорів мотор-компресор. Пошкоджений контур охолодження. Замкнення контактів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пуско-захисному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реле. Фізичне зношення.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F64F2B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4 696,00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EC0667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4 696,00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628CDF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2672163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2003</w:t>
            </w:r>
          </w:p>
        </w:tc>
      </w:tr>
      <w:tr w14:paraId="2ADED063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5A2CFF6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B4FDE48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Шафа холодильна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20F26E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101493285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A5549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4FE5442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Зупинка кругообігу водо-аміачного розчину. Відмова термосифона. Вийшов з ладу терморегулятор. Фізичне зношення . Деформація корпусу.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BF346B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EEB983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F3A69D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7EFC29D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1983</w:t>
            </w:r>
          </w:p>
        </w:tc>
      </w:tr>
      <w:tr w14:paraId="44B9CE22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40ED3C5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8315974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841B4A5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10482008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1BBC01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68A94E8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 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D7F490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7211C4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C45E8D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31026A6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</w:p>
        </w:tc>
      </w:tr>
      <w:tr w14:paraId="5BA14B48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2725D5D4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188F9EF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EE93073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10482009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2F471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6B472BB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 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3A2413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2AD515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E167FC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1031A55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</w:p>
        </w:tc>
      </w:tr>
      <w:tr w14:paraId="0F398FA6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55D1DDF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F3D8AF9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709536B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10482010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2BD1E5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E509BE7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579B02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866B93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7DBEA3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7AB5102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</w:p>
        </w:tc>
      </w:tr>
      <w:tr w14:paraId="532E9740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2E4880F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E87426B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60BC470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10482011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5C7BAD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FC33133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E43397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40025B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4B443D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29A43F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</w:p>
        </w:tc>
      </w:tr>
      <w:tr w14:paraId="165655D0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3D6D4C64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5185F83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314ED7F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10482012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4E7F0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1100BF4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FA755E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198271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52137F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66D9E1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</w:p>
        </w:tc>
      </w:tr>
      <w:tr w14:paraId="0EB826C6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0926B94C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D9F5CF2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Регулятор медичного газу </w:t>
            </w:r>
            <w:r>
              <w:rPr>
                <w:rFonts w:cs="Times New Roman"/>
              </w:rPr>
              <w:t>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5BD7C91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10482013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16099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1EF65A7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Засмічення фільтрів та пошкодження мембрани. Фізичне зношення. Не підлягає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81B90A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48A5B5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ADE392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A4330E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</w:p>
        </w:tc>
      </w:tr>
      <w:tr w14:paraId="0E8EBCF2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49B44263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3639C3E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F6DCCEB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10482014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725B17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B9DC7ED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F0B8C2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90D028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3268B4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58BABA6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</w:p>
        </w:tc>
      </w:tr>
      <w:tr w14:paraId="11451569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14F33F1F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2C94C5F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F83B6A0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10482015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B01D0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FBB9B4F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B41E2E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9AB143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3330FF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78F95BD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</w:p>
        </w:tc>
      </w:tr>
      <w:tr w14:paraId="2CEBC5A0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22530994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6A34197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0181AFE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10482016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57D053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E25C4D1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9FC8B0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86D494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3A01CA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3078FF6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</w:p>
        </w:tc>
      </w:tr>
      <w:tr w14:paraId="1C3C5663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6C095A7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DE0BB82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1864543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10482017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71C0F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A9629A0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DC79AE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D8F014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23043A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00A02F1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</w:p>
        </w:tc>
      </w:tr>
      <w:tr w14:paraId="064D2D93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51CAC831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B6ED5EE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Регулятор медичного газу 3051SH2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611F09E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10482018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94899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12CA491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Засмічення фільтрів та пошкодження мембрани. Фізичне зношення. Не підлягає подальшому використанню.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8B2008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FCA26A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93AFA6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06A5161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</w:p>
        </w:tc>
      </w:tr>
      <w:tr w14:paraId="653BA1E7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59DA233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086B5E7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Крісло інвалідне "</w:t>
            </w:r>
            <w:r>
              <w:rPr>
                <w:rFonts w:cs="Times New Roman"/>
              </w:rPr>
              <w:t>Medicare</w:t>
            </w:r>
            <w:r>
              <w:rPr>
                <w:rFonts w:cs="Times New Roman"/>
              </w:rPr>
              <w:t>" MH-16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AFD111E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101470595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0986A0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CCA871D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 у тривалому використанні, розтріскування корпусу у  місцях кріплень, деформація.  Не придатне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0AE0BF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00F12C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D50074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2234F8D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</w:tr>
      <w:tr w14:paraId="214FDE85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3BBF0B8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B2A60D6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Шафа медична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3D1B1F5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101630690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EA4D1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3F3EF41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має стабільного стійкого стану внаслідок розхитання з’єднувальних конструкцій, зламане кріплення. Не придатна   до подальшого використання.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02E783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1C79E0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205E1D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26B5A38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1990</w:t>
            </w:r>
          </w:p>
        </w:tc>
      </w:tr>
      <w:tr w14:paraId="076F67AD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101851B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002775A" w14:textId="77777777">
            <w:pPr>
              <w:pStyle w:val="a4"/>
              <w:spacing w:line="27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Електрокардіограф 3-х канальний ЮКАРД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9A963D4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101470310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026795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AD8A522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Вийшов з ладу перетворювач ПЕП ЮМ. Вийшов з ладу блок живлення мережевий. Вийшов з ладу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підсилюючий-реєструючий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443FF9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15 952,00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FB1267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15 952,00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A1D583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2CDACE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</w:tr>
      <w:tr w14:paraId="0DA21F48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57E90315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1280F0D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Монітор нагляду за станом пацієнта </w:t>
            </w:r>
            <w:r>
              <w:rPr>
                <w:rFonts w:cs="Times New Roman"/>
              </w:rPr>
              <w:t>мультифунціональний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8D63812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101470107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D31D5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BE867DF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плати відеосигналу.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потемніння контактів шлейфів монітора. Пошкодження плати з кнопками керування монітором. Постаріння ламп підсвічування. Помилка в ланцюзі формування зображення.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DE5A53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159 965,00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DFFE23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159 965,00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C96D49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61657E10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</w:tr>
      <w:tr w14:paraId="4F33F293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1F96BD1D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4E1BE99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Монітор нагляду за станом пацієнта </w:t>
            </w:r>
            <w:r>
              <w:rPr>
                <w:rFonts w:cs="Times New Roman"/>
              </w:rPr>
              <w:t>мультифунціональний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359F536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101470761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7D20D5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FA6F65A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Роздуті електролітичні конденсатори. Перегоріла плата блока живлення. Перегоріла плата інвертора. Порушений контакт сигнального шлейфу з контактами електродів матриці. Пошкодження матриці монітора.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345CE4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120 054,00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808910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120 054,00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BB09BC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2154D9CB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</w:tr>
      <w:tr w14:paraId="0C32EB15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16EDC33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A674909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Пульсоксиметр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769A441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101456756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1ACF1E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6C329D6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Вийшов з ладу газорозрядний індикатор. Згоріли мікросхеми логіки. Пошкоджене табло. Замкнення доріжок.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5828AE6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6 858,00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BB7F0C6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6 858,00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A9CB4B8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78CDDA0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2003</w:t>
            </w:r>
          </w:p>
        </w:tc>
      </w:tr>
      <w:tr w14:paraId="3506A226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18714DB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DBE103C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Станція киснева КЛС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F81A996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101442489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7C53A6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30284403" w14:textId="77777777">
            <w:pPr>
              <w:suppressAutoHyphens/>
              <w:overflowPunct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Згоріла обмотка трансформатора. Погоріли транзистори. Згорів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діодний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міст. Згорів вольтметр. Пробитий конденсатор. Пробита ізоляція обмотки. Втрата ємності електролітичного конденсатора перетворювача напруги. Перегоряння мікросхеми модуля живлення. Втрата контакту панелі керування. Втрата контакту в роз’ємні підключення. Непридатне для подальшого використання у зв’язку з ушкодженням (деформацією) металевих конструкцій каркасів.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3C5FF2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DD97F3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BF3105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06C7AB63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1989</w:t>
            </w:r>
          </w:p>
        </w:tc>
      </w:tr>
      <w:tr w14:paraId="5B834F8A" w14:textId="77777777" w:rsidTr="00823710">
        <w:tblPrEx>
          <w:tblW w:w="14595" w:type="dxa"/>
          <w:tblInd w:w="55" w:type="dxa"/>
          <w:tblLayout w:type="fixed"/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:rsidP="00DF150D" w14:paraId="5A875396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49E7BC9" w14:textId="77777777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Концентратор кисню DOS S66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EFF7CC7" w14:textId="77777777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101470400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4A629E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4478ED7A" w14:textId="77777777">
            <w:pPr>
              <w:pStyle w:val="a3"/>
              <w:shd w:val="clear" w:color="auto" w:fill="auto"/>
              <w:spacing w:line="256" w:lineRule="auto"/>
              <w:rPr>
                <w:color w:val="000000"/>
                <w:sz w:val="24"/>
                <w:szCs w:val="24"/>
                <w:lang w:bidi="uk-UA"/>
              </w:rPr>
            </w:pPr>
            <w:r>
              <w:rPr>
                <w:sz w:val="24"/>
                <w:szCs w:val="24"/>
              </w:rPr>
              <w:t>Термін служби апарату перевищує типовий строк експлуатації і становить понад 14 років, що значно виходить за межі нормативного ресурсу. Датчик перетворювач/</w:t>
            </w:r>
            <w:r>
              <w:rPr>
                <w:sz w:val="24"/>
                <w:szCs w:val="24"/>
              </w:rPr>
              <w:t>показчик</w:t>
            </w:r>
            <w:r>
              <w:rPr>
                <w:sz w:val="24"/>
                <w:szCs w:val="24"/>
              </w:rPr>
              <w:t xml:space="preserve"> тиску (ХТ-1/</w:t>
            </w:r>
            <w:r>
              <w:rPr>
                <w:sz w:val="24"/>
                <w:szCs w:val="24"/>
                <w:lang w:val="en-US"/>
              </w:rPr>
              <w:t>PI</w:t>
            </w:r>
            <w:r>
              <w:rPr>
                <w:sz w:val="24"/>
                <w:szCs w:val="24"/>
              </w:rPr>
              <w:t xml:space="preserve">-4) показує тиск на виході </w:t>
            </w:r>
            <w:r>
              <w:rPr>
                <w:sz w:val="24"/>
                <w:szCs w:val="24"/>
              </w:rPr>
              <w:t>дотиску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компресораз</w:t>
            </w:r>
            <w:r>
              <w:rPr>
                <w:sz w:val="24"/>
                <w:szCs w:val="24"/>
              </w:rPr>
              <w:t xml:space="preserve"> похибкою більш ніж 10% від паспортного значення. Випускний отвір для некондиційного продукту (</w:t>
            </w:r>
            <w:r>
              <w:rPr>
                <w:sz w:val="24"/>
                <w:szCs w:val="24"/>
                <w:lang w:val="en-US"/>
              </w:rPr>
              <w:t>OR</w:t>
            </w:r>
            <w:r>
              <w:rPr>
                <w:sz w:val="24"/>
                <w:szCs w:val="24"/>
              </w:rPr>
              <w:t>-2) має ознаки ерозійного пошкодження.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E3B3E4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1 595 794,00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71D2202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1 595 794,00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527A47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7CDD93FD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</w:tr>
      <w:tr w14:paraId="0037628F" w14:textId="77777777" w:rsidTr="00823710">
        <w:tblPrEx>
          <w:tblW w:w="14595" w:type="dxa"/>
          <w:tblInd w:w="55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14:paraId="578F3A1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2CB3B5AF" w14:textId="77777777">
            <w:pPr>
              <w:pStyle w:val="a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Підсумок: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14:paraId="054DB8B2" w14:textId="77777777">
            <w:pPr>
              <w:pStyle w:val="a1"/>
              <w:spacing w:line="276" w:lineRule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710" w14:paraId="11B32809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710" w14:paraId="21138A8F" w14:textId="77777777">
            <w:pPr>
              <w:pStyle w:val="a1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05B746A7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2181784,60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631E18B5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2181784,60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3710" w14:paraId="14A6BFC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10" w14:paraId="5C172D7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823710" w:rsidP="00823710" w14:paraId="67CCA9E4" w14:textId="77777777">
      <w:pPr>
        <w:rPr>
          <w:rFonts w:ascii="Times New Roman" w:hAnsi="Times New Roman" w:cs="Times New Roman"/>
          <w:sz w:val="24"/>
          <w:szCs w:val="24"/>
        </w:rPr>
      </w:pPr>
    </w:p>
    <w:p w:rsidR="00F1699F" w:rsidRPr="00823710" w:rsidP="00823710" w14:paraId="18507996" w14:textId="6A39D9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23710" w:rsidR="0082371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90139"/>
    <w:rsid w:val="007B2E53"/>
    <w:rsid w:val="00823710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DF150D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23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823710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locked/>
    <w:rsid w:val="008237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8237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Вміст таблиці"/>
    <w:basedOn w:val="Normal"/>
    <w:qFormat/>
    <w:rsid w:val="00823710"/>
    <w:pPr>
      <w:widowControl w:val="0"/>
      <w:suppressLineNumbers/>
      <w:suppressAutoHyphens/>
      <w:overflowPunct w:val="0"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5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823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D36C08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1628</Words>
  <Characters>9280</Characters>
  <Application>Microsoft Office Word</Application>
  <DocSecurity>8</DocSecurity>
  <Lines>77</Lines>
  <Paragraphs>21</Paragraphs>
  <ScaleCrop>false</ScaleCrop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2026-03-23T08:32:00Z</dcterms:modified>
</cp:coreProperties>
</file>