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7EBB" w14:textId="77777777" w:rsidR="00AE21F8" w:rsidRPr="00AE21F8" w:rsidRDefault="00AE21F8" w:rsidP="00AE21F8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21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065BB74F" w14:textId="77777777" w:rsidR="00AE21F8" w:rsidRPr="00AE21F8" w:rsidRDefault="00AE21F8" w:rsidP="00AE21F8">
      <w:pPr>
        <w:spacing w:after="0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94106B" w14:textId="0A5A696D" w:rsidR="00AE21F8" w:rsidRPr="00AE21F8" w:rsidRDefault="00AE21F8" w:rsidP="00AE21F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E21F8">
        <w:rPr>
          <w:rFonts w:ascii="Times New Roman" w:eastAsia="Times New Roman" w:hAnsi="Times New Roman" w:cs="Times New Roman"/>
          <w:sz w:val="28"/>
          <w:szCs w:val="28"/>
          <w:lang w:val="uk-UA"/>
        </w:rPr>
        <w:t>до проекту рішення</w:t>
      </w:r>
      <w:r w:rsidRPr="00AE21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«Про погодження Концепції індустріального парку «БУДШЛЯХМАШ»</w:t>
      </w:r>
      <w:r w:rsidR="00FF7D7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в новій редакції</w:t>
      </w:r>
    </w:p>
    <w:p w14:paraId="56468D9F" w14:textId="77777777" w:rsidR="00AE21F8" w:rsidRPr="00AE21F8" w:rsidRDefault="00AE21F8" w:rsidP="00AE21F8">
      <w:pPr>
        <w:spacing w:after="0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BB3E1CE" w14:textId="77777777" w:rsidR="00AE21F8" w:rsidRPr="00AE21F8" w:rsidRDefault="00AE21F8" w:rsidP="00AE2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21F8">
        <w:rPr>
          <w:rFonts w:ascii="Times New Roman" w:eastAsia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 та на виконання статті 26 Закону України «Про місцеве самоврядування в Україні»</w:t>
      </w:r>
    </w:p>
    <w:p w14:paraId="6EEA7BE4" w14:textId="77777777" w:rsidR="00AE21F8" w:rsidRPr="00AE21F8" w:rsidRDefault="00AE21F8" w:rsidP="00AE2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14:paraId="349FD4F0" w14:textId="77777777" w:rsidR="00AE21F8" w:rsidRPr="00AE21F8" w:rsidRDefault="00AE21F8" w:rsidP="00AE21F8">
      <w:pPr>
        <w:keepNext/>
        <w:numPr>
          <w:ilvl w:val="1"/>
          <w:numId w:val="1"/>
        </w:numPr>
        <w:suppressAutoHyphens/>
        <w:spacing w:after="0" w:line="240" w:lineRule="auto"/>
        <w:ind w:left="11" w:firstLine="567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AE21F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72B8BF72" w14:textId="06D096E2" w:rsidR="00AE21F8" w:rsidRPr="0059088C" w:rsidRDefault="00AE21F8" w:rsidP="00E3368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E21F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забезпечення економічного розвитку громади, </w:t>
      </w:r>
      <w:r w:rsidR="00590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враховуючи лист ТОВ «АТОМІС» </w:t>
      </w:r>
      <w:r w:rsidR="0059088C" w:rsidRPr="0059088C">
        <w:rPr>
          <w:rFonts w:ascii="Times New Roman" w:eastAsia="Times New Roman" w:hAnsi="Times New Roman" w:cs="Times New Roman"/>
          <w:sz w:val="28"/>
          <w:szCs w:val="28"/>
          <w:lang w:val="uk-UA"/>
        </w:rPr>
        <w:t>від 20.03.2026 №20/03/2</w:t>
      </w:r>
      <w:r w:rsidR="00590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AE21F8">
        <w:rPr>
          <w:rFonts w:ascii="Times New Roman" w:eastAsia="Times New Roman" w:hAnsi="Times New Roman" w:cs="Times New Roman"/>
          <w:sz w:val="28"/>
          <w:szCs w:val="28"/>
          <w:lang w:val="uk-UA"/>
        </w:rPr>
        <w:t>активізації інвестиційної діяльності, створення нових робочих місць, розвитку сучасної виробничої інфраструктури пропонується погодити Концепцію індустріального парку «БУДШЛЯХМАШ»</w:t>
      </w:r>
      <w:r w:rsidR="005908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новій редакції. </w:t>
      </w:r>
    </w:p>
    <w:p w14:paraId="34956476" w14:textId="0CC7158F" w:rsidR="00AE21F8" w:rsidRPr="00F2747F" w:rsidRDefault="00AE21F8" w:rsidP="00F2747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2. </w:t>
      </w: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Мета і шляхи її досягнення: </w:t>
      </w: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метою погодження Концепції є створення індустріального парку для залучення інвестицій, створення нових робочих місць, забезпеченні гідних умов життя населення громади за рахунок створення  сприятливих умов для економічного зростання та підвищення реальних доходів громадян.</w:t>
      </w:r>
    </w:p>
    <w:p w14:paraId="623BDA02" w14:textId="77777777" w:rsidR="00AE21F8" w:rsidRDefault="00AE21F8" w:rsidP="00AE21F8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Правові аспекти: </w:t>
      </w: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стаття 7 Закону України «Про індустріальні парки», стаття 26, частина 1 статті 59 Закону України «Про місцеве самоврядування в Україні».</w:t>
      </w:r>
    </w:p>
    <w:p w14:paraId="2D276215" w14:textId="77777777" w:rsidR="00AE21F8" w:rsidRDefault="00AE21F8" w:rsidP="00AE21F8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Фінансово-економічне обґрунтування: </w:t>
      </w: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залучення фінансових коштів з місцевого бюджету</w:t>
      </w: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не передбачається. </w:t>
      </w:r>
    </w:p>
    <w:p w14:paraId="5AEA93EC" w14:textId="77777777" w:rsidR="00AE21F8" w:rsidRPr="00AE21F8" w:rsidRDefault="00AE21F8" w:rsidP="00AE21F8">
      <w:pPr>
        <w:suppressAutoHyphens/>
        <w:spacing w:after="0" w:line="240" w:lineRule="auto"/>
        <w:ind w:firstLine="5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Прогноз результатів: </w:t>
      </w: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створення</w:t>
      </w:r>
      <w:r w:rsidRPr="00AE21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індустріального парку «БУДШЛЯХМАШ» на території Броварської міської територіальної громади. </w:t>
      </w:r>
    </w:p>
    <w:p w14:paraId="7439ABD5" w14:textId="77777777" w:rsidR="00AE21F8" w:rsidRPr="00AE21F8" w:rsidRDefault="00AE21F8" w:rsidP="00AE21F8">
      <w:pPr>
        <w:spacing w:after="0"/>
        <w:ind w:firstLine="553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E21F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рішення:</w:t>
      </w:r>
    </w:p>
    <w:p w14:paraId="6382082F" w14:textId="752EB5D1" w:rsidR="00AE21F8" w:rsidRDefault="00AE21F8" w:rsidP="00E336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AE21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Доповідач</w:t>
      </w:r>
      <w:r w:rsidR="00E3368E" w:rsidRPr="00E336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336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та в</w:t>
      </w:r>
      <w:r w:rsidR="00E3368E" w:rsidRPr="00AE21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ідповідальний за підготовку проекту:</w:t>
      </w:r>
      <w:r w:rsidR="00E336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E21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начальник</w:t>
      </w:r>
      <w:r w:rsidRPr="00AE21F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AE21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управління економіки та інвестицій виконавчого комітету Броварської міської ради Броварського району Київської області Тетяна ПОЛІЩУК</w:t>
      </w:r>
      <w:r w:rsidR="00E336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1C0218D3" w14:textId="3671DBD3" w:rsidR="00E3368E" w:rsidRDefault="00E3368E" w:rsidP="00E3368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E3368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7. Таблиця змін</w:t>
      </w:r>
    </w:p>
    <w:p w14:paraId="490AF07D" w14:textId="77777777" w:rsidR="001E03FF" w:rsidRPr="00E3368E" w:rsidRDefault="001E03FF" w:rsidP="00E3368E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6769"/>
      </w:tblGrid>
      <w:tr w:rsidR="00E3368E" w14:paraId="0E9D8D56" w14:textId="77777777" w:rsidTr="001E03FF">
        <w:tc>
          <w:tcPr>
            <w:tcW w:w="959" w:type="dxa"/>
            <w:vAlign w:val="center"/>
          </w:tcPr>
          <w:p w14:paraId="77767233" w14:textId="6D2F017A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№ п/п</w:t>
            </w:r>
          </w:p>
        </w:tc>
        <w:tc>
          <w:tcPr>
            <w:tcW w:w="1843" w:type="dxa"/>
            <w:vAlign w:val="center"/>
          </w:tcPr>
          <w:p w14:paraId="1607FF39" w14:textId="1C79FB46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Сторінка Концепції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              </w:t>
            </w: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(в новій редакції)</w:t>
            </w:r>
          </w:p>
        </w:tc>
        <w:tc>
          <w:tcPr>
            <w:tcW w:w="6769" w:type="dxa"/>
            <w:vAlign w:val="center"/>
          </w:tcPr>
          <w:p w14:paraId="4BD6E860" w14:textId="225154D7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Назва змін</w:t>
            </w:r>
          </w:p>
        </w:tc>
      </w:tr>
      <w:tr w:rsidR="00E3368E" w14:paraId="03F4088A" w14:textId="77777777" w:rsidTr="001E03FF">
        <w:tc>
          <w:tcPr>
            <w:tcW w:w="959" w:type="dxa"/>
          </w:tcPr>
          <w:p w14:paraId="4D43C348" w14:textId="13709FA7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</w:t>
            </w:r>
          </w:p>
        </w:tc>
        <w:tc>
          <w:tcPr>
            <w:tcW w:w="1843" w:type="dxa"/>
          </w:tcPr>
          <w:p w14:paraId="3BA76CFC" w14:textId="0EA96035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6769" w:type="dxa"/>
          </w:tcPr>
          <w:p w14:paraId="210CD27F" w14:textId="6A3DA49C" w:rsidR="00E3368E" w:rsidRPr="001E03FF" w:rsidRDefault="001E03FF" w:rsidP="00AE21F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Змін</w:t>
            </w:r>
            <w:r w:rsid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а </w:t>
            </w: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нумерації сторінок основних розділів Концепції</w:t>
            </w:r>
          </w:p>
        </w:tc>
      </w:tr>
      <w:tr w:rsidR="00E3368E" w14:paraId="456FDE44" w14:textId="77777777" w:rsidTr="001E03FF">
        <w:tc>
          <w:tcPr>
            <w:tcW w:w="959" w:type="dxa"/>
          </w:tcPr>
          <w:p w14:paraId="43F844AA" w14:textId="62A97A5F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2</w:t>
            </w:r>
          </w:p>
        </w:tc>
        <w:tc>
          <w:tcPr>
            <w:tcW w:w="1843" w:type="dxa"/>
          </w:tcPr>
          <w:p w14:paraId="266EFFE2" w14:textId="33D0C998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17</w:t>
            </w:r>
          </w:p>
        </w:tc>
        <w:tc>
          <w:tcPr>
            <w:tcW w:w="6769" w:type="dxa"/>
          </w:tcPr>
          <w:p w14:paraId="0B5B3794" w14:textId="2E21E529" w:rsidR="00E3368E" w:rsidRPr="001E03FF" w:rsidRDefault="001E03FF" w:rsidP="00AE21F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Зміна назви населеного пункту: «Переможець»</w:t>
            </w:r>
            <w:r w:rsidR="009B3D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на</w:t>
            </w:r>
            <w:r w:rsidRPr="001E03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 «Сотницьке»</w:t>
            </w:r>
            <w:r w:rsidR="009B3D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.</w:t>
            </w:r>
          </w:p>
        </w:tc>
      </w:tr>
      <w:tr w:rsidR="00E3368E" w14:paraId="7BFAC646" w14:textId="77777777" w:rsidTr="001E03FF">
        <w:tc>
          <w:tcPr>
            <w:tcW w:w="959" w:type="dxa"/>
          </w:tcPr>
          <w:p w14:paraId="6FAEA4B3" w14:textId="1AC86AE7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</w:t>
            </w:r>
          </w:p>
        </w:tc>
        <w:tc>
          <w:tcPr>
            <w:tcW w:w="1843" w:type="dxa"/>
          </w:tcPr>
          <w:p w14:paraId="19F16A9B" w14:textId="09B55095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38</w:t>
            </w:r>
          </w:p>
        </w:tc>
        <w:tc>
          <w:tcPr>
            <w:tcW w:w="6769" w:type="dxa"/>
          </w:tcPr>
          <w:p w14:paraId="5D936E49" w14:textId="6561170B" w:rsidR="00E3368E" w:rsidRPr="001E03FF" w:rsidRDefault="00A83215" w:rsidP="00AE21F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Видалено абзац «</w:t>
            </w: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брати участь у соціальних ініціативах - підтримувати проєкти, спрямовані на покращення екологічного та соціального середовища регіону»</w:t>
            </w:r>
            <w:r w:rsidR="009B3DD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.</w:t>
            </w:r>
          </w:p>
        </w:tc>
      </w:tr>
      <w:tr w:rsidR="00E3368E" w:rsidRPr="00F16DB7" w14:paraId="0ED93DDA" w14:textId="77777777" w:rsidTr="001E03FF">
        <w:tc>
          <w:tcPr>
            <w:tcW w:w="959" w:type="dxa"/>
          </w:tcPr>
          <w:p w14:paraId="5E9570E0" w14:textId="15B9D1F9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</w:t>
            </w:r>
          </w:p>
        </w:tc>
        <w:tc>
          <w:tcPr>
            <w:tcW w:w="1843" w:type="dxa"/>
          </w:tcPr>
          <w:p w14:paraId="26182E8C" w14:textId="5827C664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48</w:t>
            </w:r>
          </w:p>
        </w:tc>
        <w:tc>
          <w:tcPr>
            <w:tcW w:w="6769" w:type="dxa"/>
          </w:tcPr>
          <w:p w14:paraId="08BE7D4A" w14:textId="0BA8C299" w:rsidR="00E3368E" w:rsidRPr="00A83215" w:rsidRDefault="00A83215" w:rsidP="00AE21F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Додано абзац ««Використання учасниками ІП преференції зі звільнення від сплати ввізного мита буде відбуватися у міру придбання та ввезення на митну територію України імпортного обладнання з країн, щодо яких встановлені </w:t>
            </w: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ввізні мита на відповідну продукцію, для запуску та розширення господарської діяльності в рамках ІП. Беручи до уваги попередні плани учасників ІП щодо з придбання та ввезення відповідної продукції, очікуваний розподіл використання преференції протягом аналізованого періоду матиме наступний вигляд: 3,2 млн грн у 2029 р.; 2,8 млн грн у 2030 р.; 1,7 млн грн у 2031 р.; 0,8 млн грн у 2032 р.; 0,4 млн грн у 2033 р.; 0,3 млн грн у 2034 р.; 0,2 млн грн у 2035 р.»</w:t>
            </w:r>
          </w:p>
        </w:tc>
      </w:tr>
      <w:tr w:rsidR="00E3368E" w:rsidRPr="00F16DB7" w14:paraId="7CC70877" w14:textId="77777777" w:rsidTr="001E03FF">
        <w:tc>
          <w:tcPr>
            <w:tcW w:w="959" w:type="dxa"/>
          </w:tcPr>
          <w:p w14:paraId="3F268FFD" w14:textId="14B8FDD3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5</w:t>
            </w:r>
          </w:p>
        </w:tc>
        <w:tc>
          <w:tcPr>
            <w:tcW w:w="1843" w:type="dxa"/>
          </w:tcPr>
          <w:p w14:paraId="456EB4CD" w14:textId="63E3BCB9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49</w:t>
            </w:r>
          </w:p>
        </w:tc>
        <w:tc>
          <w:tcPr>
            <w:tcW w:w="6769" w:type="dxa"/>
          </w:tcPr>
          <w:p w14:paraId="431AF8C9" w14:textId="6E105D98" w:rsidR="00E3368E" w:rsidRPr="00A83215" w:rsidRDefault="00A83215" w:rsidP="00AE21F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Додано абзац </w:t>
            </w:r>
            <w:r w:rsidRPr="00A8321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«Використання учасниками ІП преференції зі звільнення від сплати імпортного ПДВ буде відбуватися у міру придбання та ввезення на митну територію України імпортного обладнання для запуску та розширення господарської діяльності в рамках ІП. Беручи до уваги попередні плани учасників ІП щодо з придбання та ввезення відповідної продукції, очікуваний розподіл використання преференції протягом аналізованого періоду матиме наступний вигляд: 38,3 млн грн у 2029 р.; 18,5 млн грн у 2030 р.; 4,9 млн грн у 2031 р.; 4,0 млн грн у 2032 р.; 3,1 млн грн у 2033 р.; 0,7 млн грн у 2034 р.; 0,5 млн грн у 2035 р.»</w:t>
            </w:r>
          </w:p>
        </w:tc>
      </w:tr>
      <w:tr w:rsidR="00E3368E" w14:paraId="365310A2" w14:textId="77777777" w:rsidTr="001E03FF">
        <w:tc>
          <w:tcPr>
            <w:tcW w:w="959" w:type="dxa"/>
          </w:tcPr>
          <w:p w14:paraId="7A9CA813" w14:textId="17EE3C41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6</w:t>
            </w:r>
          </w:p>
        </w:tc>
        <w:tc>
          <w:tcPr>
            <w:tcW w:w="1843" w:type="dxa"/>
          </w:tcPr>
          <w:p w14:paraId="66E8E200" w14:textId="55187FEC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49</w:t>
            </w:r>
          </w:p>
        </w:tc>
        <w:tc>
          <w:tcPr>
            <w:tcW w:w="6769" w:type="dxa"/>
          </w:tcPr>
          <w:p w14:paraId="20D6ED0C" w14:textId="77777777" w:rsidR="00A83215" w:rsidRPr="00A83215" w:rsidRDefault="00A83215" w:rsidP="00A8321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Додано абзац </w:t>
            </w: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«Ставку орендної плати, зазначену в Договорі оренди, визначено за результатом торгів. Відповідно до статті 23 Закону України "Про оренду землі" (зі змінами) орендна плата за земельні ділянки, що перебувають у власності фізичних та юридичних осіб, переглядається за згодою сторін. Плата за земельні ділянки державної та комунальної власності, передані в оренду на земельних торгах, не може бути зменшена за згодою сторін протягом строку дії договору оренди, а також у разі його поновлення (крім випадків консервації таких земельних ділянок, а також визнання земельних ділянок забрудненими (потенційно забрудненими) вибухонебезпечними предметами).</w:t>
            </w:r>
          </w:p>
          <w:p w14:paraId="7050BB99" w14:textId="77777777" w:rsidR="00A83215" w:rsidRPr="00A83215" w:rsidRDefault="00A83215" w:rsidP="00A8321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Згідно з пунктом 289.1 статті 289 Податкового кодексу України, для визначення розміру плати за землю використовується нормативна грошова оцінка земельних ділянок з урахуванням коефіцієнта індексації, визначеного відповідно до законодавства. Середнє значення коефіцієнту індексації нормативної грошової оцінки для земель несільськогосподарського призначення протягом 2021–2025 років в Україні становило 1,1 (зокрема, 1,1 – за 2021 р.; 1,15 – за 2022 р.; 1,051 – за 2023 р.; 1,12 – за 2024 р.; 1,08 – за 2025 рік). Відтак оціночні обсяги сплати орендної плати за землю у 2029–2035 рр., скориговані на коефіцієнт індексації, складуть: 3,7 млн грн у 2029 р.; 4,1 млн грн у 2030 р.; 4,5 млн грн у 2031 р.; 4,9 млн грн у 2032 р.; 5,4 млн грн у 2033 р.; 5,9 млн грн у 2034 р.; 6,5 млн грн у 2035 р.</w:t>
            </w:r>
          </w:p>
          <w:p w14:paraId="0F331902" w14:textId="6439DF68" w:rsidR="00E3368E" w:rsidRPr="001E03FF" w:rsidRDefault="00A83215" w:rsidP="00A8321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Загальний обсяг сплати орендної плати за землю протягом 2029–2035 рр. оцінюється у 35,05 млн грн.»</w:t>
            </w:r>
          </w:p>
        </w:tc>
      </w:tr>
      <w:tr w:rsidR="00E3368E" w:rsidRPr="00F16DB7" w14:paraId="73DD38A4" w14:textId="77777777" w:rsidTr="001E03FF">
        <w:tc>
          <w:tcPr>
            <w:tcW w:w="959" w:type="dxa"/>
          </w:tcPr>
          <w:p w14:paraId="2BB1E574" w14:textId="298A50B9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7</w:t>
            </w:r>
          </w:p>
        </w:tc>
        <w:tc>
          <w:tcPr>
            <w:tcW w:w="1843" w:type="dxa"/>
          </w:tcPr>
          <w:p w14:paraId="62BC5B5F" w14:textId="4D9E2ABE" w:rsidR="00E3368E" w:rsidRPr="001E03FF" w:rsidRDefault="001E03FF" w:rsidP="001E03F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50</w:t>
            </w:r>
          </w:p>
        </w:tc>
        <w:tc>
          <w:tcPr>
            <w:tcW w:w="6769" w:type="dxa"/>
          </w:tcPr>
          <w:p w14:paraId="4461569C" w14:textId="77777777" w:rsidR="00A83215" w:rsidRPr="00A83215" w:rsidRDefault="00A83215" w:rsidP="00A8321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 xml:space="preserve">Додано розділ </w:t>
            </w: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«Експортна діяльність</w:t>
            </w:r>
          </w:p>
          <w:p w14:paraId="654487A5" w14:textId="77777777" w:rsidR="00A83215" w:rsidRPr="00A83215" w:rsidRDefault="00A83215" w:rsidP="00A8321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lastRenderedPageBreak/>
              <w:t>Бізнес-модель перспективних учасників ІП «БУДШЛЯХМАШ» передбачає першочергову орієнтованість на внутрішній ринок збуту, зокрема шляхом заміщення імпорту продукції, що вироблятиметься на території індустріального парку. Таким чином, на початковому етапі свого функціонування й у середньостроковому періоді експортні операції учасників парку матимуть епізодичний характер. Натомість сприяння експортній діяльності в регіоні та країні в цілому відбуватиметься опосередковано шляхом постачання виготовленої в індустріальному парку продукції (вузлів, обладнання, засобів виробництва, послуг) іншим суб’єктам господарювання у суміжних галузях, що посилюватиме їхню конкурентоспроможність на міжнародних ринках. Відповідні макроекономічні ефекти реалізації проєкту індустріального парку обґрунтовані та оцінені у Розділі 12 Концепції. У довгостроковій перспективі можливе розширення експортної діяльності індустріального парку у разі залучення нових учасників.</w:t>
            </w:r>
          </w:p>
          <w:p w14:paraId="6F0A293F" w14:textId="1114B124" w:rsidR="00E3368E" w:rsidRPr="001E03FF" w:rsidRDefault="00A83215" w:rsidP="00A8321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</w:pPr>
            <w:r w:rsidRPr="00A832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zh-CN"/>
              </w:rPr>
              <w:t>Відповідно до чинного законодавства, в Україні не встановлено вивізні (експортні) мита на продукцію і послуги, які вироблятимуться в межах індустріального парку «БУДШЛЯХМАШ» згідно його функціонального призначення (див. Розділ 3). Отже, у даному контексті наявність або відсутність експортної діяльності учасників ІП не матиме ефекту на доходи державного або місцевих бюджетів.»</w:t>
            </w:r>
          </w:p>
        </w:tc>
      </w:tr>
    </w:tbl>
    <w:p w14:paraId="7E1F803A" w14:textId="77777777" w:rsidR="00AE21F8" w:rsidRPr="00AE21F8" w:rsidRDefault="00AE21F8" w:rsidP="00AE2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19873BEA" w14:textId="77777777" w:rsidR="00AE21F8" w:rsidRPr="00AE21F8" w:rsidRDefault="00AE21F8" w:rsidP="00AE2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741249CF" w14:textId="77777777" w:rsidR="00AE21F8" w:rsidRPr="00AE21F8" w:rsidRDefault="00AE21F8" w:rsidP="00AE21F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Начальник управління</w:t>
      </w:r>
    </w:p>
    <w:p w14:paraId="7CA6872D" w14:textId="77777777" w:rsidR="00AE21F8" w:rsidRPr="00AE21F8" w:rsidRDefault="00AE21F8" w:rsidP="00A83215">
      <w:pPr>
        <w:tabs>
          <w:tab w:val="left" w:pos="70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AE21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економіки та інвестицій                                                            Тетяна ПОЛІЩУК</w:t>
      </w:r>
    </w:p>
    <w:p w14:paraId="1B9CC8A7" w14:textId="77777777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E03FF"/>
    <w:rsid w:val="00244FF9"/>
    <w:rsid w:val="003613A9"/>
    <w:rsid w:val="00361CD8"/>
    <w:rsid w:val="00525C68"/>
    <w:rsid w:val="0059088C"/>
    <w:rsid w:val="005B1C08"/>
    <w:rsid w:val="005F334B"/>
    <w:rsid w:val="00696599"/>
    <w:rsid w:val="006C396C"/>
    <w:rsid w:val="0074644B"/>
    <w:rsid w:val="007E7FBA"/>
    <w:rsid w:val="00827775"/>
    <w:rsid w:val="00856F6D"/>
    <w:rsid w:val="00881846"/>
    <w:rsid w:val="0099237E"/>
    <w:rsid w:val="009B3DD9"/>
    <w:rsid w:val="009B7D79"/>
    <w:rsid w:val="009C0EEF"/>
    <w:rsid w:val="009C132C"/>
    <w:rsid w:val="00A218AE"/>
    <w:rsid w:val="00A83215"/>
    <w:rsid w:val="00AE21F8"/>
    <w:rsid w:val="00B35D4C"/>
    <w:rsid w:val="00B46089"/>
    <w:rsid w:val="00B80167"/>
    <w:rsid w:val="00BF6942"/>
    <w:rsid w:val="00D5049E"/>
    <w:rsid w:val="00D92C45"/>
    <w:rsid w:val="00DD7BFD"/>
    <w:rsid w:val="00E3368E"/>
    <w:rsid w:val="00F16DB7"/>
    <w:rsid w:val="00F2747F"/>
    <w:rsid w:val="00FC33D9"/>
    <w:rsid w:val="00FE44B8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CD97"/>
  <w15:docId w15:val="{92AE22CA-00F1-439C-952D-F989A27A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E33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26</cp:revision>
  <dcterms:created xsi:type="dcterms:W3CDTF">2021-03-03T14:03:00Z</dcterms:created>
  <dcterms:modified xsi:type="dcterms:W3CDTF">2026-03-24T13:50:00Z</dcterms:modified>
</cp:coreProperties>
</file>