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55904" w14:textId="77777777" w:rsidR="0001307E" w:rsidRDefault="00000000"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ПС-178</w:t>
      </w:r>
      <w:r>
        <w:pict w14:anchorId="683FC050">
          <v:shapetype id="_x0000_t202" coordsize="21600,21600" o:spt="202" path="m,l,21600r21600,l21600,xe">
            <v:stroke joinstyle="miter"/>
            <v:path gradientshapeok="t" o:connecttype="rect"/>
          </v:shapetype>
          <v:shape id="_x0000_s1026" type="#_x0000_t202" style="position:absolute;left:0;text-align:left;margin-left:0;margin-top:0;width:595.3pt;height:0;z-index:251658240;mso-wrap-style:square;mso-position-horizontal:center;mso-position-horizontal-relative:page;mso-position-vertical:bottom;mso-position-vertical-relative:page" stroked="f">
            <v:path strokeok="f" textboxrect="0,0,21600,21600"/>
            <v:textbox style="mso-fit-shape-to-text:t" inset="0,0,0,0">
              <w:txbxContent>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42"/>
                    <w:gridCol w:w="222"/>
                  </w:tblGrid>
                  <w:tr w:rsidR="00F37DCB" w14:paraId="6DB16989" w14:textId="77777777">
                    <w:trPr>
                      <w:trHeight w:val="567"/>
                      <w:jc w:val="center"/>
                    </w:trPr>
                    <w:tc>
                      <w:tcPr>
                        <w:tcW w:w="0" w:type="auto"/>
                      </w:tcPr>
                      <w:p w14:paraId="1A09D2D4" w14:textId="77777777" w:rsidR="00374364" w:rsidRPr="006963FA" w:rsidRDefault="00374364" w:rsidP="00374364">
                        <w:pPr>
                          <w:rPr>
                            <w:rFonts w:ascii="InfoPlus CODE128 12" w:hAnsi="InfoPlus CODE128 12" w:cs="InfoPlus CODE128 12"/>
                            <w:sz w:val="18"/>
                            <w:szCs w:val="18"/>
                          </w:rPr>
                        </w:pPr>
                      </w:p>
                    </w:tc>
                    <w:tc>
                      <w:tcPr>
                        <w:tcW w:w="0" w:type="auto"/>
                      </w:tcPr>
                      <w:p w14:paraId="05E9C56B" w14:textId="77777777" w:rsidR="00374364" w:rsidRPr="006963FA" w:rsidRDefault="00374364" w:rsidP="00374364">
                        <w:pPr>
                          <w:rPr>
                            <w:rFonts w:ascii="InfoPlus CODE128 12" w:hAnsi="InfoPlus CODE128 12" w:cs="InfoPlus CODE128 12"/>
                            <w:sz w:val="18"/>
                            <w:szCs w:val="18"/>
                          </w:rPr>
                        </w:pPr>
                      </w:p>
                    </w:tc>
                    <w:tc>
                      <w:tcPr>
                        <w:tcW w:w="0" w:type="auto"/>
                      </w:tcPr>
                      <w:p w14:paraId="74474866" w14:textId="77777777" w:rsidR="00374364" w:rsidRPr="006963FA" w:rsidRDefault="00374364" w:rsidP="00374364">
                        <w:pPr>
                          <w:jc w:val="center"/>
                          <w:rPr>
                            <w:rFonts w:ascii="InfoPlus CODE128 12" w:hAnsi="InfoPlus CODE128 12" w:cs="InfoPlus CODE128 12"/>
                            <w:sz w:val="18"/>
                            <w:szCs w:val="18"/>
                          </w:rPr>
                        </w:pPr>
                      </w:p>
                    </w:tc>
                  </w:tr>
                  <w:tr w:rsidR="00F37DCB" w14:paraId="4F931677" w14:textId="77777777">
                    <w:trPr>
                      <w:trHeight w:val="117"/>
                      <w:jc w:val="center"/>
                    </w:trPr>
                    <w:tc>
                      <w:tcPr>
                        <w:tcW w:w="0" w:type="auto"/>
                      </w:tcPr>
                      <w:p w14:paraId="4A2AAFF8" w14:textId="77777777" w:rsidR="00DC4FD6" w:rsidRPr="002B683A" w:rsidRDefault="00DC4FD6" w:rsidP="00374364">
                        <w:pPr>
                          <w:rPr>
                            <w:rFonts w:cs="InfoPlus CODE128 60"/>
                            <w:sz w:val="12"/>
                            <w:szCs w:val="12"/>
                          </w:rPr>
                        </w:pPr>
                      </w:p>
                    </w:tc>
                    <w:tc>
                      <w:tcPr>
                        <w:tcW w:w="0" w:type="auto"/>
                      </w:tcPr>
                      <w:p w14:paraId="62AD9907" w14:textId="77777777" w:rsidR="00DC4FD6" w:rsidRPr="009D1EC6" w:rsidRDefault="00000000" w:rsidP="00374364">
                        <w:pPr>
                          <w:rPr>
                            <w:rFonts w:cs="InfoPlus CODE128 60"/>
                            <w:sz w:val="10"/>
                            <w:szCs w:val="10"/>
                          </w:rPr>
                        </w:pPr>
                        <w:r w:rsidRPr="009D1EC6">
                          <w:rPr>
                            <w:rFonts w:cs="InfoPlus CODE128 60"/>
                            <w:sz w:val="10"/>
                            <w:szCs w:val="10"/>
                          </w:rPr>
                          <w:t>.</w:t>
                        </w:r>
                      </w:p>
                    </w:tc>
                    <w:tc>
                      <w:tcPr>
                        <w:tcW w:w="0" w:type="auto"/>
                      </w:tcPr>
                      <w:p w14:paraId="38D49CE0" w14:textId="77777777" w:rsidR="00DC4FD6" w:rsidRPr="002B683A" w:rsidRDefault="00DC4FD6" w:rsidP="00374364">
                        <w:pPr>
                          <w:jc w:val="center"/>
                          <w:rPr>
                            <w:rFonts w:ascii="MS Sans Serif" w:hAnsi="MS Sans Serif" w:cs="MS Sans Serif"/>
                            <w:b/>
                            <w:bCs/>
                            <w:sz w:val="12"/>
                            <w:szCs w:val="12"/>
                          </w:rPr>
                        </w:pPr>
                      </w:p>
                    </w:tc>
                  </w:tr>
                </w:tbl>
                <w:p w14:paraId="58D1ABF2" w14:textId="77777777" w:rsidR="00F37DCB" w:rsidRDefault="00F37DCB">
                  <w:pPr>
                    <w:rPr>
                      <w:sz w:val="6"/>
                    </w:rPr>
                  </w:pPr>
                </w:p>
              </w:txbxContent>
            </v:textbox>
            <w10:wrap anchorx="page" anchory="page"/>
          </v:shape>
        </w:pict>
      </w:r>
    </w:p>
    <w:p w14:paraId="1524C7D8" w14:textId="77777777" w:rsidR="0001307E" w:rsidRDefault="0001307E" w:rsidP="00B3670E">
      <w:pPr>
        <w:tabs>
          <w:tab w:val="left" w:pos="5610"/>
          <w:tab w:val="left" w:pos="6358"/>
        </w:tabs>
        <w:spacing w:after="0"/>
        <w:ind w:left="5103"/>
        <w:jc w:val="center"/>
        <w:rPr>
          <w:rFonts w:ascii="Times New Roman" w:hAnsi="Times New Roman" w:cs="Times New Roman"/>
          <w:sz w:val="28"/>
          <w:szCs w:val="28"/>
        </w:rPr>
      </w:pPr>
    </w:p>
    <w:tbl>
      <w:tblPr>
        <w:tblStyle w:val="a7"/>
        <w:tblpPr w:leftFromText="180" w:rightFromText="180" w:vertAnchor="text" w:horzAnchor="margin" w:tblpY="-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31"/>
      </w:tblGrid>
      <w:tr w:rsidR="00F37DCB" w14:paraId="0266DBDA" w14:textId="77777777" w:rsidTr="001277F8">
        <w:trPr>
          <w:trHeight w:val="417"/>
        </w:trPr>
        <w:tc>
          <w:tcPr>
            <w:tcW w:w="4957" w:type="dxa"/>
          </w:tcPr>
          <w:p w14:paraId="3F1377B2" w14:textId="77777777" w:rsidR="001579F0" w:rsidRDefault="00000000" w:rsidP="001579F0">
            <w:pPr>
              <w:tabs>
                <w:tab w:val="left" w:pos="5610"/>
                <w:tab w:val="left" w:pos="6358"/>
              </w:tabs>
              <w:rPr>
                <w:rFonts w:ascii="Times New Roman" w:hAnsi="Times New Roman" w:cs="Times New Roman"/>
                <w:sz w:val="28"/>
                <w:szCs w:val="28"/>
              </w:rPr>
            </w:pPr>
            <w:permStart w:id="2107839672" w:edGrp="everyone"/>
            <w:r>
              <w:rPr>
                <w:rFonts w:ascii="Times New Roman" w:hAnsi="Times New Roman" w:cs="Times New Roman"/>
                <w:sz w:val="28"/>
                <w:szCs w:val="28"/>
              </w:rPr>
              <w:t>ЗАТВЕРДЖЕНО</w:t>
            </w:r>
          </w:p>
        </w:tc>
        <w:tc>
          <w:tcPr>
            <w:tcW w:w="4531" w:type="dxa"/>
          </w:tcPr>
          <w:p w14:paraId="68E3B36A" w14:textId="77777777" w:rsidR="001579F0" w:rsidRDefault="00000000" w:rsidP="001579F0">
            <w:pPr>
              <w:tabs>
                <w:tab w:val="left" w:pos="5610"/>
                <w:tab w:val="left" w:pos="6358"/>
              </w:tabs>
              <w:rPr>
                <w:rFonts w:ascii="Times New Roman" w:hAnsi="Times New Roman" w:cs="Times New Roman"/>
                <w:sz w:val="28"/>
                <w:szCs w:val="28"/>
              </w:rPr>
            </w:pPr>
            <w:r w:rsidRPr="004208DA">
              <w:rPr>
                <w:rFonts w:ascii="Times New Roman" w:hAnsi="Times New Roman" w:cs="Times New Roman"/>
                <w:sz w:val="28"/>
                <w:szCs w:val="28"/>
              </w:rPr>
              <w:t>Додаток</w:t>
            </w:r>
          </w:p>
        </w:tc>
      </w:tr>
      <w:tr w:rsidR="00F37DCB" w14:paraId="0AA77341" w14:textId="77777777" w:rsidTr="001277F8">
        <w:trPr>
          <w:trHeight w:val="469"/>
        </w:trPr>
        <w:tc>
          <w:tcPr>
            <w:tcW w:w="4957" w:type="dxa"/>
          </w:tcPr>
          <w:p w14:paraId="3F0CF4B7" w14:textId="77777777" w:rsidR="001277F8" w:rsidRDefault="00000000" w:rsidP="001277F8">
            <w:pPr>
              <w:tabs>
                <w:tab w:val="left" w:pos="5610"/>
                <w:tab w:val="left" w:pos="6358"/>
              </w:tabs>
              <w:rPr>
                <w:rFonts w:ascii="Times New Roman" w:hAnsi="Times New Roman" w:cs="Times New Roman"/>
                <w:sz w:val="28"/>
                <w:szCs w:val="28"/>
              </w:rPr>
            </w:pPr>
            <w:r>
              <w:rPr>
                <w:rFonts w:ascii="Times New Roman" w:hAnsi="Times New Roman" w:cs="Times New Roman"/>
                <w:sz w:val="28"/>
                <w:szCs w:val="28"/>
              </w:rPr>
              <w:t xml:space="preserve">Рішенням Єдиного учасника </w:t>
            </w:r>
          </w:p>
          <w:p w14:paraId="6F14E500" w14:textId="77777777" w:rsidR="001277F8" w:rsidRDefault="00000000" w:rsidP="001277F8">
            <w:pPr>
              <w:tabs>
                <w:tab w:val="left" w:pos="5610"/>
                <w:tab w:val="left" w:pos="6358"/>
              </w:tabs>
              <w:rPr>
                <w:rFonts w:ascii="Times New Roman" w:hAnsi="Times New Roman" w:cs="Times New Roman"/>
                <w:sz w:val="28"/>
                <w:szCs w:val="28"/>
              </w:rPr>
            </w:pPr>
            <w:r>
              <w:rPr>
                <w:rFonts w:ascii="Times New Roman" w:hAnsi="Times New Roman" w:cs="Times New Roman"/>
                <w:sz w:val="28"/>
                <w:szCs w:val="28"/>
              </w:rPr>
              <w:t>ТОВ «АТОМІС» №20/03-2026 від 20.03.2026</w:t>
            </w:r>
          </w:p>
          <w:p w14:paraId="0FA21DA6" w14:textId="77777777" w:rsidR="001579F0" w:rsidRDefault="00000000" w:rsidP="001277F8">
            <w:pPr>
              <w:tabs>
                <w:tab w:val="left" w:pos="5610"/>
                <w:tab w:val="left" w:pos="6358"/>
              </w:tabs>
              <w:rPr>
                <w:rFonts w:ascii="Times New Roman" w:hAnsi="Times New Roman" w:cs="Times New Roman"/>
                <w:sz w:val="28"/>
                <w:szCs w:val="28"/>
              </w:rPr>
            </w:pPr>
            <w:r>
              <w:rPr>
                <w:rFonts w:ascii="Times New Roman" w:hAnsi="Times New Roman" w:cs="Times New Roman"/>
                <w:sz w:val="28"/>
                <w:szCs w:val="28"/>
              </w:rPr>
              <w:t>«Про створення та затвердження Концепції індустріального парку  «БУДШЛЯХМАШ»</w:t>
            </w:r>
          </w:p>
        </w:tc>
        <w:tc>
          <w:tcPr>
            <w:tcW w:w="4531" w:type="dxa"/>
          </w:tcPr>
          <w:p w14:paraId="59582B77" w14:textId="77777777" w:rsidR="001277F8" w:rsidRDefault="00000000" w:rsidP="001277F8">
            <w:pPr>
              <w:tabs>
                <w:tab w:val="left" w:pos="5610"/>
                <w:tab w:val="left" w:pos="6358"/>
              </w:tabs>
              <w:rPr>
                <w:rFonts w:ascii="Times New Roman" w:hAnsi="Times New Roman" w:cs="Times New Roman"/>
                <w:sz w:val="28"/>
                <w:szCs w:val="28"/>
              </w:rPr>
            </w:pPr>
            <w:r>
              <w:rPr>
                <w:rFonts w:ascii="Times New Roman" w:hAnsi="Times New Roman" w:cs="Times New Roman"/>
                <w:sz w:val="28"/>
                <w:szCs w:val="28"/>
              </w:rPr>
              <w:t xml:space="preserve">ПОГОДЖЕНО </w:t>
            </w:r>
          </w:p>
          <w:p w14:paraId="26885CFB" w14:textId="77777777" w:rsidR="001277F8" w:rsidRPr="004208DA" w:rsidRDefault="00000000" w:rsidP="001277F8">
            <w:pPr>
              <w:tabs>
                <w:tab w:val="left" w:pos="5610"/>
                <w:tab w:val="left" w:pos="6358"/>
              </w:tabs>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 Броварського району</w:t>
            </w:r>
          </w:p>
          <w:p w14:paraId="5863E079" w14:textId="77777777" w:rsidR="001579F0" w:rsidRDefault="00000000" w:rsidP="001277F8">
            <w:pPr>
              <w:tabs>
                <w:tab w:val="left" w:pos="5610"/>
                <w:tab w:val="left" w:pos="6358"/>
              </w:tabs>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tc>
      </w:tr>
    </w:tbl>
    <w:p w14:paraId="54FD2A4D" w14:textId="77777777" w:rsidR="004208DA" w:rsidRDefault="004208DA" w:rsidP="001579F0">
      <w:pPr>
        <w:tabs>
          <w:tab w:val="left" w:pos="5610"/>
          <w:tab w:val="left" w:pos="6358"/>
        </w:tabs>
        <w:spacing w:after="0"/>
        <w:rPr>
          <w:rFonts w:ascii="Times New Roman" w:hAnsi="Times New Roman" w:cs="Times New Roman"/>
          <w:sz w:val="28"/>
          <w:szCs w:val="28"/>
        </w:rPr>
      </w:pPr>
    </w:p>
    <w:p w14:paraId="0F4CB3D4" w14:textId="77777777" w:rsidR="001579F0" w:rsidRDefault="001579F0" w:rsidP="001579F0">
      <w:pPr>
        <w:tabs>
          <w:tab w:val="left" w:pos="5610"/>
          <w:tab w:val="left" w:pos="6358"/>
        </w:tabs>
        <w:spacing w:after="0"/>
        <w:rPr>
          <w:rFonts w:ascii="Times New Roman" w:hAnsi="Times New Roman" w:cs="Times New Roman"/>
          <w:sz w:val="28"/>
          <w:szCs w:val="28"/>
        </w:rPr>
      </w:pPr>
    </w:p>
    <w:p w14:paraId="0C9B760E" w14:textId="77777777" w:rsidR="003530E1" w:rsidRPr="004208DA" w:rsidRDefault="003530E1" w:rsidP="003530E1">
      <w:pPr>
        <w:tabs>
          <w:tab w:val="left" w:pos="5610"/>
          <w:tab w:val="left" w:pos="6358"/>
        </w:tabs>
        <w:spacing w:after="0"/>
        <w:ind w:left="5103"/>
        <w:jc w:val="center"/>
        <w:rPr>
          <w:rFonts w:ascii="Times New Roman" w:hAnsi="Times New Roman" w:cs="Times New Roman"/>
          <w:sz w:val="28"/>
          <w:szCs w:val="28"/>
        </w:rPr>
      </w:pPr>
    </w:p>
    <w:p w14:paraId="430CA6BE" w14:textId="77777777" w:rsidR="004208DA" w:rsidRPr="007C582E" w:rsidRDefault="004208DA" w:rsidP="004208DA">
      <w:pPr>
        <w:spacing w:after="0"/>
        <w:rPr>
          <w:rFonts w:ascii="Times New Roman" w:hAnsi="Times New Roman" w:cs="Times New Roman"/>
          <w:sz w:val="28"/>
          <w:szCs w:val="28"/>
        </w:rPr>
      </w:pPr>
    </w:p>
    <w:p w14:paraId="57658E94" w14:textId="77777777" w:rsidR="001579F0" w:rsidRPr="001579F0" w:rsidRDefault="00000000" w:rsidP="004557F0">
      <w:pPr>
        <w:spacing w:after="0"/>
        <w:jc w:val="center"/>
        <w:rPr>
          <w:rFonts w:ascii="Times New Roman" w:eastAsia="Times New Roman" w:hAnsi="Times New Roman" w:cs="Times New Roman"/>
          <w:b/>
          <w:bCs/>
          <w:sz w:val="28"/>
          <w:szCs w:val="28"/>
        </w:rPr>
      </w:pPr>
      <w:r w:rsidRPr="001579F0">
        <w:rPr>
          <w:rFonts w:ascii="Times New Roman" w:eastAsia="Times New Roman" w:hAnsi="Times New Roman" w:cs="Times New Roman"/>
          <w:b/>
          <w:bCs/>
          <w:sz w:val="28"/>
          <w:szCs w:val="28"/>
        </w:rPr>
        <w:t>КОНЦЕПЦІЯ</w:t>
      </w:r>
    </w:p>
    <w:p w14:paraId="6E1BAF83" w14:textId="77777777" w:rsidR="001579F0" w:rsidRPr="001579F0" w:rsidRDefault="00000000" w:rsidP="004557F0">
      <w:pPr>
        <w:spacing w:after="0"/>
        <w:jc w:val="center"/>
        <w:rPr>
          <w:rFonts w:ascii="Times New Roman" w:eastAsia="Times New Roman" w:hAnsi="Times New Roman" w:cs="Times New Roman"/>
          <w:b/>
          <w:sz w:val="28"/>
          <w:szCs w:val="28"/>
        </w:rPr>
      </w:pPr>
      <w:r w:rsidRPr="001579F0">
        <w:rPr>
          <w:rFonts w:ascii="Times New Roman" w:eastAsia="Times New Roman" w:hAnsi="Times New Roman" w:cs="Times New Roman"/>
          <w:b/>
          <w:sz w:val="28"/>
          <w:szCs w:val="28"/>
        </w:rPr>
        <w:t>ІНДУСТРІАЛЬНОГО ПАРКУ</w:t>
      </w:r>
    </w:p>
    <w:p w14:paraId="37291613" w14:textId="77777777" w:rsidR="001579F0" w:rsidRDefault="00000000" w:rsidP="004557F0">
      <w:pPr>
        <w:spacing w:after="0" w:line="360" w:lineRule="auto"/>
        <w:jc w:val="center"/>
        <w:rPr>
          <w:rFonts w:ascii="Times New Roman" w:eastAsia="Times New Roman" w:hAnsi="Times New Roman" w:cs="Times New Roman"/>
          <w:b/>
          <w:sz w:val="28"/>
          <w:szCs w:val="28"/>
        </w:rPr>
      </w:pPr>
      <w:r w:rsidRPr="001579F0">
        <w:rPr>
          <w:rFonts w:ascii="Times New Roman" w:eastAsia="Times New Roman" w:hAnsi="Times New Roman" w:cs="Times New Roman"/>
          <w:b/>
          <w:sz w:val="28"/>
          <w:szCs w:val="28"/>
        </w:rPr>
        <w:t>«БУДШЛЯХМАШ»</w:t>
      </w:r>
    </w:p>
    <w:p w14:paraId="4EDB27F5" w14:textId="77777777" w:rsidR="004208DA" w:rsidRPr="00EE06C3" w:rsidRDefault="004208DA" w:rsidP="004557F0">
      <w:pPr>
        <w:spacing w:after="0" w:line="360" w:lineRule="auto"/>
        <w:jc w:val="both"/>
        <w:rPr>
          <w:rFonts w:ascii="Times New Roman" w:hAnsi="Times New Roman" w:cs="Times New Roman"/>
          <w:b/>
          <w:sz w:val="28"/>
          <w:szCs w:val="28"/>
        </w:rPr>
      </w:pPr>
    </w:p>
    <w:p w14:paraId="4898D252" w14:textId="77777777" w:rsidR="004208DA" w:rsidRPr="00EE06C3" w:rsidRDefault="004208DA" w:rsidP="004557F0">
      <w:pPr>
        <w:spacing w:after="0"/>
        <w:jc w:val="both"/>
        <w:rPr>
          <w:rFonts w:ascii="Times New Roman" w:hAnsi="Times New Roman" w:cs="Times New Roman"/>
          <w:b/>
          <w:sz w:val="28"/>
          <w:szCs w:val="28"/>
        </w:rPr>
      </w:pPr>
    </w:p>
    <w:p w14:paraId="29C97858" w14:textId="77777777" w:rsidR="004208DA" w:rsidRPr="00EE06C3" w:rsidRDefault="004208DA" w:rsidP="003B2A39">
      <w:pPr>
        <w:spacing w:after="0"/>
        <w:jc w:val="both"/>
        <w:rPr>
          <w:rFonts w:ascii="Times New Roman" w:hAnsi="Times New Roman" w:cs="Times New Roman"/>
          <w:b/>
          <w:sz w:val="28"/>
          <w:szCs w:val="28"/>
        </w:rPr>
      </w:pPr>
    </w:p>
    <w:p w14:paraId="311A98AB" w14:textId="77777777" w:rsidR="004208DA" w:rsidRPr="00EE06C3" w:rsidRDefault="004208DA" w:rsidP="003B2A39">
      <w:pPr>
        <w:spacing w:after="0"/>
        <w:jc w:val="both"/>
        <w:rPr>
          <w:rFonts w:ascii="Times New Roman" w:hAnsi="Times New Roman" w:cs="Times New Roman"/>
          <w:b/>
          <w:sz w:val="28"/>
          <w:szCs w:val="28"/>
        </w:rPr>
      </w:pPr>
    </w:p>
    <w:p w14:paraId="645FA3A6" w14:textId="77777777" w:rsidR="004208DA" w:rsidRPr="00EE06C3" w:rsidRDefault="004208DA" w:rsidP="003B2A39">
      <w:pPr>
        <w:spacing w:after="0"/>
        <w:jc w:val="both"/>
        <w:rPr>
          <w:rFonts w:ascii="Times New Roman" w:hAnsi="Times New Roman" w:cs="Times New Roman"/>
          <w:b/>
          <w:sz w:val="28"/>
          <w:szCs w:val="28"/>
        </w:rPr>
      </w:pPr>
    </w:p>
    <w:p w14:paraId="4415F4BE" w14:textId="77777777" w:rsidR="004208DA" w:rsidRPr="00EE06C3" w:rsidRDefault="004208DA" w:rsidP="003B2A39">
      <w:pPr>
        <w:spacing w:after="0"/>
        <w:jc w:val="both"/>
        <w:rPr>
          <w:rFonts w:ascii="Times New Roman" w:hAnsi="Times New Roman" w:cs="Times New Roman"/>
          <w:b/>
          <w:sz w:val="28"/>
          <w:szCs w:val="28"/>
        </w:rPr>
      </w:pPr>
    </w:p>
    <w:p w14:paraId="195AE3E9" w14:textId="77777777" w:rsidR="004208DA" w:rsidRPr="00EE06C3" w:rsidRDefault="004208DA" w:rsidP="003B2A39">
      <w:pPr>
        <w:spacing w:after="0"/>
        <w:jc w:val="both"/>
        <w:rPr>
          <w:rFonts w:ascii="Times New Roman" w:hAnsi="Times New Roman" w:cs="Times New Roman"/>
          <w:b/>
          <w:sz w:val="28"/>
          <w:szCs w:val="28"/>
        </w:rPr>
      </w:pPr>
    </w:p>
    <w:p w14:paraId="4EE60EAD" w14:textId="77777777" w:rsidR="004208DA" w:rsidRPr="00EE06C3" w:rsidRDefault="004208DA" w:rsidP="003B2A39">
      <w:pPr>
        <w:spacing w:after="0"/>
        <w:jc w:val="both"/>
        <w:rPr>
          <w:rFonts w:ascii="Times New Roman" w:hAnsi="Times New Roman" w:cs="Times New Roman"/>
          <w:b/>
          <w:sz w:val="28"/>
          <w:szCs w:val="28"/>
        </w:rPr>
      </w:pPr>
    </w:p>
    <w:p w14:paraId="6ACDE30E" w14:textId="77777777" w:rsidR="004208DA" w:rsidRPr="00EE06C3" w:rsidRDefault="004208DA" w:rsidP="003B2A39">
      <w:pPr>
        <w:spacing w:after="0"/>
        <w:jc w:val="both"/>
        <w:rPr>
          <w:rFonts w:ascii="Times New Roman" w:hAnsi="Times New Roman" w:cs="Times New Roman"/>
          <w:b/>
          <w:sz w:val="28"/>
          <w:szCs w:val="28"/>
        </w:rPr>
      </w:pPr>
    </w:p>
    <w:p w14:paraId="778C729D" w14:textId="77777777" w:rsidR="004208DA" w:rsidRPr="00EE06C3" w:rsidRDefault="004208DA" w:rsidP="003B2A39">
      <w:pPr>
        <w:spacing w:after="0"/>
        <w:jc w:val="both"/>
        <w:rPr>
          <w:rFonts w:ascii="Times New Roman" w:hAnsi="Times New Roman" w:cs="Times New Roman"/>
          <w:b/>
          <w:sz w:val="28"/>
          <w:szCs w:val="28"/>
        </w:rPr>
      </w:pPr>
    </w:p>
    <w:p w14:paraId="6215EBD7" w14:textId="77777777" w:rsidR="004208DA" w:rsidRPr="00EE06C3" w:rsidRDefault="004208DA" w:rsidP="003B2A39">
      <w:pPr>
        <w:spacing w:after="0"/>
        <w:jc w:val="both"/>
        <w:rPr>
          <w:rFonts w:ascii="Times New Roman" w:hAnsi="Times New Roman" w:cs="Times New Roman"/>
          <w:b/>
          <w:sz w:val="28"/>
          <w:szCs w:val="28"/>
        </w:rPr>
      </w:pPr>
    </w:p>
    <w:p w14:paraId="7E058C37" w14:textId="77777777" w:rsidR="004208DA" w:rsidRPr="00EE06C3" w:rsidRDefault="004208DA" w:rsidP="003B2A39">
      <w:pPr>
        <w:spacing w:after="0"/>
        <w:jc w:val="both"/>
        <w:rPr>
          <w:rFonts w:ascii="Times New Roman" w:hAnsi="Times New Roman" w:cs="Times New Roman"/>
          <w:b/>
          <w:sz w:val="28"/>
          <w:szCs w:val="28"/>
        </w:rPr>
      </w:pPr>
    </w:p>
    <w:p w14:paraId="35E11683" w14:textId="77777777" w:rsidR="004208DA" w:rsidRPr="00EE06C3" w:rsidRDefault="004208DA" w:rsidP="003B2A39">
      <w:pPr>
        <w:spacing w:after="0"/>
        <w:jc w:val="both"/>
        <w:rPr>
          <w:rFonts w:ascii="Times New Roman" w:hAnsi="Times New Roman" w:cs="Times New Roman"/>
          <w:b/>
          <w:sz w:val="28"/>
          <w:szCs w:val="28"/>
        </w:rPr>
      </w:pPr>
    </w:p>
    <w:p w14:paraId="1729753C" w14:textId="77777777" w:rsidR="004208DA" w:rsidRPr="00EE06C3" w:rsidRDefault="004208DA" w:rsidP="003B2A39">
      <w:pPr>
        <w:spacing w:after="0"/>
        <w:jc w:val="both"/>
        <w:rPr>
          <w:rFonts w:ascii="Times New Roman" w:hAnsi="Times New Roman" w:cs="Times New Roman"/>
          <w:b/>
          <w:sz w:val="28"/>
          <w:szCs w:val="28"/>
        </w:rPr>
      </w:pPr>
    </w:p>
    <w:p w14:paraId="2C8349E0" w14:textId="77777777" w:rsidR="004208DA" w:rsidRPr="00EE06C3" w:rsidRDefault="004208DA" w:rsidP="003B2A39">
      <w:pPr>
        <w:spacing w:after="0"/>
        <w:jc w:val="both"/>
        <w:rPr>
          <w:rFonts w:ascii="Times New Roman" w:hAnsi="Times New Roman" w:cs="Times New Roman"/>
          <w:b/>
          <w:sz w:val="28"/>
          <w:szCs w:val="28"/>
        </w:rPr>
      </w:pPr>
    </w:p>
    <w:p w14:paraId="43B5F05D" w14:textId="77777777" w:rsidR="004208DA" w:rsidRPr="00EE06C3" w:rsidRDefault="004208DA" w:rsidP="003B2A39">
      <w:pPr>
        <w:spacing w:after="0"/>
        <w:jc w:val="both"/>
        <w:rPr>
          <w:rFonts w:ascii="Times New Roman" w:hAnsi="Times New Roman" w:cs="Times New Roman"/>
          <w:b/>
          <w:sz w:val="28"/>
          <w:szCs w:val="28"/>
        </w:rPr>
      </w:pPr>
    </w:p>
    <w:p w14:paraId="35D2FF65" w14:textId="77777777" w:rsidR="004208DA" w:rsidRPr="00EE06C3" w:rsidRDefault="004208DA" w:rsidP="003B2A39">
      <w:pPr>
        <w:spacing w:after="0"/>
        <w:jc w:val="both"/>
        <w:rPr>
          <w:rFonts w:ascii="Times New Roman" w:hAnsi="Times New Roman" w:cs="Times New Roman"/>
          <w:b/>
          <w:sz w:val="28"/>
          <w:szCs w:val="28"/>
        </w:rPr>
      </w:pPr>
    </w:p>
    <w:p w14:paraId="7A9C96D6" w14:textId="77777777" w:rsidR="004208DA" w:rsidRPr="00EE06C3" w:rsidRDefault="004208DA" w:rsidP="003B2A39">
      <w:pPr>
        <w:spacing w:after="0"/>
        <w:jc w:val="both"/>
        <w:rPr>
          <w:rFonts w:ascii="Times New Roman" w:hAnsi="Times New Roman" w:cs="Times New Roman"/>
          <w:b/>
          <w:sz w:val="28"/>
          <w:szCs w:val="28"/>
        </w:rPr>
      </w:pPr>
    </w:p>
    <w:p w14:paraId="64538514" w14:textId="77777777" w:rsidR="004208DA" w:rsidRPr="00EE06C3" w:rsidRDefault="004208DA" w:rsidP="003B2A39">
      <w:pPr>
        <w:spacing w:after="0"/>
        <w:jc w:val="both"/>
        <w:rPr>
          <w:rFonts w:ascii="Times New Roman" w:hAnsi="Times New Roman" w:cs="Times New Roman"/>
          <w:b/>
          <w:sz w:val="28"/>
          <w:szCs w:val="28"/>
        </w:rPr>
      </w:pPr>
    </w:p>
    <w:p w14:paraId="73253B7C" w14:textId="77777777" w:rsidR="004208DA" w:rsidRDefault="004208DA" w:rsidP="003B2A39">
      <w:pPr>
        <w:spacing w:after="0"/>
        <w:jc w:val="both"/>
        <w:rPr>
          <w:rFonts w:ascii="Times New Roman" w:hAnsi="Times New Roman" w:cs="Times New Roman"/>
          <w:b/>
          <w:sz w:val="28"/>
          <w:szCs w:val="28"/>
        </w:rPr>
      </w:pPr>
    </w:p>
    <w:p w14:paraId="0E606182" w14:textId="77777777" w:rsidR="00883F79" w:rsidRDefault="00883F79" w:rsidP="003B2A39">
      <w:pPr>
        <w:spacing w:after="0"/>
        <w:jc w:val="both"/>
        <w:rPr>
          <w:rFonts w:ascii="Times New Roman" w:hAnsi="Times New Roman" w:cs="Times New Roman"/>
          <w:b/>
          <w:sz w:val="28"/>
          <w:szCs w:val="28"/>
        </w:rPr>
      </w:pPr>
    </w:p>
    <w:p w14:paraId="0BBC582A" w14:textId="77777777" w:rsidR="00883F79" w:rsidRPr="00EE06C3" w:rsidRDefault="00883F79" w:rsidP="003B2A39">
      <w:pPr>
        <w:spacing w:after="0"/>
        <w:jc w:val="both"/>
        <w:rPr>
          <w:rFonts w:ascii="Times New Roman" w:hAnsi="Times New Roman" w:cs="Times New Roman"/>
          <w:b/>
          <w:sz w:val="28"/>
          <w:szCs w:val="28"/>
        </w:rPr>
      </w:pPr>
    </w:p>
    <w:p w14:paraId="76680179" w14:textId="77777777" w:rsidR="004208DA" w:rsidRPr="00EE06C3" w:rsidRDefault="004208DA" w:rsidP="003B2A39">
      <w:pPr>
        <w:spacing w:after="0"/>
        <w:jc w:val="both"/>
        <w:rPr>
          <w:rFonts w:ascii="Times New Roman" w:hAnsi="Times New Roman" w:cs="Times New Roman"/>
          <w:b/>
          <w:sz w:val="28"/>
          <w:szCs w:val="28"/>
        </w:rPr>
      </w:pPr>
    </w:p>
    <w:p w14:paraId="0F0D81DC" w14:textId="77777777" w:rsidR="004208DA" w:rsidRPr="00EE06C3" w:rsidRDefault="004208DA" w:rsidP="003B2A39">
      <w:pPr>
        <w:spacing w:after="0"/>
        <w:jc w:val="both"/>
        <w:rPr>
          <w:rFonts w:ascii="Times New Roman" w:hAnsi="Times New Roman" w:cs="Times New Roman"/>
          <w:b/>
          <w:sz w:val="28"/>
          <w:szCs w:val="28"/>
        </w:rPr>
      </w:pPr>
    </w:p>
    <w:p w14:paraId="143B94FD" w14:textId="77777777" w:rsidR="00E62D2B" w:rsidRPr="00E62D2B" w:rsidRDefault="00000000" w:rsidP="00E62D2B">
      <w:pPr>
        <w:tabs>
          <w:tab w:val="left" w:pos="284"/>
        </w:tabs>
        <w:spacing w:after="0" w:line="360" w:lineRule="auto"/>
        <w:contextualSpacing/>
        <w:jc w:val="center"/>
        <w:outlineLvl w:val="0"/>
        <w:rPr>
          <w:rFonts w:ascii="Times New Roman" w:eastAsia="Times New Roman" w:hAnsi="Times New Roman" w:cs="Times New Roman"/>
          <w:b/>
          <w:bCs/>
          <w:caps/>
          <w:sz w:val="28"/>
          <w:szCs w:val="28"/>
        </w:rPr>
      </w:pPr>
      <w:r w:rsidRPr="00E62D2B">
        <w:rPr>
          <w:rFonts w:ascii="Times New Roman" w:eastAsia="Times New Roman" w:hAnsi="Times New Roman" w:cs="Times New Roman"/>
          <w:b/>
          <w:bCs/>
          <w:caps/>
          <w:sz w:val="28"/>
          <w:szCs w:val="28"/>
        </w:rPr>
        <w:lastRenderedPageBreak/>
        <w:t>зміст</w:t>
      </w:r>
    </w:p>
    <w:tbl>
      <w:tblPr>
        <w:tblStyle w:val="1"/>
        <w:tblW w:w="9351" w:type="dxa"/>
        <w:tblLook w:val="04A0" w:firstRow="1" w:lastRow="0" w:firstColumn="1" w:lastColumn="0" w:noHBand="0" w:noVBand="1"/>
      </w:tblPr>
      <w:tblGrid>
        <w:gridCol w:w="1101"/>
        <w:gridCol w:w="6945"/>
        <w:gridCol w:w="1305"/>
      </w:tblGrid>
      <w:tr w:rsidR="00F37DCB" w14:paraId="421D09F6" w14:textId="77777777" w:rsidTr="00852A1F">
        <w:trPr>
          <w:trHeight w:val="398"/>
        </w:trPr>
        <w:tc>
          <w:tcPr>
            <w:tcW w:w="1101" w:type="dxa"/>
            <w:tcBorders>
              <w:top w:val="single" w:sz="4" w:space="0" w:color="auto"/>
              <w:left w:val="single" w:sz="4" w:space="0" w:color="auto"/>
              <w:bottom w:val="single" w:sz="4" w:space="0" w:color="auto"/>
              <w:right w:val="single" w:sz="4" w:space="0" w:color="auto"/>
            </w:tcBorders>
            <w:vAlign w:val="center"/>
            <w:hideMark/>
          </w:tcPr>
          <w:p w14:paraId="4CCF6D00" w14:textId="77777777" w:rsidR="00E62D2B" w:rsidRPr="00852A1F" w:rsidRDefault="00000000" w:rsidP="00852A1F">
            <w:pPr>
              <w:jc w:val="center"/>
              <w:rPr>
                <w:rFonts w:ascii="Times New Roman" w:hAnsi="Times New Roman"/>
                <w:b/>
                <w:sz w:val="24"/>
                <w:szCs w:val="28"/>
              </w:rPr>
            </w:pPr>
            <w:r w:rsidRPr="00852A1F">
              <w:rPr>
                <w:rFonts w:ascii="Times New Roman" w:hAnsi="Times New Roman"/>
                <w:b/>
                <w:sz w:val="24"/>
                <w:szCs w:val="28"/>
              </w:rPr>
              <w:t>№ п/п</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C957097" w14:textId="77777777" w:rsidR="00E62D2B" w:rsidRPr="00852A1F" w:rsidRDefault="00000000" w:rsidP="00852A1F">
            <w:pPr>
              <w:jc w:val="center"/>
              <w:rPr>
                <w:rFonts w:ascii="Times New Roman" w:hAnsi="Times New Roman"/>
                <w:b/>
                <w:sz w:val="24"/>
                <w:szCs w:val="28"/>
              </w:rPr>
            </w:pPr>
            <w:r w:rsidRPr="00852A1F">
              <w:rPr>
                <w:rFonts w:ascii="Times New Roman" w:hAnsi="Times New Roman"/>
                <w:b/>
                <w:sz w:val="24"/>
                <w:szCs w:val="28"/>
              </w:rPr>
              <w:t>Найменування</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C0D37A9" w14:textId="77777777" w:rsidR="00E62D2B" w:rsidRPr="00852A1F" w:rsidRDefault="00000000" w:rsidP="00852A1F">
            <w:pPr>
              <w:ind w:firstLine="43"/>
              <w:jc w:val="center"/>
              <w:rPr>
                <w:rFonts w:ascii="Times New Roman" w:hAnsi="Times New Roman"/>
                <w:b/>
                <w:sz w:val="24"/>
                <w:szCs w:val="28"/>
              </w:rPr>
            </w:pPr>
            <w:r w:rsidRPr="00852A1F">
              <w:rPr>
                <w:rFonts w:ascii="Times New Roman" w:hAnsi="Times New Roman"/>
                <w:b/>
                <w:sz w:val="24"/>
                <w:szCs w:val="28"/>
              </w:rPr>
              <w:t>Стр.</w:t>
            </w:r>
          </w:p>
        </w:tc>
      </w:tr>
      <w:tr w:rsidR="00F37DCB" w14:paraId="25014A8E"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6F140BB7" w14:textId="77777777" w:rsidR="00E62D2B" w:rsidRPr="00852A1F" w:rsidRDefault="00000000" w:rsidP="00852A1F">
            <w:pPr>
              <w:jc w:val="center"/>
              <w:rPr>
                <w:rFonts w:ascii="Times New Roman" w:hAnsi="Times New Roman"/>
                <w:sz w:val="24"/>
                <w:szCs w:val="28"/>
              </w:rPr>
            </w:pPr>
            <w:r w:rsidRPr="00852A1F">
              <w:rPr>
                <w:rFonts w:ascii="Times New Roman" w:hAnsi="Times New Roman"/>
                <w:sz w:val="24"/>
                <w:szCs w:val="28"/>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F125427"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Назва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D3352EE"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3</w:t>
            </w:r>
          </w:p>
        </w:tc>
      </w:tr>
      <w:tr w:rsidR="00F37DCB" w14:paraId="399C261D"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3D95F81C"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D5C31CC"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Ініціатор створення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4EF40F8"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3</w:t>
            </w:r>
          </w:p>
        </w:tc>
      </w:tr>
      <w:tr w:rsidR="00F37DCB" w14:paraId="178E18F6"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366EECF8"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3</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885B60B"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Мета, завдання створення та функціональне призначення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CA59692"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4</w:t>
            </w:r>
          </w:p>
        </w:tc>
      </w:tr>
      <w:tr w:rsidR="00F37DCB" w14:paraId="314CE233"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41605881" w14:textId="77777777" w:rsidR="00E62D2B" w:rsidRPr="00852A1F" w:rsidRDefault="00000000" w:rsidP="00852A1F">
            <w:pPr>
              <w:jc w:val="center"/>
              <w:rPr>
                <w:rFonts w:ascii="Times New Roman" w:hAnsi="Times New Roman"/>
                <w:sz w:val="24"/>
                <w:szCs w:val="28"/>
              </w:rPr>
            </w:pPr>
            <w:r w:rsidRPr="00852A1F">
              <w:rPr>
                <w:rFonts w:ascii="Times New Roman" w:hAnsi="Times New Roman"/>
                <w:sz w:val="24"/>
                <w:szCs w:val="28"/>
              </w:rPr>
              <w:t>4</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8301D1D"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Місце розташування та розмір земельної ділянки</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8D9A99D"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9</w:t>
            </w:r>
          </w:p>
        </w:tc>
      </w:tr>
      <w:tr w:rsidR="00F37DCB" w14:paraId="391FDBED"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6D8E8329"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5</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F4AA46C"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Строк, на який створюється індустріальний парк</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D9285B2"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18</w:t>
            </w:r>
          </w:p>
        </w:tc>
      </w:tr>
      <w:tr w:rsidR="00F37DCB" w14:paraId="62B9C8C8"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1644D9E8"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6</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A6865B5"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Вимоги до учасників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212B515"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18</w:t>
            </w:r>
          </w:p>
        </w:tc>
      </w:tr>
      <w:tr w:rsidR="00F37DCB" w14:paraId="61281AA0"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0C589EEA"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7</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ED52CF5"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32A8474"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20</w:t>
            </w:r>
          </w:p>
        </w:tc>
      </w:tr>
      <w:tr w:rsidR="00F37DCB" w14:paraId="4141B374"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5A9246B6"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8</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8AFA51C"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План розвитку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55DF9B7"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25</w:t>
            </w:r>
          </w:p>
        </w:tc>
      </w:tr>
      <w:tr w:rsidR="00F37DCB" w14:paraId="64A3E4E6"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108E380B"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9</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B08BBBD"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9170EE9"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33</w:t>
            </w:r>
          </w:p>
        </w:tc>
      </w:tr>
      <w:tr w:rsidR="00F37DCB" w14:paraId="7DD68238"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7E9126BD"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10</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188230A"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Організаційна модель функціонування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EB4EC34"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35</w:t>
            </w:r>
          </w:p>
        </w:tc>
      </w:tr>
      <w:tr w:rsidR="00F37DCB" w14:paraId="21DB9C9B"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294E9DF3"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11</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80E33A4"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Очікувані результати функціонування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3DFF58A" w14:textId="77777777" w:rsidR="00E62D2B" w:rsidRPr="00852A1F" w:rsidRDefault="00000000" w:rsidP="00852A1F">
            <w:pPr>
              <w:jc w:val="center"/>
              <w:rPr>
                <w:rFonts w:ascii="Times New Roman" w:hAnsi="Times New Roman"/>
                <w:sz w:val="24"/>
                <w:szCs w:val="28"/>
              </w:rPr>
            </w:pPr>
            <w:r w:rsidRPr="00852A1F">
              <w:rPr>
                <w:rFonts w:ascii="Times New Roman" w:hAnsi="Times New Roman"/>
                <w:bCs/>
                <w:caps/>
                <w:sz w:val="24"/>
                <w:szCs w:val="28"/>
              </w:rPr>
              <w:t>39</w:t>
            </w:r>
          </w:p>
        </w:tc>
      </w:tr>
      <w:tr w:rsidR="00F37DCB" w14:paraId="54E7C71F" w14:textId="77777777" w:rsidTr="00852A1F">
        <w:tc>
          <w:tcPr>
            <w:tcW w:w="1101" w:type="dxa"/>
            <w:tcBorders>
              <w:top w:val="single" w:sz="4" w:space="0" w:color="auto"/>
              <w:left w:val="single" w:sz="4" w:space="0" w:color="auto"/>
              <w:bottom w:val="single" w:sz="4" w:space="0" w:color="auto"/>
              <w:right w:val="single" w:sz="4" w:space="0" w:color="auto"/>
            </w:tcBorders>
            <w:vAlign w:val="center"/>
            <w:hideMark/>
          </w:tcPr>
          <w:p w14:paraId="0113A840" w14:textId="77777777" w:rsidR="00E62D2B" w:rsidRPr="00852A1F" w:rsidRDefault="00000000" w:rsidP="00852A1F">
            <w:pPr>
              <w:jc w:val="center"/>
              <w:rPr>
                <w:rFonts w:ascii="Times New Roman" w:hAnsi="Times New Roman"/>
                <w:b/>
                <w:bCs/>
                <w:caps/>
                <w:sz w:val="24"/>
                <w:szCs w:val="28"/>
              </w:rPr>
            </w:pPr>
            <w:r w:rsidRPr="00852A1F">
              <w:rPr>
                <w:rFonts w:ascii="Times New Roman" w:hAnsi="Times New Roman"/>
                <w:sz w:val="24"/>
                <w:szCs w:val="28"/>
              </w:rPr>
              <w:t>12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A2A4CBB" w14:textId="77777777" w:rsidR="00E62D2B" w:rsidRPr="00852A1F" w:rsidRDefault="00000000" w:rsidP="00852A1F">
            <w:pPr>
              <w:keepNext/>
              <w:keepLines/>
              <w:spacing w:before="160" w:after="80"/>
              <w:outlineLvl w:val="2"/>
              <w:rPr>
                <w:rFonts w:ascii="Times New Roman" w:eastAsia="Times New Roman" w:hAnsi="Times New Roman"/>
                <w:bCs/>
                <w:caps/>
                <w:sz w:val="24"/>
                <w:szCs w:val="28"/>
              </w:rPr>
            </w:pPr>
            <w:r w:rsidRPr="00852A1F">
              <w:rPr>
                <w:rFonts w:ascii="Times New Roman" w:eastAsia="Times New Roman" w:hAnsi="Times New Roman"/>
                <w:sz w:val="24"/>
                <w:szCs w:val="28"/>
              </w:rPr>
              <w:t>Макроекономічні ефекти реалізації проєкту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3CE8596" w14:textId="77777777" w:rsidR="00E62D2B" w:rsidRPr="00852A1F" w:rsidRDefault="00000000" w:rsidP="00852A1F">
            <w:pPr>
              <w:jc w:val="center"/>
              <w:rPr>
                <w:rFonts w:ascii="Times New Roman" w:hAnsi="Times New Roman"/>
                <w:sz w:val="24"/>
                <w:szCs w:val="28"/>
                <w:lang w:val="en-US"/>
              </w:rPr>
            </w:pPr>
            <w:r w:rsidRPr="00852A1F">
              <w:rPr>
                <w:rFonts w:ascii="Times New Roman" w:hAnsi="Times New Roman"/>
                <w:bCs/>
                <w:caps/>
                <w:sz w:val="24"/>
                <w:szCs w:val="28"/>
              </w:rPr>
              <w:t>52</w:t>
            </w:r>
          </w:p>
        </w:tc>
      </w:tr>
    </w:tbl>
    <w:p w14:paraId="5ACEE560" w14:textId="77777777" w:rsidR="00E62D2B" w:rsidRPr="00E62D2B" w:rsidRDefault="00E62D2B" w:rsidP="00E62D2B">
      <w:pPr>
        <w:tabs>
          <w:tab w:val="left" w:pos="284"/>
        </w:tabs>
        <w:spacing w:after="0" w:line="360" w:lineRule="auto"/>
        <w:contextualSpacing/>
        <w:outlineLvl w:val="0"/>
        <w:rPr>
          <w:rFonts w:ascii="Times New Roman" w:eastAsia="Times New Roman" w:hAnsi="Times New Roman" w:cs="Times New Roman"/>
          <w:b/>
          <w:bCs/>
          <w:caps/>
          <w:color w:val="809EC2"/>
          <w:kern w:val="2"/>
          <w:sz w:val="28"/>
          <w:szCs w:val="28"/>
          <w:lang w:eastAsia="en-US"/>
          <w14:ligatures w14:val="standardContextual"/>
        </w:rPr>
      </w:pPr>
    </w:p>
    <w:p w14:paraId="4E426A0B" w14:textId="77777777" w:rsidR="00E62D2B" w:rsidRPr="00E62D2B" w:rsidRDefault="00E62D2B" w:rsidP="00E62D2B">
      <w:pPr>
        <w:spacing w:after="0" w:line="240" w:lineRule="auto"/>
        <w:rPr>
          <w:rFonts w:ascii="Times New Roman" w:eastAsia="Calibri" w:hAnsi="Times New Roman" w:cs="Times New Roman"/>
          <w:b/>
          <w:bCs/>
          <w:caps/>
          <w:kern w:val="2"/>
          <w:sz w:val="28"/>
          <w:szCs w:val="28"/>
          <w:lang w:eastAsia="en-US"/>
          <w14:ligatures w14:val="standardContextual"/>
        </w:rPr>
      </w:pPr>
    </w:p>
    <w:p w14:paraId="64EAFD7D" w14:textId="77777777" w:rsidR="00E62D2B" w:rsidRPr="00E62D2B" w:rsidRDefault="00000000" w:rsidP="00E62D2B">
      <w:pPr>
        <w:spacing w:after="160" w:line="256" w:lineRule="auto"/>
        <w:rPr>
          <w:rFonts w:ascii="Times New Roman" w:eastAsia="Calibri" w:hAnsi="Times New Roman" w:cs="Times New Roman"/>
          <w:b/>
          <w:bCs/>
          <w:caps/>
          <w:color w:val="809EC2"/>
          <w:kern w:val="2"/>
          <w:sz w:val="28"/>
          <w:szCs w:val="28"/>
          <w:lang w:eastAsia="en-US"/>
          <w14:ligatures w14:val="standardContextual"/>
        </w:rPr>
      </w:pPr>
      <w:r w:rsidRPr="00E62D2B">
        <w:rPr>
          <w:rFonts w:ascii="Times New Roman" w:eastAsia="Calibri" w:hAnsi="Times New Roman" w:cs="Times New Roman"/>
          <w:b/>
          <w:bCs/>
          <w:caps/>
          <w:color w:val="809EC2"/>
          <w:sz w:val="28"/>
          <w:szCs w:val="28"/>
          <w:lang w:eastAsia="en-US"/>
        </w:rPr>
        <w:br w:type="page"/>
      </w:r>
    </w:p>
    <w:p w14:paraId="260B87EB" w14:textId="77777777" w:rsidR="00E62D2B" w:rsidRPr="00E62D2B" w:rsidRDefault="00000000" w:rsidP="00E62D2B">
      <w:pPr>
        <w:keepNext/>
        <w:keepLines/>
        <w:numPr>
          <w:ilvl w:val="0"/>
          <w:numId w:val="1"/>
        </w:numPr>
        <w:spacing w:before="160" w:after="80" w:line="256" w:lineRule="auto"/>
        <w:jc w:val="center"/>
        <w:outlineLvl w:val="2"/>
        <w:rPr>
          <w:rFonts w:ascii="Times New Roman" w:eastAsia="Times New Roman" w:hAnsi="Times New Roman" w:cs="Times New Roman"/>
          <w:b/>
          <w:kern w:val="2"/>
          <w:sz w:val="28"/>
          <w:szCs w:val="28"/>
          <w:lang w:eastAsia="en-US"/>
          <w14:ligatures w14:val="standardContextual"/>
        </w:rPr>
      </w:pPr>
      <w:r w:rsidRPr="00E62D2B">
        <w:rPr>
          <w:rFonts w:ascii="Times New Roman" w:eastAsia="Times New Roman" w:hAnsi="Times New Roman" w:cs="Times New Roman"/>
          <w:b/>
          <w:kern w:val="2"/>
          <w:sz w:val="28"/>
          <w:szCs w:val="28"/>
          <w:lang w:eastAsia="en-US"/>
          <w14:ligatures w14:val="standardContextual"/>
        </w:rPr>
        <w:lastRenderedPageBreak/>
        <w:t>Назва індустріального парку</w:t>
      </w:r>
    </w:p>
    <w:p w14:paraId="2369FE3E" w14:textId="77777777" w:rsidR="00E62D2B" w:rsidRPr="00E62D2B" w:rsidRDefault="00000000" w:rsidP="00E62D2B">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Українською мовою – Індустріальний парк «</w:t>
      </w:r>
      <w:r w:rsidRPr="00E62D2B">
        <w:rPr>
          <w:rFonts w:ascii="Times New Roman" w:eastAsia="Calibri" w:hAnsi="Times New Roman" w:cs="Times New Roman"/>
          <w:caps/>
          <w:kern w:val="2"/>
          <w:sz w:val="28"/>
          <w:szCs w:val="28"/>
          <w:lang w:eastAsia="en-US"/>
          <w14:ligatures w14:val="standardContextual"/>
        </w:rPr>
        <w:t>будшляхмаш</w:t>
      </w:r>
      <w:r w:rsidRPr="00E62D2B">
        <w:rPr>
          <w:rFonts w:ascii="Times New Roman" w:eastAsia="Calibri" w:hAnsi="Times New Roman" w:cs="Times New Roman"/>
          <w:kern w:val="2"/>
          <w:sz w:val="28"/>
          <w:szCs w:val="28"/>
          <w:lang w:eastAsia="en-US"/>
          <w14:ligatures w14:val="standardContextual"/>
        </w:rPr>
        <w:t>»</w:t>
      </w:r>
    </w:p>
    <w:p w14:paraId="344B4905" w14:textId="77777777" w:rsidR="00E62D2B" w:rsidRPr="00E62D2B" w:rsidRDefault="00000000" w:rsidP="00E62D2B">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 xml:space="preserve">Англійською мовою – </w:t>
      </w:r>
      <w:r w:rsidRPr="00E62D2B">
        <w:rPr>
          <w:rFonts w:ascii="Times New Roman" w:eastAsia="Calibri" w:hAnsi="Times New Roman" w:cs="Times New Roman"/>
          <w:kern w:val="2"/>
          <w:sz w:val="28"/>
          <w:szCs w:val="28"/>
          <w:lang w:val="en-US" w:eastAsia="en-US"/>
          <w14:ligatures w14:val="standardContextual"/>
        </w:rPr>
        <w:t>I</w:t>
      </w:r>
      <w:r w:rsidRPr="00E62D2B">
        <w:rPr>
          <w:rFonts w:ascii="Times New Roman" w:eastAsia="Calibri" w:hAnsi="Times New Roman" w:cs="Times New Roman"/>
          <w:kern w:val="2"/>
          <w:sz w:val="28"/>
          <w:szCs w:val="28"/>
          <w:lang w:val="en-GB" w:eastAsia="en-US"/>
          <w14:ligatures w14:val="standardContextual"/>
        </w:rPr>
        <w:t>ndustrial park</w:t>
      </w:r>
      <w:r w:rsidRPr="00E62D2B">
        <w:rPr>
          <w:rFonts w:ascii="Times New Roman" w:eastAsia="Calibri" w:hAnsi="Times New Roman" w:cs="Times New Roman"/>
          <w:kern w:val="2"/>
          <w:sz w:val="28"/>
          <w:szCs w:val="28"/>
          <w:lang w:eastAsia="en-US"/>
          <w14:ligatures w14:val="standardContextual"/>
        </w:rPr>
        <w:t xml:space="preserve"> «</w:t>
      </w:r>
      <w:r w:rsidRPr="00E62D2B">
        <w:rPr>
          <w:rFonts w:ascii="Times New Roman" w:eastAsia="Calibri" w:hAnsi="Times New Roman" w:cs="Times New Roman"/>
          <w:caps/>
          <w:kern w:val="2"/>
          <w:sz w:val="28"/>
          <w:szCs w:val="28"/>
          <w:lang w:eastAsia="en-US"/>
          <w14:ligatures w14:val="standardContextual"/>
        </w:rPr>
        <w:t>BUDShL</w:t>
      </w:r>
      <w:r w:rsidRPr="00E62D2B">
        <w:rPr>
          <w:rFonts w:ascii="Times New Roman" w:eastAsia="Calibri" w:hAnsi="Times New Roman" w:cs="Times New Roman"/>
          <w:caps/>
          <w:kern w:val="2"/>
          <w:sz w:val="28"/>
          <w:szCs w:val="28"/>
          <w:lang w:val="en-CA" w:eastAsia="en-US"/>
          <w14:ligatures w14:val="standardContextual"/>
        </w:rPr>
        <w:t>Y</w:t>
      </w:r>
      <w:r w:rsidRPr="00E62D2B">
        <w:rPr>
          <w:rFonts w:ascii="Times New Roman" w:eastAsia="Calibri" w:hAnsi="Times New Roman" w:cs="Times New Roman"/>
          <w:caps/>
          <w:kern w:val="2"/>
          <w:sz w:val="28"/>
          <w:szCs w:val="28"/>
          <w:lang w:eastAsia="en-US"/>
          <w14:ligatures w14:val="standardContextual"/>
        </w:rPr>
        <w:t>aKhMASH</w:t>
      </w:r>
      <w:r w:rsidRPr="00E62D2B">
        <w:rPr>
          <w:rFonts w:ascii="Times New Roman" w:eastAsia="Calibri" w:hAnsi="Times New Roman" w:cs="Times New Roman"/>
          <w:kern w:val="2"/>
          <w:sz w:val="28"/>
          <w:szCs w:val="28"/>
          <w:lang w:eastAsia="en-US"/>
          <w14:ligatures w14:val="standardContextual"/>
        </w:rPr>
        <w:t>»</w:t>
      </w:r>
    </w:p>
    <w:p w14:paraId="473D1D02" w14:textId="77777777" w:rsidR="00E62D2B" w:rsidRPr="00E62D2B" w:rsidRDefault="00E62D2B" w:rsidP="00E62D2B">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E8EA78D" w14:textId="77777777" w:rsidR="00E62D2B" w:rsidRPr="00E62D2B" w:rsidRDefault="00000000" w:rsidP="00E62D2B">
      <w:pPr>
        <w:keepNext/>
        <w:keepLines/>
        <w:numPr>
          <w:ilvl w:val="0"/>
          <w:numId w:val="1"/>
        </w:numPr>
        <w:spacing w:before="160" w:after="80" w:line="256" w:lineRule="auto"/>
        <w:jc w:val="center"/>
        <w:outlineLvl w:val="2"/>
        <w:rPr>
          <w:rFonts w:ascii="Times New Roman" w:eastAsia="Times New Roman" w:hAnsi="Times New Roman" w:cs="Times New Roman"/>
          <w:b/>
          <w:kern w:val="2"/>
          <w:sz w:val="28"/>
          <w:szCs w:val="28"/>
          <w:lang w:eastAsia="en-US"/>
          <w14:ligatures w14:val="standardContextual"/>
        </w:rPr>
      </w:pPr>
      <w:bookmarkStart w:id="0" w:name="_Toc194054625"/>
      <w:r w:rsidRPr="00E62D2B">
        <w:rPr>
          <w:rFonts w:ascii="Times New Roman" w:eastAsia="Times New Roman" w:hAnsi="Times New Roman" w:cs="Times New Roman"/>
          <w:b/>
          <w:kern w:val="2"/>
          <w:sz w:val="28"/>
          <w:szCs w:val="28"/>
          <w:lang w:eastAsia="en-US"/>
          <w14:ligatures w14:val="standardContextual"/>
        </w:rPr>
        <w:t>Ініціатор створення індустріального парку</w:t>
      </w:r>
      <w:bookmarkEnd w:id="0"/>
    </w:p>
    <w:p w14:paraId="11BE8D30" w14:textId="77777777" w:rsidR="00E62D2B" w:rsidRPr="00E62D2B" w:rsidRDefault="00000000" w:rsidP="00E62D2B">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Індустріальний парк створюється як приватний індустріальний парк.</w:t>
      </w:r>
    </w:p>
    <w:p w14:paraId="563B306B" w14:textId="77777777" w:rsidR="00E62D2B" w:rsidRPr="00E62D2B" w:rsidRDefault="00000000" w:rsidP="00E62D2B">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Ініціатором створення індустріального парку є:</w:t>
      </w:r>
    </w:p>
    <w:p w14:paraId="37BD6BBD" w14:textId="77777777" w:rsidR="00E62D2B" w:rsidRPr="00E62D2B" w:rsidRDefault="00000000" w:rsidP="00E62D2B">
      <w:pPr>
        <w:spacing w:after="0"/>
        <w:ind w:firstLine="567"/>
        <w:jc w:val="both"/>
        <w:rPr>
          <w:rFonts w:ascii="Times New Roman" w:eastAsia="Calibri" w:hAnsi="Times New Roman" w:cs="Times New Roman"/>
          <w:b/>
          <w:bCs/>
          <w:kern w:val="2"/>
          <w:sz w:val="28"/>
          <w:szCs w:val="28"/>
          <w:lang w:eastAsia="en-US"/>
          <w14:ligatures w14:val="standardContextual"/>
        </w:rPr>
      </w:pPr>
      <w:r w:rsidRPr="00E62D2B">
        <w:rPr>
          <w:rFonts w:ascii="Times New Roman" w:eastAsia="Calibri" w:hAnsi="Times New Roman" w:cs="Times New Roman"/>
          <w:b/>
          <w:bCs/>
          <w:kern w:val="2"/>
          <w:sz w:val="28"/>
          <w:szCs w:val="28"/>
          <w:lang w:eastAsia="en-US"/>
          <w14:ligatures w14:val="standardContextual"/>
        </w:rPr>
        <w:t>Юридична повна назва:</w:t>
      </w:r>
    </w:p>
    <w:p w14:paraId="78DAF697" w14:textId="77777777" w:rsidR="00E62D2B" w:rsidRPr="00E62D2B" w:rsidRDefault="00000000" w:rsidP="00E62D2B">
      <w:pPr>
        <w:spacing w:after="120" w:line="360" w:lineRule="auto"/>
        <w:ind w:left="567"/>
        <w:jc w:val="both"/>
        <w:rPr>
          <w:rFonts w:ascii="Times New Roman" w:eastAsia="Calibri" w:hAnsi="Times New Roman" w:cs="Times New Roman"/>
          <w:kern w:val="2"/>
          <w:sz w:val="28"/>
          <w:szCs w:val="28"/>
          <w:highlight w:val="yellow"/>
          <w:lang w:eastAsia="en-US"/>
          <w14:ligatures w14:val="standardContextual"/>
        </w:rPr>
      </w:pPr>
      <w:r w:rsidRPr="00E62D2B">
        <w:rPr>
          <w:rFonts w:ascii="Times New Roman" w:eastAsia="Calibri" w:hAnsi="Times New Roman" w:cs="Times New Roman"/>
          <w:caps/>
          <w:kern w:val="2"/>
          <w:sz w:val="28"/>
          <w:szCs w:val="28"/>
          <w:lang w:eastAsia="en-US"/>
          <w14:ligatures w14:val="standardContextual"/>
        </w:rPr>
        <w:t>Товариство з обмеженою відповідальністю</w:t>
      </w:r>
      <w:r w:rsidRPr="00E62D2B">
        <w:rPr>
          <w:rFonts w:ascii="Times New Roman" w:eastAsia="Calibri" w:hAnsi="Times New Roman" w:cs="Times New Roman"/>
          <w:kern w:val="2"/>
          <w:sz w:val="28"/>
          <w:szCs w:val="28"/>
          <w:lang w:eastAsia="en-US"/>
          <w14:ligatures w14:val="standardContextual"/>
        </w:rPr>
        <w:t xml:space="preserve"> «АТОМІС»</w:t>
      </w:r>
    </w:p>
    <w:p w14:paraId="03330342" w14:textId="77777777" w:rsidR="00E62D2B" w:rsidRPr="00E62D2B" w:rsidRDefault="00000000" w:rsidP="00E62D2B">
      <w:pPr>
        <w:spacing w:after="0"/>
        <w:ind w:firstLine="567"/>
        <w:jc w:val="both"/>
        <w:rPr>
          <w:rFonts w:ascii="Times New Roman" w:eastAsia="Calibri" w:hAnsi="Times New Roman" w:cs="Times New Roman"/>
          <w:b/>
          <w:bCs/>
          <w:kern w:val="2"/>
          <w:sz w:val="28"/>
          <w:szCs w:val="28"/>
          <w:lang w:eastAsia="en-US"/>
          <w14:ligatures w14:val="standardContextual"/>
        </w:rPr>
      </w:pPr>
      <w:r w:rsidRPr="00E62D2B">
        <w:rPr>
          <w:rFonts w:ascii="Times New Roman" w:eastAsia="Calibri" w:hAnsi="Times New Roman" w:cs="Times New Roman"/>
          <w:b/>
          <w:bCs/>
          <w:kern w:val="2"/>
          <w:sz w:val="28"/>
          <w:szCs w:val="28"/>
          <w:lang w:eastAsia="en-US"/>
          <w14:ligatures w14:val="standardContextual"/>
        </w:rPr>
        <w:t>Юридична адреса:</w:t>
      </w:r>
    </w:p>
    <w:p w14:paraId="5710ACF4" w14:textId="77777777" w:rsidR="00E62D2B" w:rsidRPr="00E62D2B" w:rsidRDefault="00000000" w:rsidP="00E62D2B">
      <w:pPr>
        <w:spacing w:after="120" w:line="360" w:lineRule="auto"/>
        <w:ind w:left="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07400, Україна, Броварський р-н, Київська обл., м. Бровари, вул. Січових Стрільців, буд. 9 кабінет 18</w:t>
      </w:r>
    </w:p>
    <w:p w14:paraId="35C7EC67" w14:textId="77777777" w:rsidR="00E62D2B" w:rsidRPr="00E62D2B" w:rsidRDefault="00000000" w:rsidP="00E62D2B">
      <w:pPr>
        <w:spacing w:after="0"/>
        <w:ind w:firstLine="567"/>
        <w:jc w:val="both"/>
        <w:rPr>
          <w:rFonts w:ascii="Times New Roman" w:eastAsia="Calibri" w:hAnsi="Times New Roman" w:cs="Times New Roman"/>
          <w:b/>
          <w:bCs/>
          <w:kern w:val="2"/>
          <w:sz w:val="28"/>
          <w:szCs w:val="28"/>
          <w:lang w:eastAsia="en-US"/>
          <w14:ligatures w14:val="standardContextual"/>
        </w:rPr>
      </w:pPr>
      <w:r w:rsidRPr="00E62D2B">
        <w:rPr>
          <w:rFonts w:ascii="Times New Roman" w:eastAsia="Calibri" w:hAnsi="Times New Roman" w:cs="Times New Roman"/>
          <w:b/>
          <w:bCs/>
          <w:kern w:val="2"/>
          <w:sz w:val="28"/>
          <w:szCs w:val="28"/>
          <w:lang w:eastAsia="en-US"/>
          <w14:ligatures w14:val="standardContextual"/>
        </w:rPr>
        <w:t>ЄДРПОУ:</w:t>
      </w:r>
    </w:p>
    <w:p w14:paraId="51C4FB24" w14:textId="77777777" w:rsidR="00E62D2B" w:rsidRPr="00E62D2B" w:rsidRDefault="00000000" w:rsidP="00E62D2B">
      <w:pPr>
        <w:spacing w:after="120" w:line="36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45975397</w:t>
      </w:r>
    </w:p>
    <w:p w14:paraId="0CE3781C" w14:textId="77777777" w:rsidR="00E62D2B" w:rsidRPr="00E62D2B" w:rsidRDefault="00000000" w:rsidP="00E62D2B">
      <w:pPr>
        <w:spacing w:after="0"/>
        <w:ind w:firstLine="567"/>
        <w:jc w:val="both"/>
        <w:rPr>
          <w:rFonts w:ascii="Times New Roman" w:eastAsia="Calibri" w:hAnsi="Times New Roman" w:cs="Times New Roman"/>
          <w:b/>
          <w:bCs/>
          <w:color w:val="0070C0"/>
          <w:kern w:val="2"/>
          <w:sz w:val="28"/>
          <w:szCs w:val="28"/>
          <w:lang w:eastAsia="en-US"/>
          <w14:ligatures w14:val="standardContextual"/>
        </w:rPr>
      </w:pPr>
      <w:r w:rsidRPr="00E62D2B">
        <w:rPr>
          <w:rFonts w:ascii="Times New Roman" w:eastAsia="Calibri" w:hAnsi="Times New Roman" w:cs="Times New Roman"/>
          <w:b/>
          <w:bCs/>
          <w:kern w:val="2"/>
          <w:sz w:val="28"/>
          <w:szCs w:val="28"/>
          <w:lang w:eastAsia="en-US"/>
          <w14:ligatures w14:val="standardContextual"/>
        </w:rPr>
        <w:t>Контакти:</w:t>
      </w:r>
    </w:p>
    <w:p w14:paraId="0D839075" w14:textId="77777777" w:rsidR="00E62D2B" w:rsidRPr="00E62D2B" w:rsidRDefault="00000000" w:rsidP="00E62D2B">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тел.:     +38 068 438 6824</w:t>
      </w:r>
    </w:p>
    <w:p w14:paraId="0B499A85" w14:textId="77777777" w:rsidR="00E62D2B" w:rsidRPr="00E62D2B" w:rsidRDefault="00000000" w:rsidP="00E62D2B">
      <w:pPr>
        <w:spacing w:after="120" w:line="36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val="en-US" w:eastAsia="en-US"/>
          <w14:ligatures w14:val="standardContextual"/>
        </w:rPr>
        <w:t>e</w:t>
      </w:r>
      <w:r w:rsidRPr="00E62D2B">
        <w:rPr>
          <w:rFonts w:ascii="Times New Roman" w:eastAsia="Calibri" w:hAnsi="Times New Roman" w:cs="Times New Roman"/>
          <w:kern w:val="2"/>
          <w:sz w:val="28"/>
          <w:szCs w:val="28"/>
          <w:lang w:eastAsia="en-US"/>
          <w14:ligatures w14:val="standardContextual"/>
        </w:rPr>
        <w:t>-</w:t>
      </w:r>
      <w:r w:rsidRPr="00E62D2B">
        <w:rPr>
          <w:rFonts w:ascii="Times New Roman" w:eastAsia="Calibri" w:hAnsi="Times New Roman" w:cs="Times New Roman"/>
          <w:kern w:val="2"/>
          <w:sz w:val="28"/>
          <w:szCs w:val="28"/>
          <w:lang w:val="en-US" w:eastAsia="en-US"/>
          <w14:ligatures w14:val="standardContextual"/>
        </w:rPr>
        <w:t>mail</w:t>
      </w:r>
      <w:r w:rsidRPr="00E62D2B">
        <w:rPr>
          <w:rFonts w:ascii="Times New Roman" w:eastAsia="Calibri" w:hAnsi="Times New Roman" w:cs="Times New Roman"/>
          <w:kern w:val="2"/>
          <w:sz w:val="28"/>
          <w:szCs w:val="28"/>
          <w:lang w:eastAsia="en-US"/>
          <w14:ligatures w14:val="standardContextual"/>
        </w:rPr>
        <w:t xml:space="preserve">:  </w:t>
      </w:r>
      <w:hyperlink r:id="rId7" w:history="1">
        <w:r w:rsidR="00E62D2B" w:rsidRPr="00E62D2B">
          <w:rPr>
            <w:rFonts w:ascii="Times New Roman" w:eastAsia="Calibri" w:hAnsi="Times New Roman" w:cs="Times New Roman"/>
            <w:color w:val="8E58B6"/>
            <w:kern w:val="2"/>
            <w:sz w:val="28"/>
            <w:szCs w:val="28"/>
            <w:u w:val="single"/>
            <w:lang w:val="en-US" w:eastAsia="en-US"/>
            <w14:ligatures w14:val="standardContextual"/>
          </w:rPr>
          <w:t>tov</w:t>
        </w:r>
        <w:r w:rsidR="00E62D2B" w:rsidRPr="00E62D2B">
          <w:rPr>
            <w:rFonts w:ascii="Times New Roman" w:eastAsia="Calibri" w:hAnsi="Times New Roman" w:cs="Times New Roman"/>
            <w:color w:val="8E58B6"/>
            <w:kern w:val="2"/>
            <w:sz w:val="28"/>
            <w:szCs w:val="28"/>
            <w:u w:val="single"/>
            <w:lang w:eastAsia="en-US"/>
            <w14:ligatures w14:val="standardContextual"/>
          </w:rPr>
          <w:t>.</w:t>
        </w:r>
        <w:r w:rsidR="00E62D2B" w:rsidRPr="00E62D2B">
          <w:rPr>
            <w:rFonts w:ascii="Times New Roman" w:eastAsia="Calibri" w:hAnsi="Times New Roman" w:cs="Times New Roman"/>
            <w:color w:val="8E58B6"/>
            <w:kern w:val="2"/>
            <w:sz w:val="28"/>
            <w:szCs w:val="28"/>
            <w:u w:val="single"/>
            <w:lang w:val="en-US" w:eastAsia="en-US"/>
            <w14:ligatures w14:val="standardContextual"/>
          </w:rPr>
          <w:t>atomis</w:t>
        </w:r>
        <w:r w:rsidR="00E62D2B" w:rsidRPr="00E62D2B">
          <w:rPr>
            <w:rFonts w:ascii="Times New Roman" w:eastAsia="Calibri" w:hAnsi="Times New Roman" w:cs="Times New Roman"/>
            <w:color w:val="8E58B6"/>
            <w:kern w:val="2"/>
            <w:sz w:val="28"/>
            <w:szCs w:val="28"/>
            <w:u w:val="single"/>
            <w:lang w:eastAsia="en-US"/>
            <w14:ligatures w14:val="standardContextual"/>
          </w:rPr>
          <w:t>@</w:t>
        </w:r>
        <w:r w:rsidR="00E62D2B" w:rsidRPr="00E62D2B">
          <w:rPr>
            <w:rFonts w:ascii="Times New Roman" w:eastAsia="Calibri" w:hAnsi="Times New Roman" w:cs="Times New Roman"/>
            <w:color w:val="8E58B6"/>
            <w:kern w:val="2"/>
            <w:sz w:val="28"/>
            <w:szCs w:val="28"/>
            <w:u w:val="single"/>
            <w:lang w:val="en-US" w:eastAsia="en-US"/>
            <w14:ligatures w14:val="standardContextual"/>
          </w:rPr>
          <w:t>gmail</w:t>
        </w:r>
        <w:r w:rsidR="00E62D2B" w:rsidRPr="00E62D2B">
          <w:rPr>
            <w:rFonts w:ascii="Times New Roman" w:eastAsia="Calibri" w:hAnsi="Times New Roman" w:cs="Times New Roman"/>
            <w:color w:val="8E58B6"/>
            <w:kern w:val="2"/>
            <w:sz w:val="28"/>
            <w:szCs w:val="28"/>
            <w:u w:val="single"/>
            <w:lang w:eastAsia="en-US"/>
            <w14:ligatures w14:val="standardContextual"/>
          </w:rPr>
          <w:t>.</w:t>
        </w:r>
        <w:r w:rsidR="00E62D2B" w:rsidRPr="00E62D2B">
          <w:rPr>
            <w:rFonts w:ascii="Times New Roman" w:eastAsia="Calibri" w:hAnsi="Times New Roman" w:cs="Times New Roman"/>
            <w:color w:val="8E58B6"/>
            <w:kern w:val="2"/>
            <w:sz w:val="28"/>
            <w:szCs w:val="28"/>
            <w:u w:val="single"/>
            <w:lang w:val="en-US" w:eastAsia="en-US"/>
            <w14:ligatures w14:val="standardContextual"/>
          </w:rPr>
          <w:t>com</w:t>
        </w:r>
      </w:hyperlink>
      <w:r w:rsidRPr="00E62D2B">
        <w:rPr>
          <w:rFonts w:ascii="Times New Roman" w:eastAsia="Calibri" w:hAnsi="Times New Roman" w:cs="Times New Roman"/>
          <w:kern w:val="2"/>
          <w:sz w:val="28"/>
          <w:szCs w:val="28"/>
          <w:lang w:eastAsia="en-US"/>
          <w14:ligatures w14:val="standardContextual"/>
        </w:rPr>
        <w:t xml:space="preserve"> </w:t>
      </w:r>
    </w:p>
    <w:p w14:paraId="21B994C5" w14:textId="77777777" w:rsidR="00E62D2B" w:rsidRPr="00E62D2B" w:rsidRDefault="00E62D2B" w:rsidP="00E62D2B">
      <w:pPr>
        <w:spacing w:after="0" w:line="360" w:lineRule="auto"/>
        <w:ind w:firstLine="567"/>
        <w:jc w:val="both"/>
        <w:rPr>
          <w:rFonts w:ascii="Times New Roman" w:eastAsia="Calibri" w:hAnsi="Times New Roman" w:cs="Times New Roman"/>
          <w:kern w:val="2"/>
          <w:sz w:val="28"/>
          <w:szCs w:val="28"/>
          <w:lang w:eastAsia="en-US"/>
          <w14:ligatures w14:val="standardContextual"/>
        </w:rPr>
      </w:pPr>
    </w:p>
    <w:p w14:paraId="678D02BC" w14:textId="77777777" w:rsidR="00E62D2B" w:rsidRPr="00E62D2B" w:rsidRDefault="00E62D2B" w:rsidP="00E62D2B">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27AED6D7" w14:textId="77777777" w:rsidR="00E62D2B" w:rsidRPr="00E62D2B" w:rsidRDefault="00000000" w:rsidP="00E62D2B">
      <w:pPr>
        <w:spacing w:after="160" w:line="256" w:lineRule="auto"/>
        <w:ind w:firstLine="567"/>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sz w:val="28"/>
          <w:szCs w:val="28"/>
          <w:lang w:eastAsia="en-US"/>
        </w:rPr>
        <w:br w:type="page"/>
      </w:r>
    </w:p>
    <w:p w14:paraId="7974C933" w14:textId="77777777" w:rsidR="00E62D2B" w:rsidRPr="00E62D2B" w:rsidRDefault="00000000" w:rsidP="00E2268E">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 w:name="_Toc194054626"/>
      <w:r w:rsidRPr="00E62D2B">
        <w:rPr>
          <w:rFonts w:ascii="Times New Roman" w:eastAsia="Times New Roman" w:hAnsi="Times New Roman" w:cs="Times New Roman"/>
          <w:b/>
          <w:kern w:val="2"/>
          <w:sz w:val="28"/>
          <w:szCs w:val="28"/>
          <w:lang w:eastAsia="en-US"/>
          <w14:ligatures w14:val="standardContextual"/>
        </w:rPr>
        <w:lastRenderedPageBreak/>
        <w:t>Мета, завдання створення та функціональне призначення індустріального парку</w:t>
      </w:r>
      <w:bookmarkEnd w:id="1"/>
    </w:p>
    <w:p w14:paraId="1057943A"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Індустріальні парки — це ефективний інструмент регіонального розвитку, який довів свою дієвість протягом останніх десятиліть у багатьох країнах світу. Вони сприяють залученню інвестицій, стимулюють технологічний прогрес, оптимізують виробничі процеси, підвищують рівень зайнятості та підтримують місцевих виробників.</w:t>
      </w:r>
    </w:p>
    <w:p w14:paraId="0ADE41BA"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Це спеціально організовані промислові території, оснащені розвиненою інженерно-транспортною інфраструктурою, пільгами та сервісами, а також спрощеними регуляторними процедурами. Завдяки інвестиційним стимулам індустріальні парки створюють інноваційне середовище, що сприяє модернізації виробництва, покращенню умов праці та підвищенню якості життя місцевих громад.</w:t>
      </w:r>
    </w:p>
    <w:p w14:paraId="0B8C2915"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 xml:space="preserve">Мета індустріального парку «БУДШЛЯХМАШ» (далі – ІП, ІП «БУДШЛЯХМАШ») — </w:t>
      </w:r>
      <w:bookmarkStart w:id="2" w:name="_Hlk215821124"/>
      <w:r w:rsidRPr="00E62D2B">
        <w:rPr>
          <w:rFonts w:ascii="Times New Roman" w:eastAsia="Calibri" w:hAnsi="Times New Roman" w:cs="Times New Roman"/>
          <w:kern w:val="2"/>
          <w:sz w:val="28"/>
          <w:szCs w:val="28"/>
          <w:lang w:eastAsia="en-US"/>
          <w14:ligatures w14:val="standardContextual"/>
        </w:rPr>
        <w:t xml:space="preserve">створення індустріального парку за напрямком «Машинобудування», стимулювання економічного розвитку як міста Бровари і прилеглих населених пунктів (за місцем розташування індустріального парку), так і України в цілому. </w:t>
      </w:r>
      <w:bookmarkEnd w:id="2"/>
      <w:r w:rsidRPr="00E62D2B">
        <w:rPr>
          <w:rFonts w:ascii="Times New Roman" w:eastAsia="Calibri" w:hAnsi="Times New Roman" w:cs="Times New Roman"/>
          <w:kern w:val="2"/>
          <w:sz w:val="28"/>
          <w:szCs w:val="28"/>
          <w:lang w:eastAsia="en-US"/>
          <w14:ligatures w14:val="standardContextual"/>
        </w:rPr>
        <w:t>Парк сприятиме залученню інвестицій, створенню нових робочих місць, розширенню вироб</w:t>
      </w:r>
      <w:r w:rsidRPr="00E62D2B">
        <w:rPr>
          <w:rFonts w:ascii="Times New Roman" w:eastAsia="Calibri" w:hAnsi="Times New Roman" w:cs="Times New Roman"/>
          <w:kern w:val="2"/>
          <w:sz w:val="28"/>
          <w:szCs w:val="28"/>
          <w:lang w:eastAsia="en-US"/>
          <w14:ligatures w14:val="standardContextual"/>
        </w:rPr>
        <w:softHyphen/>
        <w:t>ничого та експортного потенціалу регіону, модернізації місцевої інфраструктури.</w:t>
      </w:r>
    </w:p>
    <w:p w14:paraId="1B10BA10" w14:textId="77777777" w:rsid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 підвищити міжнародну конкурентоспроможність пристоличного регіону через розвиток транспортної та логістичної інфраструктури, зміцнення промислового потенціалу України та інтеграцію з глобальними ринками. Парк також створюватиме умови для наукових досліджень, впровадження інноваційних технологій та сучасного обладнання у виробництві машинобудівної продукції.</w:t>
      </w:r>
    </w:p>
    <w:p w14:paraId="6BBEAA76" w14:textId="77777777" w:rsidR="00E2268E" w:rsidRPr="00E62D2B"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C9E68FB" w14:textId="77777777" w:rsidR="00E62D2B" w:rsidRPr="00E62D2B" w:rsidRDefault="00000000" w:rsidP="00E2268E">
      <w:pPr>
        <w:spacing w:after="0" w:line="240" w:lineRule="auto"/>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Характеристика та основні показники індустріального парку «БУДШЛЯХМАШ»:</w:t>
      </w:r>
    </w:p>
    <w:p w14:paraId="342E1F41" w14:textId="77777777" w:rsidR="00E62D2B" w:rsidRPr="00E62D2B" w:rsidRDefault="00000000" w:rsidP="00E2268E">
      <w:pPr>
        <w:numPr>
          <w:ilvl w:val="0"/>
          <w:numId w:val="2"/>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Створюється на строк 34 роки.</w:t>
      </w:r>
    </w:p>
    <w:p w14:paraId="6871D1AF" w14:textId="77777777" w:rsidR="00E62D2B" w:rsidRPr="00E62D2B" w:rsidRDefault="00000000" w:rsidP="00E2268E">
      <w:pPr>
        <w:numPr>
          <w:ilvl w:val="0"/>
          <w:numId w:val="2"/>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Площа - 11,4173 га в районі вулиці Москаленка Сергія в м.Бровари.</w:t>
      </w:r>
    </w:p>
    <w:p w14:paraId="718614F1" w14:textId="77777777" w:rsidR="00E62D2B" w:rsidRPr="00E62D2B" w:rsidRDefault="00000000" w:rsidP="00E2268E">
      <w:pPr>
        <w:numPr>
          <w:ilvl w:val="0"/>
          <w:numId w:val="2"/>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Будівлі та споруди:</w:t>
      </w:r>
    </w:p>
    <w:p w14:paraId="3FDE50BF"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Промислові об’єкти – 20.000 кв.м.</w:t>
      </w:r>
    </w:p>
    <w:p w14:paraId="4ECC7824"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Складські об’єкти – 20.000 кв.м.</w:t>
      </w:r>
    </w:p>
    <w:p w14:paraId="1529E53B"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Адміністративно-побутові приміщення – 1.000 кв.м.</w:t>
      </w:r>
    </w:p>
    <w:p w14:paraId="034BCE59"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Технічні об’єкти – 1.000 кв.м.</w:t>
      </w:r>
    </w:p>
    <w:p w14:paraId="0E37CB81"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Озеленення і благоустрій – 29 773 кв.м.</w:t>
      </w:r>
    </w:p>
    <w:p w14:paraId="0D86DCED"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Дороги й автостоянки (з твердим покриттям) – 42 400 кв.м.</w:t>
      </w:r>
    </w:p>
    <w:p w14:paraId="09D6180A" w14:textId="77777777" w:rsidR="00E62D2B" w:rsidRPr="00E62D2B" w:rsidRDefault="00000000" w:rsidP="00E2268E">
      <w:pPr>
        <w:numPr>
          <w:ilvl w:val="0"/>
          <w:numId w:val="2"/>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Попередній розрахунок фінансування проєкту:</w:t>
      </w:r>
    </w:p>
    <w:p w14:paraId="7564E3FD"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Ініціатор – 150.000 млн.грн.</w:t>
      </w:r>
    </w:p>
    <w:p w14:paraId="3A8B4F21"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Державне стимулювання – 150.000 млн.грн.</w:t>
      </w:r>
    </w:p>
    <w:p w14:paraId="0D678653"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Учасники та інші суб’єкти індустріального парку – 960.000 млн.грн.</w:t>
      </w:r>
    </w:p>
    <w:p w14:paraId="5798CFC1" w14:textId="77777777" w:rsidR="00E62D2B" w:rsidRPr="00E62D2B" w:rsidRDefault="00000000" w:rsidP="00E2268E">
      <w:pPr>
        <w:spacing w:after="0" w:line="240" w:lineRule="auto"/>
        <w:ind w:left="1276"/>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 xml:space="preserve">   Разом – 1,260 млрд.грн.</w:t>
      </w:r>
    </w:p>
    <w:p w14:paraId="1C670265" w14:textId="77777777" w:rsidR="00E62D2B" w:rsidRPr="00E62D2B" w:rsidRDefault="00000000" w:rsidP="00E2268E">
      <w:pPr>
        <w:numPr>
          <w:ilvl w:val="0"/>
          <w:numId w:val="2"/>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Прогнозований валовий випуск продукції:</w:t>
      </w:r>
    </w:p>
    <w:p w14:paraId="36D3AA05"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lastRenderedPageBreak/>
        <w:t>з початку діяльності проєкту, 2029 рік – 4,78 млрд.грн.;</w:t>
      </w:r>
    </w:p>
    <w:p w14:paraId="712E46AC"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через 6 років діяльності, 2035 рік – 10,53 млрд.грн.</w:t>
      </w:r>
    </w:p>
    <w:p w14:paraId="175A31EB" w14:textId="77777777" w:rsidR="00E62D2B" w:rsidRPr="00E62D2B" w:rsidRDefault="00000000" w:rsidP="00E2268E">
      <w:pPr>
        <w:numPr>
          <w:ilvl w:val="0"/>
          <w:numId w:val="2"/>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Трудові ресурси:</w:t>
      </w:r>
    </w:p>
    <w:p w14:paraId="7A39BA8B"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створення 500 нових робочих місць;</w:t>
      </w:r>
    </w:p>
    <w:p w14:paraId="13B64CDA" w14:textId="77777777" w:rsidR="00E62D2B" w:rsidRP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середня заробітна плата по індустріальному парку:</w:t>
      </w:r>
    </w:p>
    <w:p w14:paraId="53AEFF77" w14:textId="77777777" w:rsidR="00E62D2B" w:rsidRPr="00E62D2B" w:rsidRDefault="00000000" w:rsidP="00E2268E">
      <w:pPr>
        <w:numPr>
          <w:ilvl w:val="0"/>
          <w:numId w:val="4"/>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з початку діяльності проєкту, 2029 рік – 83.000 грн.;</w:t>
      </w:r>
    </w:p>
    <w:p w14:paraId="7B8B61E0" w14:textId="77777777" w:rsidR="00E62D2B" w:rsidRPr="00E62D2B" w:rsidRDefault="00000000" w:rsidP="00E2268E">
      <w:pPr>
        <w:numPr>
          <w:ilvl w:val="0"/>
          <w:numId w:val="4"/>
        </w:numPr>
        <w:spacing w:after="0" w:line="240" w:lineRule="auto"/>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через 6 років діяльності, 2035 рік – 110.658 грн.</w:t>
      </w:r>
    </w:p>
    <w:p w14:paraId="2D36D2ED" w14:textId="77777777" w:rsidR="00E62D2B" w:rsidRDefault="00000000" w:rsidP="00E2268E">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E62D2B">
        <w:rPr>
          <w:rFonts w:ascii="Times New Roman" w:eastAsia="Times New Roman" w:hAnsi="Times New Roman" w:cs="Times New Roman"/>
          <w:sz w:val="28"/>
          <w:szCs w:val="28"/>
        </w:rPr>
        <w:t>пріоритетне працевлаштування мешканців Броварської міської територіальної громади і прилеглих районів.</w:t>
      </w:r>
    </w:p>
    <w:p w14:paraId="2B468E03" w14:textId="77777777" w:rsidR="00E2268E" w:rsidRPr="00E62D2B" w:rsidRDefault="00E2268E" w:rsidP="00E2268E">
      <w:pPr>
        <w:spacing w:after="0" w:line="240" w:lineRule="auto"/>
        <w:ind w:left="1276"/>
        <w:contextualSpacing/>
        <w:jc w:val="both"/>
        <w:rPr>
          <w:rFonts w:ascii="Times New Roman" w:eastAsia="Times New Roman" w:hAnsi="Times New Roman" w:cs="Times New Roman"/>
          <w:sz w:val="28"/>
          <w:szCs w:val="28"/>
        </w:rPr>
      </w:pPr>
    </w:p>
    <w:p w14:paraId="4CC2E09B"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Основні завдання індустріального парку:</w:t>
      </w:r>
    </w:p>
    <w:p w14:paraId="6B2F7A24"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Розвиток промислового потенціалу Київської області.</w:t>
      </w:r>
    </w:p>
    <w:p w14:paraId="176D9D22"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Створення високоефективних виробництв з сучасним технологічним оснащенням.</w:t>
      </w:r>
    </w:p>
    <w:p w14:paraId="6331E41C"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Модернізація та інноваційний розвиток машинобудівної та пов’язаних з нею галузей промисловості України.</w:t>
      </w:r>
    </w:p>
    <w:p w14:paraId="0C09004F"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Підвищення конкурентоспроможності вітчизняної продукції на внутрішньому та глобальному ринках.</w:t>
      </w:r>
    </w:p>
    <w:p w14:paraId="505D8D06"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Залучення інвестицій та підвищення інвестиційної привабливості регіону.</w:t>
      </w:r>
    </w:p>
    <w:p w14:paraId="2FF7ED1B"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Розвиток інфраструктури: інженерно-транспортної, логістичної та ринкової.</w:t>
      </w:r>
    </w:p>
    <w:p w14:paraId="554FFB0D"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Збільшення надходжень до бюджетів усіх рівнів та державних цільових фондів.</w:t>
      </w:r>
    </w:p>
    <w:p w14:paraId="785EFE2E"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Збалансований регіональний розвиток та зменшення регіональних диспропорцій за рівнем індустріалізації.</w:t>
      </w:r>
    </w:p>
    <w:p w14:paraId="6F4A3075" w14:textId="77777777" w:rsid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Поліпшення якості життя населення через зростання доходів та зниження трудової міграції.</w:t>
      </w:r>
    </w:p>
    <w:p w14:paraId="0C31DB30" w14:textId="77777777" w:rsidR="00E2268E" w:rsidRPr="00E62D2B" w:rsidRDefault="00E2268E" w:rsidP="00E2268E">
      <w:pPr>
        <w:spacing w:after="0" w:line="240" w:lineRule="auto"/>
        <w:ind w:left="851"/>
        <w:jc w:val="both"/>
        <w:rPr>
          <w:rFonts w:ascii="Times New Roman" w:eastAsia="Calibri" w:hAnsi="Times New Roman" w:cs="Times New Roman"/>
          <w:kern w:val="2"/>
          <w:sz w:val="28"/>
          <w:szCs w:val="28"/>
          <w:lang w:eastAsia="en-US"/>
          <w14:ligatures w14:val="standardContextual"/>
        </w:rPr>
      </w:pPr>
    </w:p>
    <w:p w14:paraId="6FB27C74"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Поряд з цим, створення індустріального парку «БУДШЛЯХМАШ» сприятиме реалізації стратегічних й оперативних цілей, а також завдань Державної стратегії регіонального розвитку на 2021–2027 роки (в редакції постанови Кабінету Міністрів України від 13.08.2024 № 940):</w:t>
      </w:r>
    </w:p>
    <w:p w14:paraId="2D5D5AF0" w14:textId="77777777" w:rsidR="00E62D2B" w:rsidRPr="00E62D2B" w:rsidRDefault="00000000" w:rsidP="00E2268E">
      <w:pPr>
        <w:numPr>
          <w:ilvl w:val="0"/>
          <w:numId w:val="6"/>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«Формування згуртованої держави в соціальному, гуманітарному, економічному, кліматичному, екологічному, безпековому та просторовому вимірах»:</w:t>
      </w:r>
    </w:p>
    <w:p w14:paraId="71767922" w14:textId="77777777" w:rsidR="00E62D2B" w:rsidRPr="00E62D2B" w:rsidRDefault="00000000" w:rsidP="00E2268E">
      <w:pPr>
        <w:numPr>
          <w:ilvl w:val="1"/>
          <w:numId w:val="5"/>
        </w:numPr>
        <w:tabs>
          <w:tab w:val="left" w:pos="1134"/>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Оперативна ціль 1 «Забезпечення інтегрованого розвитку територій з урахуванням інтересів майбутніх поколінь», зокрема:</w:t>
      </w:r>
    </w:p>
    <w:p w14:paraId="69120649" w14:textId="77777777" w:rsidR="00E62D2B" w:rsidRPr="00E62D2B" w:rsidRDefault="00000000" w:rsidP="00E2268E">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сприяння залученню інвестиційних ресурсів, коштів міжнародної технічної допомоги та міжнародних фінансових організацій для реалізації проєктів економічної реструктуризації.</w:t>
      </w:r>
    </w:p>
    <w:p w14:paraId="7387FEF3" w14:textId="77777777" w:rsidR="00E62D2B" w:rsidRPr="00E62D2B" w:rsidRDefault="00000000" w:rsidP="00E2268E">
      <w:pPr>
        <w:numPr>
          <w:ilvl w:val="0"/>
          <w:numId w:val="6"/>
        </w:numPr>
        <w:tabs>
          <w:tab w:val="num" w:pos="1843"/>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«Підвищення конкурентоспроможності регіонів»:</w:t>
      </w:r>
    </w:p>
    <w:p w14:paraId="434CA7B7" w14:textId="77777777" w:rsidR="00E62D2B" w:rsidRPr="00E62D2B" w:rsidRDefault="00000000" w:rsidP="00E2268E">
      <w:pPr>
        <w:numPr>
          <w:ilvl w:val="1"/>
          <w:numId w:val="5"/>
        </w:numPr>
        <w:tabs>
          <w:tab w:val="left" w:pos="1134"/>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Оперативна ціль 2 «Сильна та конкурентоспроможна регіональна економіка»:</w:t>
      </w:r>
    </w:p>
    <w:p w14:paraId="6ECADFA2" w14:textId="77777777" w:rsidR="00E62D2B" w:rsidRPr="00E62D2B" w:rsidRDefault="00000000" w:rsidP="00E2268E">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lastRenderedPageBreak/>
        <w:t>створення умов для промислового інвестування та розвитку кластерів різної спеціалізації;</w:t>
      </w:r>
    </w:p>
    <w:p w14:paraId="77F246FB" w14:textId="77777777" w:rsidR="00E62D2B" w:rsidRPr="00E62D2B" w:rsidRDefault="00000000" w:rsidP="00E2268E">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стимулювання підприємницької активності в регіонах шляхом стимулювання внутрішньо переміщених осіб працездатного віку, ветеранів війни та членів їх сімей, безробітних осіб до працевлаштування, заснування власного бізнесу;</w:t>
      </w:r>
    </w:p>
    <w:p w14:paraId="2499F236" w14:textId="77777777" w:rsidR="00E62D2B" w:rsidRPr="00E62D2B" w:rsidRDefault="00000000" w:rsidP="00E2268E">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покращення доступу населення до ринків праці через підвищення трудової мобільності та адаптації до місцевих потреб;</w:t>
      </w:r>
    </w:p>
    <w:p w14:paraId="40EDD22A" w14:textId="77777777" w:rsidR="00E62D2B" w:rsidRPr="00E62D2B" w:rsidRDefault="00000000" w:rsidP="00E2268E">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підвищення інвестиційної привабливості територій, підтримка залучення інвестицій, популяризація інвестиційних можливостей регіонів;</w:t>
      </w:r>
    </w:p>
    <w:p w14:paraId="7EA47935" w14:textId="77777777" w:rsidR="00E62D2B" w:rsidRDefault="00000000" w:rsidP="00E2268E">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стимулювання створення та діяльності індустріальних парків та підприємств оборонного-промислового комплексу з урахуванням стратегічних пріоритетів його розвитку.</w:t>
      </w:r>
    </w:p>
    <w:p w14:paraId="06CAF24C" w14:textId="77777777" w:rsidR="00E2268E" w:rsidRPr="00E62D2B" w:rsidRDefault="00E2268E" w:rsidP="00E2268E">
      <w:pPr>
        <w:tabs>
          <w:tab w:val="num" w:pos="2160"/>
        </w:tabs>
        <w:spacing w:after="0" w:line="240" w:lineRule="auto"/>
        <w:ind w:left="1701"/>
        <w:jc w:val="both"/>
        <w:rPr>
          <w:rFonts w:ascii="Times New Roman" w:eastAsia="Calibri" w:hAnsi="Times New Roman" w:cs="Times New Roman"/>
          <w:kern w:val="2"/>
          <w:sz w:val="28"/>
          <w:szCs w:val="28"/>
          <w:lang w:eastAsia="en-US"/>
          <w14:ligatures w14:val="standardContextual"/>
        </w:rPr>
      </w:pPr>
    </w:p>
    <w:p w14:paraId="32BE13D1" w14:textId="77777777" w:rsidR="00E62D2B" w:rsidRPr="00E62D2B" w:rsidRDefault="00000000" w:rsidP="00E2268E">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 xml:space="preserve">Створення індустріального парку «БУДШЛЯХМАШ» також відповідає стратегічним пріоритетам і цілям </w:t>
      </w:r>
      <w:bookmarkStart w:id="3" w:name="_Hlk214539363"/>
      <w:r w:rsidRPr="00E62D2B">
        <w:rPr>
          <w:rFonts w:ascii="Times New Roman" w:eastAsia="Calibri" w:hAnsi="Times New Roman" w:cs="Times New Roman"/>
          <w:kern w:val="2"/>
          <w:sz w:val="28"/>
          <w:szCs w:val="28"/>
          <w:lang w:eastAsia="en-US"/>
          <w14:ligatures w14:val="standardContextual"/>
        </w:rPr>
        <w:t>Стратегії розвитку Київської області на період 2021–2027 рр</w:t>
      </w:r>
      <w:bookmarkStart w:id="4" w:name="_Hlk214539435"/>
      <w:r w:rsidRPr="00E62D2B">
        <w:rPr>
          <w:rFonts w:ascii="Times New Roman" w:eastAsia="Calibri" w:hAnsi="Times New Roman" w:cs="Times New Roman"/>
          <w:kern w:val="2"/>
          <w:sz w:val="28"/>
          <w:szCs w:val="28"/>
          <w:lang w:eastAsia="en-US"/>
          <w14:ligatures w14:val="standardContextual"/>
        </w:rPr>
        <w:t>.</w:t>
      </w:r>
      <w:bookmarkEnd w:id="3"/>
      <w:r w:rsidRPr="00E62D2B">
        <w:rPr>
          <w:rFonts w:ascii="Times New Roman" w:eastAsia="Calibri" w:hAnsi="Times New Roman" w:cs="Times New Roman"/>
          <w:kern w:val="2"/>
          <w:sz w:val="28"/>
          <w:szCs w:val="28"/>
          <w:lang w:eastAsia="en-US"/>
          <w14:ligatures w14:val="standardContextual"/>
        </w:rPr>
        <w:t>, затвердженої у новій редакції рішенням Київської обласної ради від 6 березня 2025 року № 1259-31-VIII</w:t>
      </w:r>
      <w:bookmarkEnd w:id="4"/>
      <w:r w:rsidRPr="00E62D2B">
        <w:rPr>
          <w:rFonts w:ascii="Times New Roman" w:eastAsia="Calibri" w:hAnsi="Times New Roman" w:cs="Times New Roman"/>
          <w:kern w:val="2"/>
          <w:sz w:val="28"/>
          <w:szCs w:val="28"/>
          <w:lang w:eastAsia="en-US"/>
          <w14:ligatures w14:val="standardContextual"/>
        </w:rPr>
        <w:t>:</w:t>
      </w:r>
    </w:p>
    <w:p w14:paraId="410B1A55"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1 «Розвиток людського капіталу», зокрема:</w:t>
      </w:r>
    </w:p>
    <w:p w14:paraId="61FE0DD0" w14:textId="77777777" w:rsidR="00E62D2B" w:rsidRPr="00E62D2B" w:rsidRDefault="00000000" w:rsidP="00E2268E">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посилення інтеграції молодих людей та їх участі у різних сферах життєдіяльності.</w:t>
      </w:r>
    </w:p>
    <w:p w14:paraId="6A64C3B8"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2 «Створення безпечних і комфортних умова для життя».</w:t>
      </w:r>
    </w:p>
    <w:p w14:paraId="36B55DE9"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3</w:t>
      </w:r>
      <w:r w:rsidR="00E2268E">
        <w:rPr>
          <w:rFonts w:ascii="Times New Roman" w:eastAsia="Calibri" w:hAnsi="Times New Roman" w:cs="Times New Roman"/>
          <w:kern w:val="2"/>
          <w:sz w:val="28"/>
          <w:szCs w:val="28"/>
          <w:lang w:eastAsia="en-US"/>
          <w14:ligatures w14:val="standardContextual"/>
        </w:rPr>
        <w:t xml:space="preserve"> </w:t>
      </w:r>
      <w:r w:rsidRPr="00E62D2B">
        <w:rPr>
          <w:rFonts w:ascii="Times New Roman" w:eastAsia="Calibri" w:hAnsi="Times New Roman" w:cs="Times New Roman"/>
          <w:kern w:val="2"/>
          <w:sz w:val="28"/>
          <w:szCs w:val="28"/>
          <w:lang w:eastAsia="en-US"/>
          <w14:ligatures w14:val="standardContextual"/>
        </w:rPr>
        <w:t>«Посилення економічної стійкості та конкурентоспроможності регіону», у тому числі:</w:t>
      </w:r>
    </w:p>
    <w:p w14:paraId="66E074FB" w14:textId="77777777" w:rsidR="00E62D2B" w:rsidRPr="00E62D2B" w:rsidRDefault="00000000" w:rsidP="00E2268E">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сприяння розвитку бізнесу та залученню інвестицій;</w:t>
      </w:r>
    </w:p>
    <w:p w14:paraId="4BF4AA02" w14:textId="77777777" w:rsidR="00E62D2B" w:rsidRPr="00E62D2B" w:rsidRDefault="00000000" w:rsidP="00E2268E">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розвиток інноваційно орієнтованих галузей економіки на засадах смарт-спеціалізації.</w:t>
      </w:r>
    </w:p>
    <w:p w14:paraId="042AECFE"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Стратегічна ціль 4 «Забезпечення збалансованого розвитку територій, соціальної згуртованості та цифрова трансформація», зокрема:</w:t>
      </w:r>
    </w:p>
    <w:p w14:paraId="7DD26CB7" w14:textId="77777777" w:rsidR="00E62D2B" w:rsidRPr="00E62D2B" w:rsidRDefault="00000000" w:rsidP="00E2268E">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комплексний розвиток територій громад, підвищення ефективності урядування на всіх рівнях.</w:t>
      </w:r>
    </w:p>
    <w:p w14:paraId="0CA19B46"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bookmarkStart w:id="5" w:name="_Hlk214539546"/>
      <w:r w:rsidRPr="00E62D2B">
        <w:rPr>
          <w:rFonts w:ascii="Times New Roman" w:eastAsia="Calibri" w:hAnsi="Times New Roman" w:cs="Times New Roman"/>
          <w:kern w:val="2"/>
          <w:sz w:val="28"/>
          <w:szCs w:val="28"/>
          <w:lang w:eastAsia="en-US"/>
          <w14:ligatures w14:val="standardContextual"/>
        </w:rPr>
        <w:t>З огляду на воєнний стан, загальну економічну нестабільність, відтік інвестицій, безпекові загрози, зокрема для інфраструктури, індустріальний парк також розглядатиме альтернативні форми стимулювання економічного розвитку територіальної громади, які можуть бути більш адаптивними в умовах обмежених ресурсів та інституційної нестабільності</w:t>
      </w:r>
      <w:bookmarkEnd w:id="5"/>
      <w:r w:rsidRPr="00E62D2B">
        <w:rPr>
          <w:rFonts w:ascii="Times New Roman" w:eastAsia="Calibri" w:hAnsi="Times New Roman" w:cs="Times New Roman"/>
          <w:kern w:val="2"/>
          <w:sz w:val="28"/>
          <w:szCs w:val="28"/>
          <w:lang w:eastAsia="en-US"/>
          <w14:ligatures w14:val="standardContextual"/>
        </w:rPr>
        <w:t>:</w:t>
      </w:r>
    </w:p>
    <w:p w14:paraId="2ECE8A66" w14:textId="77777777" w:rsidR="00E62D2B" w:rsidRPr="00E62D2B" w:rsidRDefault="00000000" w:rsidP="00E2268E">
      <w:pPr>
        <w:numPr>
          <w:ilvl w:val="0"/>
          <w:numId w:val="6"/>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донорська підтримка щодо впровадження енергозберігаючих технологій, екологічно і кліматично орієнтованих проєктів, мінімізація відходів та раціональне використання обмежених енергетичних ресурсів;</w:t>
      </w:r>
    </w:p>
    <w:p w14:paraId="44A026D9" w14:textId="77777777" w:rsidR="00E62D2B" w:rsidRPr="00E62D2B" w:rsidRDefault="00000000" w:rsidP="00E2268E">
      <w:pPr>
        <w:numPr>
          <w:ilvl w:val="0"/>
          <w:numId w:val="6"/>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використання послуг вітчизняного експортно-кредитного агентства (ЕКА) і профільних міжнародних агенцій зі страхування інвестицій та зовнішньоекономічних контрактів від ризиків політичного і воєнного характеру;</w:t>
      </w:r>
    </w:p>
    <w:p w14:paraId="4EFF2AB9" w14:textId="77777777" w:rsidR="00E62D2B" w:rsidRDefault="00000000" w:rsidP="00E2268E">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lastRenderedPageBreak/>
        <w:t>залучення грантів неурядових організацій на розвиток стартапів, бізнес-інкубаторів та хабів цифрових трансформацій для сприяння розвитку та впровадженню інновацій у технологічні та управлінські процеси підприємств індустріального парку.</w:t>
      </w:r>
    </w:p>
    <w:p w14:paraId="2E16D785" w14:textId="77777777" w:rsidR="00E2268E" w:rsidRPr="00E62D2B" w:rsidRDefault="00E2268E" w:rsidP="00E2268E">
      <w:pPr>
        <w:spacing w:after="0" w:line="240" w:lineRule="auto"/>
        <w:ind w:left="1440"/>
        <w:jc w:val="both"/>
        <w:rPr>
          <w:rFonts w:ascii="Times New Roman" w:eastAsia="Calibri" w:hAnsi="Times New Roman" w:cs="Times New Roman"/>
          <w:kern w:val="2"/>
          <w:sz w:val="28"/>
          <w:szCs w:val="28"/>
          <w:lang w:eastAsia="en-US"/>
          <w14:ligatures w14:val="standardContextual"/>
        </w:rPr>
      </w:pPr>
    </w:p>
    <w:p w14:paraId="3D56DAC4"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Індустріальний парк «БУДШЛЯХМАШ» створюватиметься і функціонуватиме на основі таких принципів:</w:t>
      </w:r>
    </w:p>
    <w:p w14:paraId="481355B0"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Раціональне та ефективне використання природних, економічних і людських ресурсів регіону.</w:t>
      </w:r>
    </w:p>
    <w:p w14:paraId="28CB1B87"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Системний підхід до формування єдиного комплексу комунікацій, інфраструктури та сервісів для учасників парку.</w:t>
      </w:r>
    </w:p>
    <w:p w14:paraId="12EBD4AD"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Партнерство держави та приватних інвесторів у розвитку інфраструктури парку.</w:t>
      </w:r>
    </w:p>
    <w:p w14:paraId="7C4AA106"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Рівність і недискримінація щодо всіх учасників, незалежно від обсягу інвестицій або країни походження.</w:t>
      </w:r>
    </w:p>
    <w:p w14:paraId="56105B83"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Фокус на пріоритетних галузях, визначених концепцією парку.</w:t>
      </w:r>
    </w:p>
    <w:p w14:paraId="4C93A601"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Кластеризація промислових підприємств для підвищення синергетичної взаємодії та конкурентоспроможності.</w:t>
      </w:r>
    </w:p>
    <w:p w14:paraId="5754400A"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Екологічна відповідальність господарської діяльності учасників.</w:t>
      </w:r>
    </w:p>
    <w:p w14:paraId="5629AB01"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Стимулювання створення високооплачуваних і кваліфікованих робочих місць, а також залучення інвестицій на всіх рівнях.</w:t>
      </w:r>
    </w:p>
    <w:p w14:paraId="17922A5F"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Соціальне партнерство між працівниками, роботодавцями та органами місцевого самоврядування.</w:t>
      </w:r>
    </w:p>
    <w:p w14:paraId="5D702C4B" w14:textId="77777777" w:rsid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Чіткий розподіл повноважень і відповідальності між усіма учасниками процесу.</w:t>
      </w:r>
    </w:p>
    <w:p w14:paraId="33601269" w14:textId="77777777" w:rsidR="00E2268E" w:rsidRPr="00E62D2B" w:rsidRDefault="00E2268E" w:rsidP="00E2268E">
      <w:pPr>
        <w:spacing w:after="0" w:line="240" w:lineRule="auto"/>
        <w:ind w:left="851"/>
        <w:jc w:val="both"/>
        <w:rPr>
          <w:rFonts w:ascii="Times New Roman" w:eastAsia="Calibri" w:hAnsi="Times New Roman" w:cs="Times New Roman"/>
          <w:kern w:val="2"/>
          <w:sz w:val="28"/>
          <w:szCs w:val="28"/>
          <w:lang w:eastAsia="en-US"/>
          <w14:ligatures w14:val="standardContextual"/>
        </w:rPr>
      </w:pPr>
    </w:p>
    <w:p w14:paraId="07AF25D5"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Функціональне призначення парку «БУДШЛЯХМАШ» - виробництво продукції машинобудування. Пріоритетними напрямами економічної діяльності у парку вбачаються:</w:t>
      </w:r>
    </w:p>
    <w:p w14:paraId="654B0E21"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28.12 Виробництво гідравлічного та пневматичного устаткування</w:t>
      </w:r>
    </w:p>
    <w:p w14:paraId="0B69F935"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28.13 Виробництво інших помп і компресорів</w:t>
      </w:r>
    </w:p>
    <w:p w14:paraId="7B8A2B56"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28.14 Виробництво інших кранів і клапанів</w:t>
      </w:r>
    </w:p>
    <w:p w14:paraId="7EAD6E36"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28.15 Виробництво підшипників, зубчастих передач, елементів механічних передач і приводів</w:t>
      </w:r>
    </w:p>
    <w:p w14:paraId="5E6A0414"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28.22 Виробництво підіймального та вантажно-розвантажувального устаткування</w:t>
      </w:r>
    </w:p>
    <w:p w14:paraId="242B53DA"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28.29 Виробництво інших машин і устаткування загального призначення, н.в.і.у.</w:t>
      </w:r>
    </w:p>
    <w:p w14:paraId="2D3C8AD8"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28.30 Виробництво машин і устаткування для сільського та лісового господарства</w:t>
      </w:r>
    </w:p>
    <w:p w14:paraId="06A7403D"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28.91 Виробництво машин і устаткування для металургії</w:t>
      </w:r>
    </w:p>
    <w:p w14:paraId="59580760"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28.92 Виробництво машин і устаткування для добувної промисловості та будівництва</w:t>
      </w:r>
    </w:p>
    <w:p w14:paraId="211FD5F4"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lastRenderedPageBreak/>
        <w:t>28.99 Виробництво інших машин і устаткування спеціального призначення, н.в.і.у.</w:t>
      </w:r>
    </w:p>
    <w:p w14:paraId="5D5FB094"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29.10 Виробництво автотранспортних засобів</w:t>
      </w:r>
    </w:p>
    <w:p w14:paraId="3B060DC9"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29.20 Виробництво кузовів для автотранспортних засобів, причепів і напівпричепів</w:t>
      </w:r>
    </w:p>
    <w:p w14:paraId="724BA0B2"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29.31 Виробництво електричного й електронного устаткування для автотранспортних засобів</w:t>
      </w:r>
    </w:p>
    <w:p w14:paraId="5A60D435"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29.32 Виробництво інших вузлів, деталей і приладдя для автотранспортних засобів</w:t>
      </w:r>
    </w:p>
    <w:p w14:paraId="4FB9E5B8"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33.11 Ремонт і технічне обслуговування готових металевих виробів</w:t>
      </w:r>
    </w:p>
    <w:p w14:paraId="29AEB656"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33.12 Ремонт і техобслуговування машин і устаткування промислового призначення</w:t>
      </w:r>
    </w:p>
    <w:p w14:paraId="2E95C9B3"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33.14 Ремонт і технічне обслуговування електричного устаткування</w:t>
      </w:r>
    </w:p>
    <w:p w14:paraId="4367A44E" w14:textId="77777777" w:rsidR="00E62D2B" w:rsidRPr="00E62D2B"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33.17 Ремонт і технічне обслуговування інших транспортних засобів</w:t>
      </w:r>
    </w:p>
    <w:p w14:paraId="7A171ABA" w14:textId="77777777" w:rsidR="00E62D2B" w:rsidRPr="00E62D2B" w:rsidRDefault="00000000" w:rsidP="00E2268E">
      <w:pPr>
        <w:numPr>
          <w:ilvl w:val="0"/>
          <w:numId w:val="5"/>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bookmarkStart w:id="6" w:name="_Hlk215821554"/>
      <w:r w:rsidRPr="00E62D2B">
        <w:rPr>
          <w:rFonts w:ascii="Times New Roman" w:eastAsia="Calibri" w:hAnsi="Times New Roman" w:cs="Times New Roman"/>
          <w:kern w:val="2"/>
          <w:sz w:val="28"/>
          <w:szCs w:val="28"/>
          <w:lang w:eastAsia="en-US"/>
          <w14:ligatures w14:val="standardContextual"/>
        </w:rPr>
        <w:t>33.19 Ремонт і технічне обслуговування інших машин і устаткування</w:t>
      </w:r>
    </w:p>
    <w:p w14:paraId="63693BF7" w14:textId="77777777" w:rsidR="00E62D2B" w:rsidRPr="00E62D2B" w:rsidRDefault="00000000" w:rsidP="00E2268E">
      <w:pPr>
        <w:numPr>
          <w:ilvl w:val="0"/>
          <w:numId w:val="5"/>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 xml:space="preserve">33.20 Установлення та монтаж машин і </w:t>
      </w:r>
      <w:bookmarkEnd w:id="6"/>
      <w:r w:rsidRPr="00E62D2B">
        <w:rPr>
          <w:rFonts w:ascii="Times New Roman" w:eastAsia="Calibri" w:hAnsi="Times New Roman" w:cs="Times New Roman"/>
          <w:kern w:val="2"/>
          <w:sz w:val="28"/>
          <w:szCs w:val="28"/>
          <w:lang w:eastAsia="en-US"/>
          <w14:ligatures w14:val="standardContextual"/>
        </w:rPr>
        <w:t>устаткування</w:t>
      </w:r>
    </w:p>
    <w:p w14:paraId="572E703C" w14:textId="77777777" w:rsidR="00E62D2B" w:rsidRP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Крім того, до участі в ІП планується залучити суб’єктів господарювання, які надаватимуть супутні послуги: будівництво, консалтинг, логістику, експедиторські послуги, складські та інші комерційні послуги для основних учасників парку.</w:t>
      </w:r>
    </w:p>
    <w:p w14:paraId="2B949127" w14:textId="77777777" w:rsid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Спектр галузей та напрямів виробництва у парку може бути розширено або адаптовано з урахуванням актуальних потреб територіальної громади та ринкових умов.</w:t>
      </w:r>
    </w:p>
    <w:p w14:paraId="7D915975"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C21EAF8"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C400389"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ED477A2"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7FE6C06"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6830AC9"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C416402"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23A69A43"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978C7CB"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9958D37"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95741FC"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38B3391"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E462567"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1415D78F"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24FB353C"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5435FFAF"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69EC1F4"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3837E44" w14:textId="77777777" w:rsidR="00E2268E" w:rsidRPr="00E62D2B"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68FBB43" w14:textId="77777777" w:rsidR="00E62D2B" w:rsidRPr="00E62D2B" w:rsidRDefault="00000000" w:rsidP="00E2268E">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7" w:name="_Toc194054627"/>
      <w:r w:rsidRPr="00E62D2B">
        <w:rPr>
          <w:rFonts w:ascii="Times New Roman" w:eastAsia="Times New Roman" w:hAnsi="Times New Roman" w:cs="Times New Roman"/>
          <w:b/>
          <w:kern w:val="2"/>
          <w:sz w:val="28"/>
          <w:szCs w:val="28"/>
          <w:lang w:eastAsia="en-US"/>
          <w14:ligatures w14:val="standardContextual"/>
        </w:rPr>
        <w:lastRenderedPageBreak/>
        <w:t>Місце розташування та розмір земельної ділянки</w:t>
      </w:r>
      <w:bookmarkEnd w:id="7"/>
    </w:p>
    <w:p w14:paraId="330FDAE6" w14:textId="77777777" w:rsidR="00E62D2B"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62D2B">
        <w:rPr>
          <w:rFonts w:ascii="Times New Roman" w:eastAsia="Calibri" w:hAnsi="Times New Roman" w:cs="Times New Roman"/>
          <w:kern w:val="2"/>
          <w:sz w:val="28"/>
          <w:szCs w:val="28"/>
          <w:lang w:eastAsia="en-US"/>
          <w14:ligatures w14:val="standardContextual"/>
        </w:rPr>
        <w:t>Земельна ділянка індустріального парку «БУДШЛЯХМАШ» розташована у межах міста Бровари Броварського району Київської області.</w:t>
      </w:r>
    </w:p>
    <w:p w14:paraId="024D7011" w14:textId="77777777" w:rsid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FD0ECBA" w14:textId="77777777" w:rsidR="00E62D2B" w:rsidRPr="00E62D2B" w:rsidRDefault="00000000" w:rsidP="00E2268E">
      <w:pPr>
        <w:spacing w:after="0" w:line="240" w:lineRule="auto"/>
        <w:ind w:firstLine="567"/>
        <w:jc w:val="center"/>
        <w:rPr>
          <w:rFonts w:ascii="Times New Roman" w:eastAsia="Calibri" w:hAnsi="Times New Roman" w:cs="Times New Roman"/>
          <w:kern w:val="2"/>
          <w:sz w:val="28"/>
          <w:szCs w:val="28"/>
          <w:lang w:eastAsia="en-US"/>
          <w14:ligatures w14:val="standardContextual"/>
        </w:rPr>
      </w:pPr>
      <w:r>
        <w:rPr>
          <w:rFonts w:ascii="Times New Roman" w:eastAsia="Calibri" w:hAnsi="Times New Roman" w:cs="Times New Roman"/>
          <w:noProof/>
          <w:kern w:val="2"/>
          <w:sz w:val="28"/>
          <w:szCs w:val="28"/>
          <w:lang w:eastAsia="en-US"/>
          <w14:ligatures w14:val="standardContextual"/>
        </w:rPr>
        <w:drawing>
          <wp:inline distT="0" distB="0" distL="0" distR="0" wp14:anchorId="70C1A50F" wp14:editId="4FE63526">
            <wp:extent cx="5488884" cy="3695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04423" cy="3706162"/>
                    </a:xfrm>
                    <a:prstGeom prst="rect">
                      <a:avLst/>
                    </a:prstGeom>
                    <a:noFill/>
                  </pic:spPr>
                </pic:pic>
              </a:graphicData>
            </a:graphic>
          </wp:inline>
        </w:drawing>
      </w:r>
    </w:p>
    <w:p w14:paraId="3D169063" w14:textId="77777777" w:rsidR="00E2268E" w:rsidRDefault="00E2268E"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14:paraId="25ADF744"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Ділянка розташована по вулиці Сергія Москаленка у місті Бровари поряд з автошляхом Е95, що прямує з півночі на південь України до м. Одеса. Відстань від земельної ділянки до адміністративної межі м. Києва становить близько 7 км.</w:t>
      </w:r>
    </w:p>
    <w:p w14:paraId="1DF3A241" w14:textId="77777777" w:rsidR="00E2268E" w:rsidRDefault="00E2268E"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14:paraId="26A45415"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Відповідно до рішень Броварської міської ради Броварського району Київської області від 24.04.2025 року №2109-91-08 «Про затвердження документації із землеустрою та проведення земельних торгів щодо продажу права оренди земельної ділянки площею 11,4173 га в районі вулиці Москаленка Сергія в м.Бровари Броварського району Київської області», від 29.05.2025 року №2145-92-08 «Про внесення змін до рішення Броварської міської ради Броварського району Київської області від 24.04.2025 року №2109-91-08», відповідно до Протоколу про результати земельних торгів №</w:t>
      </w:r>
      <w:r w:rsidRPr="00E2268E">
        <w:rPr>
          <w:rFonts w:ascii="Times New Roman" w:eastAsia="Calibri" w:hAnsi="Times New Roman" w:cs="Times New Roman"/>
          <w:kern w:val="2"/>
          <w:sz w:val="28"/>
          <w:szCs w:val="24"/>
          <w:lang w:val="en-US" w:eastAsia="en-US"/>
          <w14:ligatures w14:val="standardContextual"/>
        </w:rPr>
        <w:t>LRE</w:t>
      </w:r>
      <w:r w:rsidRPr="00E2268E">
        <w:rPr>
          <w:rFonts w:ascii="Times New Roman" w:eastAsia="Calibri" w:hAnsi="Times New Roman" w:cs="Times New Roman"/>
          <w:kern w:val="2"/>
          <w:sz w:val="28"/>
          <w:szCs w:val="24"/>
          <w:lang w:eastAsia="en-US"/>
          <w14:ligatures w14:val="standardContextual"/>
        </w:rPr>
        <w:t>001-</w:t>
      </w:r>
      <w:r w:rsidRPr="00E2268E">
        <w:rPr>
          <w:rFonts w:ascii="Times New Roman" w:eastAsia="Calibri" w:hAnsi="Times New Roman" w:cs="Times New Roman"/>
          <w:kern w:val="2"/>
          <w:sz w:val="28"/>
          <w:szCs w:val="24"/>
          <w:lang w:val="en-US" w:eastAsia="en-US"/>
          <w14:ligatures w14:val="standardContextual"/>
        </w:rPr>
        <w:t>UA</w:t>
      </w:r>
      <w:r w:rsidRPr="00E2268E">
        <w:rPr>
          <w:rFonts w:ascii="Times New Roman" w:eastAsia="Calibri" w:hAnsi="Times New Roman" w:cs="Times New Roman"/>
          <w:kern w:val="2"/>
          <w:sz w:val="28"/>
          <w:szCs w:val="24"/>
          <w:lang w:eastAsia="en-US"/>
          <w14:ligatures w14:val="standardContextual"/>
        </w:rPr>
        <w:t xml:space="preserve">-20250729-80742 від 02.09.2025 року, Броварська міська рада Броварського району Київської області надає, а Товариство з обмеженою відповідальністю «АТОМІС» приймає в строкове платне користування земельну ділянку. </w:t>
      </w:r>
    </w:p>
    <w:p w14:paraId="093A7383" w14:textId="77777777" w:rsidR="00E2268E" w:rsidRDefault="00E2268E"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14:paraId="226E1FD0" w14:textId="77777777" w:rsid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Згідно договору оренди землі, укладеному між Броварською міською радою Броварського району Київської області та ТОВ «АТОМІС»:</w:t>
      </w:r>
    </w:p>
    <w:p w14:paraId="75C74361" w14:textId="77777777" w:rsidR="00E2268E" w:rsidRPr="00E2268E" w:rsidRDefault="00E2268E"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14:paraId="7870D1C0" w14:textId="77777777" w:rsidR="00E2268E" w:rsidRPr="00E2268E" w:rsidRDefault="00000000" w:rsidP="00E2268E">
      <w:pPr>
        <w:numPr>
          <w:ilvl w:val="0"/>
          <w:numId w:val="7"/>
        </w:numPr>
        <w:spacing w:after="0" w:line="240" w:lineRule="auto"/>
        <w:contextualSpacing/>
        <w:jc w:val="both"/>
        <w:rPr>
          <w:rFonts w:ascii="Times New Roman" w:eastAsia="Times New Roman" w:hAnsi="Times New Roman" w:cs="Times New Roman"/>
          <w:sz w:val="28"/>
          <w:szCs w:val="24"/>
        </w:rPr>
      </w:pPr>
      <w:r w:rsidRPr="00E2268E">
        <w:rPr>
          <w:rFonts w:ascii="Times New Roman" w:eastAsia="Times New Roman" w:hAnsi="Times New Roman" w:cs="Times New Roman"/>
          <w:sz w:val="28"/>
          <w:szCs w:val="24"/>
        </w:rPr>
        <w:t>Дата підписання договору - «23» вересня 2025 року;</w:t>
      </w:r>
    </w:p>
    <w:p w14:paraId="1B2BBA26" w14:textId="77777777" w:rsidR="00E2268E" w:rsidRPr="00E2268E" w:rsidRDefault="00000000" w:rsidP="00E2268E">
      <w:pPr>
        <w:numPr>
          <w:ilvl w:val="0"/>
          <w:numId w:val="7"/>
        </w:numPr>
        <w:spacing w:after="0" w:line="240" w:lineRule="auto"/>
        <w:contextualSpacing/>
        <w:jc w:val="both"/>
        <w:rPr>
          <w:rFonts w:ascii="Times New Roman" w:eastAsia="Times New Roman" w:hAnsi="Times New Roman" w:cs="Times New Roman"/>
          <w:sz w:val="28"/>
          <w:szCs w:val="24"/>
        </w:rPr>
      </w:pPr>
      <w:r w:rsidRPr="00E2268E">
        <w:rPr>
          <w:rFonts w:ascii="Times New Roman" w:eastAsia="Times New Roman" w:hAnsi="Times New Roman" w:cs="Times New Roman"/>
          <w:sz w:val="28"/>
          <w:szCs w:val="24"/>
        </w:rPr>
        <w:lastRenderedPageBreak/>
        <w:t>Договір укладено строком на 35 років;</w:t>
      </w:r>
    </w:p>
    <w:p w14:paraId="7790FFF8" w14:textId="77777777" w:rsidR="00E2268E" w:rsidRPr="00E2268E" w:rsidRDefault="00000000" w:rsidP="00E2268E">
      <w:pPr>
        <w:numPr>
          <w:ilvl w:val="0"/>
          <w:numId w:val="7"/>
        </w:numPr>
        <w:spacing w:after="0" w:line="240" w:lineRule="auto"/>
        <w:contextualSpacing/>
        <w:jc w:val="both"/>
        <w:rPr>
          <w:rFonts w:ascii="Times New Roman" w:eastAsia="Times New Roman" w:hAnsi="Times New Roman" w:cs="Times New Roman"/>
          <w:sz w:val="28"/>
          <w:szCs w:val="24"/>
        </w:rPr>
      </w:pPr>
      <w:r w:rsidRPr="00E2268E">
        <w:rPr>
          <w:rFonts w:ascii="Times New Roman" w:eastAsia="Times New Roman" w:hAnsi="Times New Roman" w:cs="Times New Roman"/>
          <w:sz w:val="28"/>
          <w:szCs w:val="24"/>
        </w:rPr>
        <w:t xml:space="preserve">Орендна плата становить 2 520 000 грн. на рік. </w:t>
      </w:r>
    </w:p>
    <w:p w14:paraId="10B8C7D4" w14:textId="77777777" w:rsidR="00E2268E" w:rsidRDefault="00E2268E"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14:paraId="1BD6D7E0"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 xml:space="preserve">Ділянка перебуває у комунальній власності. </w:t>
      </w:r>
    </w:p>
    <w:p w14:paraId="1C246745"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 xml:space="preserve">Ділянка цілком вільна від забудови і інженерних споруд. На ній відсутні житлові будинки, ділові центри, інженерні мережі та виробничі об'єкти. На ділянці індустріального парку та сусідніх ділянках довкола відсутні звалища та очисні споруди. На проєктованій ділянці парку також відсутні природоохоронні й ландшафтно-рекреаційні території. Протягом останніх п’яти років господарська діяльність на території ділянки не здійснювалась. </w:t>
      </w:r>
    </w:p>
    <w:p w14:paraId="3B9A9311"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Ділянка не входить до охоронних зон пам’яток культурної спадщини, об’єктів всесвітньої спадщини, історико-культурних заповідників або археологічних територій. Рельєф ділянки характеризується як природний хвилястий, без значних перепадів ґрунтів та проявів небезпечних геологічних процесів, таких як зсуви чи карст. За результатами інтегрованого аналізу геоморфологічних характеристик ділянка вважається сприятливою для будівництва промислових об’єктів.</w:t>
      </w:r>
    </w:p>
    <w:p w14:paraId="3408B437" w14:textId="77777777" w:rsidR="00E2268E" w:rsidRPr="00E2268E" w:rsidRDefault="00000000" w:rsidP="00E2268E">
      <w:pPr>
        <w:spacing w:before="240"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b/>
          <w:bCs/>
          <w:kern w:val="2"/>
          <w:sz w:val="28"/>
          <w:szCs w:val="24"/>
          <w:lang w:eastAsia="en-US"/>
          <w14:ligatures w14:val="standardContextual"/>
        </w:rPr>
        <w:t>Загальна площа ділянки індустріального парку:</w:t>
      </w:r>
    </w:p>
    <w:p w14:paraId="4CF66EEE" w14:textId="77777777" w:rsidR="00E2268E" w:rsidRPr="00E2268E" w:rsidRDefault="00000000" w:rsidP="00E2268E">
      <w:pPr>
        <w:spacing w:after="12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11,4173 га</w:t>
      </w:r>
    </w:p>
    <w:p w14:paraId="250A8F35" w14:textId="77777777" w:rsidR="00E2268E" w:rsidRPr="00E2268E" w:rsidRDefault="00000000" w:rsidP="00E2268E">
      <w:pPr>
        <w:spacing w:after="0" w:line="240" w:lineRule="auto"/>
        <w:ind w:firstLine="567"/>
        <w:jc w:val="both"/>
        <w:rPr>
          <w:rFonts w:ascii="Times New Roman" w:eastAsia="Calibri" w:hAnsi="Times New Roman" w:cs="Times New Roman"/>
          <w:b/>
          <w:bCs/>
          <w:kern w:val="2"/>
          <w:sz w:val="28"/>
          <w:szCs w:val="24"/>
          <w:lang w:eastAsia="en-US"/>
          <w14:ligatures w14:val="standardContextual"/>
        </w:rPr>
      </w:pPr>
      <w:r w:rsidRPr="00E2268E">
        <w:rPr>
          <w:rFonts w:ascii="Times New Roman" w:eastAsia="Calibri" w:hAnsi="Times New Roman" w:cs="Times New Roman"/>
          <w:b/>
          <w:bCs/>
          <w:kern w:val="2"/>
          <w:sz w:val="28"/>
          <w:szCs w:val="24"/>
          <w:lang w:eastAsia="en-US"/>
          <w14:ligatures w14:val="standardContextual"/>
        </w:rPr>
        <w:t>Кадастровий номер:</w:t>
      </w:r>
    </w:p>
    <w:p w14:paraId="2124A991" w14:textId="77777777" w:rsidR="00E2268E" w:rsidRPr="00E2268E" w:rsidRDefault="00000000" w:rsidP="00E2268E">
      <w:pPr>
        <w:spacing w:after="12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3210600000:01:045:0232</w:t>
      </w:r>
    </w:p>
    <w:p w14:paraId="1689D3D4"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b/>
          <w:bCs/>
          <w:kern w:val="2"/>
          <w:sz w:val="28"/>
          <w:szCs w:val="24"/>
          <w:lang w:eastAsia="en-US"/>
          <w14:ligatures w14:val="standardContextual"/>
        </w:rPr>
        <w:t>Місце розташування (адміністративно-територіальна одиниця):</w:t>
      </w:r>
    </w:p>
    <w:p w14:paraId="40902FAD" w14:textId="77777777" w:rsidR="00E2268E" w:rsidRDefault="00000000" w:rsidP="00E2268E">
      <w:pPr>
        <w:spacing w:after="12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Київська область, Броварський район, м. Бровари, вул. Сергія Москаленка</w:t>
      </w:r>
    </w:p>
    <w:p w14:paraId="7681DA82" w14:textId="77777777" w:rsidR="00E2268E" w:rsidRPr="00E2268E" w:rsidRDefault="00E2268E" w:rsidP="00E2268E">
      <w:pPr>
        <w:spacing w:after="120" w:line="240" w:lineRule="auto"/>
        <w:ind w:firstLine="567"/>
        <w:jc w:val="both"/>
        <w:rPr>
          <w:rFonts w:ascii="Times New Roman" w:eastAsia="Calibri" w:hAnsi="Times New Roman" w:cs="Times New Roman"/>
          <w:kern w:val="2"/>
          <w:sz w:val="28"/>
          <w:szCs w:val="24"/>
          <w:lang w:eastAsia="en-US"/>
          <w14:ligatures w14:val="standardContextual"/>
        </w:rPr>
      </w:pPr>
    </w:p>
    <w:p w14:paraId="6EA8A52F" w14:textId="77777777" w:rsidR="00E2268E" w:rsidRPr="00E2268E" w:rsidRDefault="00000000" w:rsidP="00E2268E">
      <w:pPr>
        <w:spacing w:after="0" w:line="240" w:lineRule="auto"/>
        <w:ind w:firstLine="567"/>
        <w:jc w:val="both"/>
        <w:rPr>
          <w:rFonts w:ascii="Times New Roman" w:eastAsia="Calibri" w:hAnsi="Times New Roman" w:cs="Times New Roman"/>
          <w:b/>
          <w:bCs/>
          <w:kern w:val="2"/>
          <w:sz w:val="28"/>
          <w:szCs w:val="24"/>
          <w:lang w:eastAsia="en-US"/>
          <w14:ligatures w14:val="standardContextual"/>
        </w:rPr>
      </w:pPr>
      <w:r w:rsidRPr="00E2268E">
        <w:rPr>
          <w:rFonts w:ascii="Times New Roman" w:eastAsia="Calibri" w:hAnsi="Times New Roman" w:cs="Times New Roman"/>
          <w:b/>
          <w:bCs/>
          <w:kern w:val="2"/>
          <w:sz w:val="28"/>
          <w:szCs w:val="24"/>
          <w:lang w:eastAsia="en-US"/>
          <w14:ligatures w14:val="standardContextual"/>
        </w:rPr>
        <w:t>Категорія:</w:t>
      </w:r>
    </w:p>
    <w:p w14:paraId="56D5F4EF" w14:textId="77777777" w:rsidR="00E2268E" w:rsidRPr="00E2268E" w:rsidRDefault="00000000" w:rsidP="00E2268E">
      <w:pPr>
        <w:spacing w:after="120" w:line="240" w:lineRule="auto"/>
        <w:ind w:left="567"/>
        <w:jc w:val="both"/>
        <w:rPr>
          <w:rFonts w:ascii="Times New Roman" w:eastAsia="Calibri" w:hAnsi="Times New Roman" w:cs="Times New Roman"/>
          <w:b/>
          <w:bCs/>
          <w:color w:val="4E74A2"/>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Землі промисловості, транспорту, зв’язку, енергетики, оборони та іншого призначення</w:t>
      </w:r>
    </w:p>
    <w:p w14:paraId="69224E36" w14:textId="77777777" w:rsidR="00E2268E" w:rsidRPr="00E2268E" w:rsidRDefault="00000000" w:rsidP="00E2268E">
      <w:pPr>
        <w:spacing w:after="0" w:line="240" w:lineRule="auto"/>
        <w:ind w:firstLine="567"/>
        <w:jc w:val="both"/>
        <w:rPr>
          <w:rFonts w:ascii="Times New Roman" w:eastAsia="Calibri" w:hAnsi="Times New Roman" w:cs="Times New Roman"/>
          <w:b/>
          <w:bCs/>
          <w:kern w:val="2"/>
          <w:sz w:val="28"/>
          <w:szCs w:val="24"/>
          <w:lang w:eastAsia="en-US"/>
          <w14:ligatures w14:val="standardContextual"/>
        </w:rPr>
      </w:pPr>
      <w:r w:rsidRPr="00E2268E">
        <w:rPr>
          <w:rFonts w:ascii="Times New Roman" w:eastAsia="Calibri" w:hAnsi="Times New Roman" w:cs="Times New Roman"/>
          <w:b/>
          <w:bCs/>
          <w:kern w:val="2"/>
          <w:sz w:val="28"/>
          <w:szCs w:val="24"/>
          <w:lang w:eastAsia="en-US"/>
          <w14:ligatures w14:val="standardContextual"/>
        </w:rPr>
        <w:t>Цільове призначення:</w:t>
      </w:r>
    </w:p>
    <w:p w14:paraId="641F6234" w14:textId="77777777" w:rsidR="00E2268E" w:rsidRPr="00E2268E" w:rsidRDefault="00000000" w:rsidP="00E2268E">
      <w:pPr>
        <w:spacing w:after="0" w:line="240" w:lineRule="auto"/>
        <w:ind w:left="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p>
    <w:p w14:paraId="23075702" w14:textId="77777777" w:rsidR="00E2268E" w:rsidRPr="00E2268E" w:rsidRDefault="00000000" w:rsidP="00E2268E">
      <w:pPr>
        <w:spacing w:after="120" w:line="240" w:lineRule="auto"/>
        <w:ind w:left="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згідно витягу з Державного земельного кадастру про земельну ділянку від 18.04.2024 р. за №НВ-7100306582024, виданого Броварською міською радою Броварського району Київської області.</w:t>
      </w:r>
    </w:p>
    <w:p w14:paraId="6BA1B3B4"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b/>
          <w:bCs/>
          <w:kern w:val="2"/>
          <w:sz w:val="28"/>
          <w:szCs w:val="24"/>
          <w:lang w:eastAsia="en-US"/>
          <w14:ligatures w14:val="standardContextual"/>
        </w:rPr>
        <w:t xml:space="preserve">Форма власності: </w:t>
      </w:r>
      <w:r w:rsidRPr="00E2268E">
        <w:rPr>
          <w:rFonts w:ascii="Times New Roman" w:eastAsia="Calibri" w:hAnsi="Times New Roman" w:cs="Times New Roman"/>
          <w:kern w:val="2"/>
          <w:sz w:val="28"/>
          <w:szCs w:val="24"/>
          <w:lang w:eastAsia="en-US"/>
          <w14:ligatures w14:val="standardContextual"/>
        </w:rPr>
        <w:t>Комунальна</w:t>
      </w:r>
    </w:p>
    <w:p w14:paraId="3577E146" w14:textId="77777777" w:rsidR="004208DA" w:rsidRPr="00E2268E" w:rsidRDefault="004208DA" w:rsidP="003B2A39">
      <w:pPr>
        <w:spacing w:after="0"/>
        <w:rPr>
          <w:rFonts w:ascii="Times New Roman" w:hAnsi="Times New Roman" w:cs="Times New Roman"/>
          <w:b/>
          <w:sz w:val="32"/>
          <w:szCs w:val="28"/>
        </w:rPr>
      </w:pPr>
    </w:p>
    <w:p w14:paraId="530A0F06" w14:textId="77777777" w:rsidR="003B2A39" w:rsidRDefault="003B2A39" w:rsidP="003B2A39">
      <w:pPr>
        <w:spacing w:after="0"/>
        <w:rPr>
          <w:rFonts w:ascii="Times New Roman" w:hAnsi="Times New Roman" w:cs="Times New Roman"/>
          <w:b/>
          <w:sz w:val="28"/>
          <w:szCs w:val="28"/>
        </w:rPr>
      </w:pPr>
    </w:p>
    <w:p w14:paraId="43EF35CB" w14:textId="77777777" w:rsidR="00E2268E" w:rsidRDefault="00E2268E" w:rsidP="003B2A39">
      <w:pPr>
        <w:spacing w:after="0"/>
        <w:rPr>
          <w:rFonts w:ascii="Times New Roman" w:hAnsi="Times New Roman" w:cs="Times New Roman"/>
          <w:b/>
          <w:sz w:val="28"/>
          <w:szCs w:val="28"/>
        </w:rPr>
      </w:pPr>
    </w:p>
    <w:p w14:paraId="4AEF73B4" w14:textId="77777777" w:rsidR="00E2268E" w:rsidRDefault="00E2268E" w:rsidP="003B2A39">
      <w:pPr>
        <w:spacing w:after="0"/>
        <w:rPr>
          <w:rFonts w:ascii="Times New Roman" w:hAnsi="Times New Roman" w:cs="Times New Roman"/>
          <w:b/>
          <w:sz w:val="28"/>
          <w:szCs w:val="28"/>
        </w:rPr>
      </w:pPr>
    </w:p>
    <w:p w14:paraId="5F369AC1" w14:textId="77777777" w:rsidR="00E2268E" w:rsidRPr="00E2268E" w:rsidRDefault="00000000" w:rsidP="00E2268E">
      <w:pPr>
        <w:spacing w:after="160" w:line="240" w:lineRule="auto"/>
        <w:jc w:val="center"/>
        <w:rPr>
          <w:rFonts w:ascii="Times New Roman" w:eastAsia="Calibri" w:hAnsi="Times New Roman" w:cs="Times New Roman"/>
          <w:b/>
          <w:bCs/>
          <w:caps/>
          <w:kern w:val="2"/>
          <w:sz w:val="28"/>
          <w:szCs w:val="24"/>
          <w:lang w:eastAsia="en-US"/>
          <w14:ligatures w14:val="standardContextual"/>
        </w:rPr>
      </w:pPr>
      <w:r w:rsidRPr="00E2268E">
        <w:rPr>
          <w:rFonts w:ascii="Times New Roman" w:eastAsia="Calibri" w:hAnsi="Times New Roman" w:cs="Times New Roman"/>
          <w:b/>
          <w:bCs/>
          <w:caps/>
          <w:kern w:val="2"/>
          <w:sz w:val="28"/>
          <w:szCs w:val="24"/>
          <w:lang w:eastAsia="en-US"/>
          <w14:ligatures w14:val="standardContextual"/>
        </w:rPr>
        <w:lastRenderedPageBreak/>
        <w:t>Київська область</w:t>
      </w:r>
    </w:p>
    <w:p w14:paraId="4CDBBA33" w14:textId="77777777" w:rsidR="00E2268E" w:rsidRDefault="00000000"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E2268E">
        <w:rPr>
          <w:rFonts w:ascii="Times New Roman" w:eastAsia="Calibri" w:hAnsi="Times New Roman" w:cs="Times New Roman"/>
          <w:kern w:val="2"/>
          <w:sz w:val="28"/>
          <w:szCs w:val="24"/>
          <w:lang w:eastAsia="en-US"/>
          <w14:ligatures w14:val="standardContextual"/>
        </w:rPr>
        <w:t>Київська область розташована на півночі України у межах таких природно-географічних регіонів, як Полісся (північно-західна частина області), Лісова зона (північна частина) і лісостеп (південна частина). Вона межує з Житомирською, Вінницькою, Черкаською, Полтавською та Чернігівською областями України, а також має вихід до Гомельської області Білорусі. Територія Київської області становить 28,1 тис. км</w:t>
      </w:r>
      <w:r w:rsidRPr="00E2268E">
        <w:rPr>
          <w:rFonts w:ascii="Times New Roman" w:eastAsia="Calibri" w:hAnsi="Times New Roman" w:cs="Times New Roman"/>
          <w:kern w:val="2"/>
          <w:sz w:val="28"/>
          <w:szCs w:val="24"/>
          <w:vertAlign w:val="superscript"/>
          <w:lang w:eastAsia="en-US"/>
          <w14:ligatures w14:val="standardContextual"/>
        </w:rPr>
        <w:t>2</w:t>
      </w:r>
      <w:r w:rsidRPr="00E2268E">
        <w:rPr>
          <w:rFonts w:ascii="Times New Roman" w:eastAsia="Calibri" w:hAnsi="Times New Roman" w:cs="Times New Roman"/>
          <w:kern w:val="2"/>
          <w:sz w:val="28"/>
          <w:szCs w:val="24"/>
          <w:lang w:eastAsia="en-US"/>
          <w14:ligatures w14:val="standardContextual"/>
        </w:rPr>
        <w:t>, що складає 4,7% площі України. За адміністративним поділом Київська область поділяється на 7 районів, налічує 69 територіальних громад та 489 старостинських округів. В області налічується 26 міст, 30 селищ міського типу та 1121 сільських населених пунктів.</w:t>
      </w:r>
    </w:p>
    <w:p w14:paraId="2483196F" w14:textId="77777777" w:rsidR="00E2268E" w:rsidRPr="00E2268E" w:rsidRDefault="00E2268E" w:rsidP="00E2268E">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14:paraId="5473882C" w14:textId="77777777" w:rsidR="00E2268E" w:rsidRPr="00EE06C3" w:rsidRDefault="00000000" w:rsidP="003B2A39">
      <w:pPr>
        <w:spacing w:after="0"/>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D91C0A8" wp14:editId="6B98BC4E">
            <wp:extent cx="2914015" cy="362712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914015" cy="3627120"/>
                    </a:xfrm>
                    <a:prstGeom prst="rect">
                      <a:avLst/>
                    </a:prstGeom>
                    <a:noFill/>
                  </pic:spPr>
                </pic:pic>
              </a:graphicData>
            </a:graphic>
          </wp:inline>
        </w:drawing>
      </w:r>
      <w:r>
        <w:rPr>
          <w:rFonts w:ascii="Times New Roman" w:hAnsi="Times New Roman" w:cs="Times New Roman"/>
          <w:b/>
          <w:noProof/>
          <w:sz w:val="28"/>
          <w:szCs w:val="28"/>
        </w:rPr>
        <w:drawing>
          <wp:inline distT="0" distB="0" distL="0" distR="0" wp14:anchorId="5D7CDCEB" wp14:editId="1A340275">
            <wp:extent cx="3030220" cy="3816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30220" cy="3816350"/>
                    </a:xfrm>
                    <a:prstGeom prst="rect">
                      <a:avLst/>
                    </a:prstGeom>
                    <a:noFill/>
                  </pic:spPr>
                </pic:pic>
              </a:graphicData>
            </a:graphic>
          </wp:inline>
        </w:drawing>
      </w:r>
    </w:p>
    <w:p w14:paraId="6F3BD972" w14:textId="77777777" w:rsidR="003B2A39" w:rsidRDefault="00000000" w:rsidP="00E2268E">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84F093C" wp14:editId="6B222E9E">
            <wp:extent cx="4097020" cy="273748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097020" cy="2737485"/>
                    </a:xfrm>
                    <a:prstGeom prst="rect">
                      <a:avLst/>
                    </a:prstGeom>
                    <a:noFill/>
                  </pic:spPr>
                </pic:pic>
              </a:graphicData>
            </a:graphic>
          </wp:inline>
        </w:drawing>
      </w:r>
    </w:p>
    <w:p w14:paraId="6611E5F8" w14:textId="77777777" w:rsidR="00E2268E" w:rsidRPr="00E2268E" w:rsidRDefault="00000000" w:rsidP="00E2268E">
      <w:pPr>
        <w:spacing w:after="0" w:line="240" w:lineRule="auto"/>
        <w:jc w:val="center"/>
        <w:rPr>
          <w:rFonts w:ascii="Times New Roman" w:eastAsia="Calibri" w:hAnsi="Times New Roman" w:cs="Times New Roman"/>
          <w:b/>
          <w:bCs/>
          <w:kern w:val="2"/>
          <w:sz w:val="28"/>
          <w:szCs w:val="28"/>
          <w:lang w:eastAsia="en-US"/>
          <w14:ligatures w14:val="standardContextual"/>
        </w:rPr>
      </w:pPr>
      <w:r w:rsidRPr="00E2268E">
        <w:rPr>
          <w:rFonts w:ascii="Times New Roman" w:eastAsia="Calibri" w:hAnsi="Times New Roman" w:cs="Times New Roman"/>
          <w:b/>
          <w:bCs/>
          <w:kern w:val="2"/>
          <w:sz w:val="28"/>
          <w:szCs w:val="28"/>
          <w:lang w:eastAsia="en-US"/>
          <w14:ligatures w14:val="standardContextual"/>
        </w:rPr>
        <w:lastRenderedPageBreak/>
        <w:t>Транспортна інфраструктура</w:t>
      </w:r>
    </w:p>
    <w:p w14:paraId="57B0492A" w14:textId="77777777" w:rsidR="00E2268E" w:rsidRPr="00E2268E" w:rsidRDefault="00E2268E" w:rsidP="00E2268E">
      <w:pPr>
        <w:spacing w:after="0" w:line="240" w:lineRule="auto"/>
        <w:jc w:val="center"/>
        <w:rPr>
          <w:rFonts w:ascii="Times New Roman" w:eastAsia="Calibri" w:hAnsi="Times New Roman" w:cs="Times New Roman"/>
          <w:b/>
          <w:bCs/>
          <w:color w:val="0070C0"/>
          <w:kern w:val="2"/>
          <w:sz w:val="28"/>
          <w:szCs w:val="28"/>
          <w:lang w:eastAsia="en-US"/>
          <w14:ligatures w14:val="standardContextual"/>
        </w:rPr>
      </w:pPr>
    </w:p>
    <w:p w14:paraId="20F3A395" w14:textId="77777777" w:rsidR="00E2268E"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Київська область має одну з найбільш розвинутих транспортних мереж в Україні, що включає важливі залізничні, автомобільні, трубопровідні й електричні магістралі, які з'єднують Україну з рештою регіонів країни та з країнами Європи.</w:t>
      </w:r>
    </w:p>
    <w:p w14:paraId="3DD73E01" w14:textId="77777777" w:rsidR="00E2268E" w:rsidRP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5729305" w14:textId="77777777" w:rsidR="00E2268E"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Експлуатаційна довжина залізниці в області сягає 1100 км. Крім Києва (який є обласним центром, але не входить до складу області), найбільшими залізничними вузлами в області є Фастів і Миронівка. Міжнародні залізничні маршрути з’єднують Україну з європейськими столицями — Белградом, Братиславою, Будапештом, Бухарестом, Варшавою, Прагою та Софією. Автомобільні магістралі регіону забезпечують зв’язок з Центральною та Південною Європою, а також країнами Балтії.</w:t>
      </w:r>
    </w:p>
    <w:p w14:paraId="177ED473" w14:textId="77777777" w:rsidR="00E2268E" w:rsidRPr="00E2268E" w:rsidRDefault="00E2268E"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77A90B01" w14:textId="77777777" w:rsidR="00E2268E" w:rsidRPr="00E2268E" w:rsidRDefault="00000000" w:rsidP="00E2268E">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Основні автомобільні шляхи, що проходять територією Київщини:</w:t>
      </w:r>
    </w:p>
    <w:p w14:paraId="2B180D4A" w14:textId="77777777" w:rsidR="00E2268E" w:rsidRPr="00E2268E"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європейські: Е95 (Гомель – Київ – Одеса – Самсун – Мерзифон), Е40 (Франція – Бельгія – Німеччина – Польща – Україна), Е373 (Київ – Коростень – Сарни – Ковель – Холм – Люблін);</w:t>
      </w:r>
    </w:p>
    <w:p w14:paraId="54C2A753" w14:textId="77777777" w:rsidR="00E2268E" w:rsidRPr="00E2268E"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міжнародні: М01 (Київ – Чернігів – Нові Яриловичі), М03 (Київ – Харків), М07 (Київ – Ковель – Ягодин);</w:t>
      </w:r>
    </w:p>
    <w:p w14:paraId="4A99F404" w14:textId="77777777" w:rsidR="00E2268E" w:rsidRPr="00E2268E"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національні: Н01 (Київ – Знам’янка), Н07 (Київ – Суми), Н08 (Бориспіль – Кременчук – Дніпро – Запоріжжя – Пологи – Маріуполь);</w:t>
      </w:r>
    </w:p>
    <w:p w14:paraId="0F3327A1" w14:textId="77777777" w:rsidR="00E2268E" w:rsidRDefault="00000000" w:rsidP="00E2268E">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E2268E">
        <w:rPr>
          <w:rFonts w:ascii="Times New Roman" w:eastAsia="Calibri" w:hAnsi="Times New Roman" w:cs="Times New Roman"/>
          <w:kern w:val="2"/>
          <w:sz w:val="28"/>
          <w:szCs w:val="28"/>
          <w:lang w:eastAsia="en-US"/>
          <w14:ligatures w14:val="standardContextual"/>
        </w:rPr>
        <w:t>регіональні: Р01 (Київ – Обухів), Р03 (Бориспіль – Велика Олександрівка; сполучає міжнародні шляхи М01 та М03), Р04 (Київ – Звенигородка), Р09 (Миронівка – Канів), Р19 (Фастів – Ржищів).</w:t>
      </w:r>
    </w:p>
    <w:p w14:paraId="38840DBA" w14:textId="77777777" w:rsidR="00E2268E" w:rsidRPr="00E2268E" w:rsidRDefault="00E2268E" w:rsidP="00E2268E">
      <w:pPr>
        <w:spacing w:after="0" w:line="240" w:lineRule="auto"/>
        <w:ind w:left="851"/>
        <w:jc w:val="both"/>
        <w:rPr>
          <w:rFonts w:ascii="Times New Roman" w:eastAsia="Calibri" w:hAnsi="Times New Roman" w:cs="Times New Roman"/>
          <w:kern w:val="2"/>
          <w:sz w:val="28"/>
          <w:szCs w:val="28"/>
          <w:lang w:eastAsia="en-US"/>
          <w14:ligatures w14:val="standardContextual"/>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BF2"/>
        <w:tblLook w:val="04A0" w:firstRow="1" w:lastRow="0" w:firstColumn="1" w:lastColumn="0" w:noHBand="0" w:noVBand="1"/>
      </w:tblPr>
      <w:tblGrid>
        <w:gridCol w:w="4058"/>
        <w:gridCol w:w="5440"/>
      </w:tblGrid>
      <w:tr w:rsidR="00F37DCB" w14:paraId="01B91F6F" w14:textId="77777777" w:rsidTr="00E2268E">
        <w:tc>
          <w:tcPr>
            <w:tcW w:w="4111" w:type="dxa"/>
            <w:shd w:val="clear" w:color="auto" w:fill="E5EBF2"/>
            <w:hideMark/>
          </w:tcPr>
          <w:p w14:paraId="3D0F61ED" w14:textId="77777777" w:rsidR="00E2268E" w:rsidRPr="00E2268E" w:rsidRDefault="00000000" w:rsidP="00E2268E">
            <w:pPr>
              <w:spacing w:after="120"/>
              <w:ind w:right="-57"/>
              <w:jc w:val="both"/>
              <w:rPr>
                <w:rFonts w:ascii="Times New Roman" w:hAnsi="Times New Roman"/>
                <w:sz w:val="26"/>
                <w:szCs w:val="26"/>
              </w:rPr>
            </w:pPr>
            <w:r w:rsidRPr="00E2268E">
              <w:rPr>
                <w:rFonts w:ascii="Times New Roman" w:hAnsi="Times New Roman"/>
                <w:sz w:val="26"/>
                <w:szCs w:val="26"/>
              </w:rPr>
              <w:t>Відстань від м. Києва до основних морських портів:</w:t>
            </w:r>
          </w:p>
          <w:p w14:paraId="122C9445" w14:textId="77777777" w:rsidR="00E2268E" w:rsidRPr="00E2268E" w:rsidRDefault="00000000" w:rsidP="00E2268E">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Одеса – 476 км</w:t>
            </w:r>
          </w:p>
          <w:p w14:paraId="5340E65E" w14:textId="77777777" w:rsidR="00E2268E" w:rsidRPr="00E2268E" w:rsidRDefault="00000000" w:rsidP="00E2268E">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Гданськ – 1183 км</w:t>
            </w:r>
          </w:p>
          <w:p w14:paraId="7BD2930A" w14:textId="77777777" w:rsidR="00E2268E" w:rsidRPr="00E2268E" w:rsidRDefault="00000000" w:rsidP="00E2268E">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Гамбург – 1668 км</w:t>
            </w:r>
          </w:p>
          <w:p w14:paraId="585FE03E" w14:textId="77777777" w:rsidR="00E2268E" w:rsidRPr="00E2268E" w:rsidRDefault="00000000" w:rsidP="00E2268E">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Роттердам – 2013 км</w:t>
            </w:r>
          </w:p>
          <w:p w14:paraId="712A7CDE" w14:textId="77777777" w:rsidR="00E2268E" w:rsidRPr="00E2268E" w:rsidRDefault="00000000" w:rsidP="00E2268E">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Антверпен – 2068 км</w:t>
            </w:r>
          </w:p>
        </w:tc>
        <w:tc>
          <w:tcPr>
            <w:tcW w:w="5516" w:type="dxa"/>
            <w:shd w:val="clear" w:color="auto" w:fill="E5EBF2"/>
            <w:hideMark/>
          </w:tcPr>
          <w:p w14:paraId="06054265" w14:textId="77777777" w:rsidR="00E2268E" w:rsidRPr="00E2268E" w:rsidRDefault="00000000" w:rsidP="00E2268E">
            <w:pPr>
              <w:spacing w:after="120"/>
              <w:ind w:right="-57"/>
              <w:jc w:val="both"/>
              <w:rPr>
                <w:rFonts w:ascii="Times New Roman" w:hAnsi="Times New Roman"/>
                <w:sz w:val="26"/>
                <w:szCs w:val="26"/>
              </w:rPr>
            </w:pPr>
            <w:r w:rsidRPr="00E2268E">
              <w:rPr>
                <w:rFonts w:ascii="Times New Roman" w:hAnsi="Times New Roman"/>
                <w:sz w:val="26"/>
                <w:szCs w:val="26"/>
              </w:rPr>
              <w:t>Відстані до міждержавних вантажно-пасажирських пунктів пропуску через державні кордони з:</w:t>
            </w:r>
          </w:p>
          <w:p w14:paraId="12D0C5FB" w14:textId="77777777" w:rsidR="00E2268E" w:rsidRPr="00E2268E" w:rsidRDefault="00000000" w:rsidP="00E2268E">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Молдовою – 387 км</w:t>
            </w:r>
          </w:p>
          <w:p w14:paraId="6E47E4E1" w14:textId="77777777" w:rsidR="00E2268E" w:rsidRPr="00E2268E" w:rsidRDefault="00000000" w:rsidP="00E2268E">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Польщею – 508 км</w:t>
            </w:r>
          </w:p>
          <w:p w14:paraId="57247C81" w14:textId="77777777" w:rsidR="00E2268E" w:rsidRPr="00E2268E" w:rsidRDefault="00000000" w:rsidP="00E2268E">
            <w:pPr>
              <w:numPr>
                <w:ilvl w:val="0"/>
                <w:numId w:val="8"/>
              </w:numPr>
              <w:tabs>
                <w:tab w:val="left" w:pos="601"/>
              </w:tabs>
              <w:spacing w:after="200"/>
              <w:ind w:left="324"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Румунією – 792 км</w:t>
            </w:r>
          </w:p>
          <w:p w14:paraId="2DC948F1" w14:textId="77777777" w:rsidR="00E2268E" w:rsidRPr="00E2268E" w:rsidRDefault="00000000" w:rsidP="00E2268E">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Угорщиною – 804 км</w:t>
            </w:r>
          </w:p>
          <w:p w14:paraId="1E00047E" w14:textId="77777777" w:rsidR="00E2268E" w:rsidRPr="00E2268E" w:rsidRDefault="00000000" w:rsidP="00E2268E">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E2268E">
              <w:rPr>
                <w:rFonts w:ascii="Times New Roman" w:eastAsia="Times New Roman" w:hAnsi="Times New Roman"/>
                <w:sz w:val="26"/>
                <w:szCs w:val="26"/>
              </w:rPr>
              <w:t>Словаччиною – 815 км</w:t>
            </w:r>
          </w:p>
        </w:tc>
      </w:tr>
    </w:tbl>
    <w:p w14:paraId="35F787A4" w14:textId="77777777" w:rsidR="00E2268E" w:rsidRPr="00E2268E" w:rsidRDefault="00E2268E" w:rsidP="00E2268E">
      <w:pPr>
        <w:spacing w:after="0" w:line="240" w:lineRule="auto"/>
        <w:jc w:val="both"/>
        <w:rPr>
          <w:rFonts w:ascii="Times New Roman" w:eastAsia="Calibri" w:hAnsi="Times New Roman" w:cs="Times New Roman"/>
          <w:kern w:val="2"/>
          <w:sz w:val="28"/>
          <w:szCs w:val="28"/>
          <w:lang w:eastAsia="en-US"/>
          <w14:ligatures w14:val="standardContextual"/>
        </w:rPr>
      </w:pPr>
    </w:p>
    <w:p w14:paraId="741B7FC2" w14:textId="77777777" w:rsidR="00E2268E" w:rsidRPr="00E2268E" w:rsidRDefault="00000000" w:rsidP="00E2268E">
      <w:pPr>
        <w:spacing w:after="0" w:line="240" w:lineRule="auto"/>
        <w:jc w:val="center"/>
        <w:rPr>
          <w:rFonts w:ascii="Times New Roman" w:eastAsia="Calibri" w:hAnsi="Times New Roman" w:cs="Times New Roman"/>
          <w:b/>
          <w:bCs/>
          <w:kern w:val="2"/>
          <w:sz w:val="28"/>
          <w:szCs w:val="28"/>
          <w:lang w:eastAsia="en-US"/>
          <w14:ligatures w14:val="standardContextual"/>
        </w:rPr>
      </w:pPr>
      <w:r w:rsidRPr="00E2268E">
        <w:rPr>
          <w:rFonts w:ascii="Times New Roman" w:eastAsia="Calibri" w:hAnsi="Times New Roman" w:cs="Times New Roman"/>
          <w:b/>
          <w:bCs/>
          <w:kern w:val="2"/>
          <w:sz w:val="28"/>
          <w:szCs w:val="28"/>
          <w:lang w:eastAsia="en-US"/>
          <w14:ligatures w14:val="standardContextual"/>
        </w:rPr>
        <w:t>Динаміка соціально-економічного розвитку Київської області</w:t>
      </w:r>
    </w:p>
    <w:p w14:paraId="5E013CDF" w14:textId="77777777" w:rsidR="00E2268E" w:rsidRPr="00E2268E" w:rsidRDefault="00E2268E" w:rsidP="00E2268E">
      <w:pPr>
        <w:spacing w:after="0" w:line="240" w:lineRule="auto"/>
        <w:jc w:val="center"/>
        <w:rPr>
          <w:rFonts w:ascii="Times New Roman" w:eastAsia="Calibri" w:hAnsi="Times New Roman" w:cs="Times New Roman"/>
          <w:b/>
          <w:bCs/>
          <w:color w:val="0070C0"/>
          <w:kern w:val="2"/>
          <w:sz w:val="28"/>
          <w:szCs w:val="28"/>
          <w:lang w:eastAsia="en-US"/>
          <w14:ligatures w14:val="standardContextual"/>
        </w:rPr>
      </w:pPr>
    </w:p>
    <w:p w14:paraId="7089198A" w14:textId="77777777" w:rsidR="00E2268E" w:rsidRPr="00E2268E" w:rsidRDefault="00000000" w:rsidP="00E2268E">
      <w:pPr>
        <w:spacing w:after="0" w:line="240" w:lineRule="auto"/>
        <w:ind w:firstLine="567"/>
        <w:jc w:val="both"/>
        <w:rPr>
          <w:rFonts w:ascii="Times New Roman" w:hAnsi="Times New Roman" w:cs="Times New Roman"/>
          <w:b/>
          <w:sz w:val="28"/>
          <w:szCs w:val="28"/>
        </w:rPr>
      </w:pPr>
      <w:r w:rsidRPr="00E2268E">
        <w:rPr>
          <w:rFonts w:ascii="Times New Roman" w:eastAsia="Calibri" w:hAnsi="Times New Roman" w:cs="Times New Roman"/>
          <w:sz w:val="28"/>
          <w:szCs w:val="28"/>
          <w:lang w:eastAsia="en-US"/>
        </w:rPr>
        <w:t>Повномасштабне вторгнення росії в Україну спричинило глибокі соціально-економічні наслідки: значні людські втрати, примусову міграцію та внутрішнє переміщення населення, а також руйнування критичної інфраструктури. Для вітчизняної промисловості війна стала безпрецедентним викликом: десятки підприємств знищено внаслідок обстрілів, морські порти</w:t>
      </w:r>
    </w:p>
    <w:p w14:paraId="56A5BDDD" w14:textId="77777777" w:rsidR="003B2A39" w:rsidRPr="00EE06C3" w:rsidRDefault="003B2A39" w:rsidP="003B2A39">
      <w:pPr>
        <w:spacing w:after="0"/>
        <w:rPr>
          <w:rFonts w:ascii="Times New Roman" w:hAnsi="Times New Roman" w:cs="Times New Roman"/>
          <w:b/>
          <w:sz w:val="28"/>
          <w:szCs w:val="28"/>
        </w:rPr>
      </w:pPr>
    </w:p>
    <w:p w14:paraId="2F71B582" w14:textId="77777777" w:rsidR="00442B57" w:rsidRPr="00442B57" w:rsidRDefault="00000000" w:rsidP="00442B57">
      <w:pPr>
        <w:spacing w:after="0" w:line="240" w:lineRule="auto"/>
        <w:jc w:val="both"/>
        <w:rPr>
          <w:rFonts w:ascii="Times New Roman" w:eastAsia="Calibri" w:hAnsi="Times New Roman" w:cs="Times New Roman"/>
          <w:kern w:val="2"/>
          <w:sz w:val="28"/>
          <w:szCs w:val="24"/>
          <w:lang w:eastAsia="en-US"/>
          <w14:ligatures w14:val="standardContextual"/>
        </w:rPr>
      </w:pPr>
      <w:r w:rsidRPr="00442B57">
        <w:rPr>
          <w:rFonts w:ascii="Times New Roman" w:eastAsia="Calibri" w:hAnsi="Times New Roman" w:cs="Times New Roman"/>
          <w:kern w:val="2"/>
          <w:sz w:val="28"/>
          <w:szCs w:val="24"/>
          <w:lang w:eastAsia="en-US"/>
          <w14:ligatures w14:val="standardContextual"/>
        </w:rPr>
        <w:lastRenderedPageBreak/>
        <w:t>заблоковано, що паралізувало зовнішню торгівлю, а масова міграція населення різко звузила внутрішній ринок збуту.</w:t>
      </w:r>
    </w:p>
    <w:p w14:paraId="384CF71F"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442B57">
        <w:rPr>
          <w:rFonts w:ascii="Times New Roman" w:eastAsia="Calibri" w:hAnsi="Times New Roman" w:cs="Times New Roman"/>
          <w:kern w:val="2"/>
          <w:sz w:val="28"/>
          <w:szCs w:val="24"/>
          <w:lang w:eastAsia="en-US"/>
          <w14:ligatures w14:val="standardContextual"/>
        </w:rPr>
        <w:t>Багато виробництв зупинили роботу через безпосередню військову загрозу, перебої з логістикою або втрату доступу до сировинних ресурсів і традиційних ринків збуту. Ці фактори кардинально змінили структуру української економіки, порушивши існуючі міжгалузеві зв’язки та змусивши бізнес адаптуватися до нових умов у умовах війни.</w:t>
      </w:r>
    </w:p>
    <w:p w14:paraId="7BB13142"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442B57">
        <w:rPr>
          <w:rFonts w:ascii="Times New Roman" w:eastAsia="Calibri" w:hAnsi="Times New Roman" w:cs="Times New Roman"/>
          <w:kern w:val="2"/>
          <w:sz w:val="28"/>
          <w:szCs w:val="24"/>
          <w:lang w:eastAsia="en-US"/>
          <w14:ligatures w14:val="standardContextual"/>
        </w:rPr>
        <w:t xml:space="preserve">Окремі райони Київської області зазнали прямого окупаційного впливу у період між 24 лютого та 2 квітня 2022 р. Під окупацією опинилася значна частина півночі Київщини (Іванків, Бородянка, Димер), міста-супутники столиці (Ворзель, Гостомель, Буча, Ірпінь), Макарів і низка прилеглих сіл; була спроба прориву на Київ з боку Броварів та висадки десанту у Василькові. У результаті бойових дій та ворожих терористичних обстрілів зруйновано численні виробничі та інфраструктурні об’єкти, складські приміщення, будівлі житлового фонду. </w:t>
      </w:r>
    </w:p>
    <w:p w14:paraId="57BB9860"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442B57">
        <w:rPr>
          <w:rFonts w:ascii="Times New Roman" w:eastAsia="Calibri" w:hAnsi="Times New Roman" w:cs="Times New Roman"/>
          <w:kern w:val="2"/>
          <w:sz w:val="28"/>
          <w:szCs w:val="24"/>
          <w:lang w:eastAsia="en-US"/>
          <w14:ligatures w14:val="standardContextual"/>
        </w:rPr>
        <w:t>Після визволення регіону значних економічних втрат продовжують завдавати загальні проблеми воєнного часу періодичні перебої з енергопостачанням, проблеми з логістикою, складнощі з ланцюгами поставок сировини та матеріалів внаслідок руйнування виробничих комплексів на сході країни, низький рівень приватного споживання та інвестицій через падіння купівельної спроможності громадян, зростаюче безробіття, високий рівень міграції за кордон і проблеми з працевлаштуванням великої кількості внутрішньо переміщених осіб.</w:t>
      </w:r>
    </w:p>
    <w:p w14:paraId="52D18E30"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442B57">
        <w:rPr>
          <w:rFonts w:ascii="Times New Roman" w:eastAsia="Calibri" w:hAnsi="Times New Roman" w:cs="Times New Roman"/>
          <w:kern w:val="2"/>
          <w:sz w:val="28"/>
          <w:szCs w:val="24"/>
          <w:lang w:eastAsia="en-US"/>
          <w14:ligatures w14:val="standardContextual"/>
        </w:rPr>
        <w:t>Однією з істотних перешкод для аналізу та прогнозування соціально-економічного розвитку регіону залишається обмеженість актуальних статистичних даних, що ускладнює комплексне оцінювання поточної ситуації. Проте, за наявними даними Головного управління статистики у Київській області, можна чітко відстежити структурні зміни в господарському комплексі, динаміку капітальних інвестицій та рівень зайнятості в регіоні.</w:t>
      </w:r>
    </w:p>
    <w:p w14:paraId="4C48B62E"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442B57">
        <w:rPr>
          <w:rFonts w:ascii="Times New Roman" w:eastAsia="Calibri" w:hAnsi="Times New Roman" w:cs="Times New Roman"/>
          <w:kern w:val="2"/>
          <w:sz w:val="28"/>
          <w:szCs w:val="24"/>
          <w:lang w:eastAsia="en-US"/>
          <w14:ligatures w14:val="standardContextual"/>
        </w:rPr>
        <w:t>Кількість зайнятих працівників на підприємствах Київщини у 2022 р. зменшилась з 338,2 тис. до 303,2 тис. осіб (на 10,3%), а за підсумками 2024 р. цей показник впав до 288,3 тис. осіб, що на 14,8% нижче за рівень 2021 р. Втім, промисловий сектор продовжує бути найбільшим роботодавцем у регіоні, адже на підприємствах промисловості у 2024 р. було зайнято 30,8% усіх працівників підприємств Київської області. Іншими великими осередками зайнятості в регіоні залишають обслуговуючі сектори: оптова і роздрібна торгівля, ремонт транспортних засобів (21,9%); транспорт, складське господарство, поштова та кур’єрська діяльність (7,5%). Поряд з цим, вагома кількість зайнятих зосереджена у сільськогосподарському секторі (11,9%), охороні здоров’я і надання соціальних послуг (9,7%), будівництві (табл. 1).</w:t>
      </w:r>
    </w:p>
    <w:p w14:paraId="1C81EE63" w14:textId="77777777" w:rsidR="00442B57" w:rsidRDefault="00442B57" w:rsidP="00442B57">
      <w:pPr>
        <w:spacing w:after="0" w:line="240" w:lineRule="auto"/>
        <w:jc w:val="both"/>
        <w:rPr>
          <w:rFonts w:ascii="Times New Roman" w:eastAsia="Calibri" w:hAnsi="Times New Roman" w:cs="Times New Roman"/>
          <w:b/>
          <w:bCs/>
          <w:color w:val="809EC2"/>
          <w:kern w:val="2"/>
          <w:sz w:val="28"/>
          <w:szCs w:val="24"/>
          <w:lang w:eastAsia="en-US"/>
          <w14:ligatures w14:val="standardContextual"/>
        </w:rPr>
      </w:pPr>
    </w:p>
    <w:p w14:paraId="3FA3001E" w14:textId="77777777" w:rsidR="00442B57" w:rsidRDefault="00442B57" w:rsidP="00442B57">
      <w:pPr>
        <w:spacing w:after="0" w:line="240" w:lineRule="auto"/>
        <w:jc w:val="both"/>
        <w:rPr>
          <w:rFonts w:ascii="Times New Roman" w:eastAsia="Calibri" w:hAnsi="Times New Roman" w:cs="Times New Roman"/>
          <w:b/>
          <w:bCs/>
          <w:color w:val="809EC2"/>
          <w:kern w:val="2"/>
          <w:sz w:val="28"/>
          <w:szCs w:val="24"/>
          <w:lang w:eastAsia="en-US"/>
          <w14:ligatures w14:val="standardContextual"/>
        </w:rPr>
      </w:pPr>
    </w:p>
    <w:p w14:paraId="6B48428E" w14:textId="77777777" w:rsidR="00442B57" w:rsidRDefault="00442B57" w:rsidP="00442B57">
      <w:pPr>
        <w:spacing w:after="0" w:line="240" w:lineRule="auto"/>
        <w:jc w:val="both"/>
        <w:rPr>
          <w:rFonts w:ascii="Times New Roman" w:eastAsia="Calibri" w:hAnsi="Times New Roman" w:cs="Times New Roman"/>
          <w:b/>
          <w:bCs/>
          <w:color w:val="809EC2"/>
          <w:kern w:val="2"/>
          <w:sz w:val="28"/>
          <w:szCs w:val="24"/>
          <w:lang w:eastAsia="en-US"/>
          <w14:ligatures w14:val="standardContextual"/>
        </w:rPr>
      </w:pPr>
    </w:p>
    <w:p w14:paraId="4E2E429D" w14:textId="77777777" w:rsidR="00442B57" w:rsidRPr="00E27A66" w:rsidRDefault="00000000" w:rsidP="00442B57">
      <w:pPr>
        <w:spacing w:after="0" w:line="240" w:lineRule="auto"/>
        <w:jc w:val="center"/>
        <w:rPr>
          <w:rFonts w:ascii="Times New Roman" w:eastAsia="Calibri" w:hAnsi="Times New Roman" w:cs="Times New Roman"/>
          <w:kern w:val="2"/>
          <w:sz w:val="28"/>
          <w:szCs w:val="24"/>
          <w:lang w:eastAsia="en-US"/>
          <w14:ligatures w14:val="standardContextual"/>
        </w:rPr>
      </w:pPr>
      <w:r w:rsidRPr="00E27A66">
        <w:rPr>
          <w:rFonts w:ascii="Times New Roman" w:eastAsia="Calibri" w:hAnsi="Times New Roman" w:cs="Times New Roman"/>
          <w:b/>
          <w:bCs/>
          <w:kern w:val="2"/>
          <w:sz w:val="28"/>
          <w:szCs w:val="24"/>
          <w:lang w:eastAsia="en-US"/>
          <w14:ligatures w14:val="standardContextual"/>
        </w:rPr>
        <w:lastRenderedPageBreak/>
        <w:t>Табл. 1.</w:t>
      </w:r>
      <w:r w:rsidRPr="00E27A66">
        <w:rPr>
          <w:rFonts w:ascii="Times New Roman" w:eastAsia="Calibri" w:hAnsi="Times New Roman" w:cs="Times New Roman"/>
          <w:kern w:val="2"/>
          <w:sz w:val="28"/>
          <w:szCs w:val="24"/>
          <w:lang w:eastAsia="en-US"/>
          <w14:ligatures w14:val="standardContextual"/>
        </w:rPr>
        <w:t xml:space="preserve"> Окремі показники господарської діяльності підприємств Київської області за видами економічної діяльності у 2024 рр.</w:t>
      </w:r>
    </w:p>
    <w:tbl>
      <w:tblPr>
        <w:tblStyle w:val="3"/>
        <w:tblW w:w="0" w:type="auto"/>
        <w:tblLayout w:type="fixed"/>
        <w:tblLook w:val="04A0" w:firstRow="1" w:lastRow="0" w:firstColumn="1" w:lastColumn="0" w:noHBand="0" w:noVBand="1"/>
      </w:tblPr>
      <w:tblGrid>
        <w:gridCol w:w="3485"/>
        <w:gridCol w:w="894"/>
        <w:gridCol w:w="874"/>
        <w:gridCol w:w="875"/>
        <w:gridCol w:w="875"/>
        <w:gridCol w:w="874"/>
        <w:gridCol w:w="875"/>
        <w:gridCol w:w="875"/>
      </w:tblGrid>
      <w:tr w:rsidR="00F37DCB" w14:paraId="646E5C8F" w14:textId="77777777" w:rsidTr="00442B57">
        <w:tc>
          <w:tcPr>
            <w:tcW w:w="3485"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14:paraId="5FBE52C8" w14:textId="77777777" w:rsidR="00442B57" w:rsidRPr="00442B57" w:rsidRDefault="00000000" w:rsidP="00442B57">
            <w:pPr>
              <w:ind w:left="-57" w:right="-57"/>
              <w:jc w:val="center"/>
              <w:rPr>
                <w:rFonts w:ascii="Times New Roman" w:hAnsi="Times New Roman"/>
                <w:b/>
                <w:bCs/>
                <w:caps/>
              </w:rPr>
            </w:pPr>
            <w:r w:rsidRPr="00442B57">
              <w:rPr>
                <w:rFonts w:ascii="Times New Roman" w:hAnsi="Times New Roman"/>
                <w:b/>
                <w:bCs/>
                <w:caps/>
              </w:rPr>
              <w:t>Вид господарської діяльності</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14:paraId="237AA304"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КВЕД</w:t>
            </w:r>
          </w:p>
        </w:tc>
        <w:tc>
          <w:tcPr>
            <w:tcW w:w="1749" w:type="dxa"/>
            <w:gridSpan w:val="2"/>
            <w:tcBorders>
              <w:top w:val="single" w:sz="4" w:space="0" w:color="auto"/>
              <w:left w:val="single" w:sz="4" w:space="0" w:color="auto"/>
              <w:bottom w:val="single" w:sz="4" w:space="0" w:color="auto"/>
              <w:right w:val="single" w:sz="4" w:space="0" w:color="auto"/>
            </w:tcBorders>
            <w:shd w:val="clear" w:color="auto" w:fill="809EC2"/>
            <w:vAlign w:val="center"/>
            <w:hideMark/>
          </w:tcPr>
          <w:p w14:paraId="32CC9A8F"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Кількість підприємств</w:t>
            </w:r>
          </w:p>
        </w:tc>
        <w:tc>
          <w:tcPr>
            <w:tcW w:w="1749" w:type="dxa"/>
            <w:gridSpan w:val="2"/>
            <w:tcBorders>
              <w:top w:val="single" w:sz="4" w:space="0" w:color="auto"/>
              <w:left w:val="single" w:sz="4" w:space="0" w:color="auto"/>
              <w:bottom w:val="single" w:sz="4" w:space="0" w:color="auto"/>
              <w:right w:val="single" w:sz="4" w:space="0" w:color="auto"/>
            </w:tcBorders>
            <w:shd w:val="clear" w:color="auto" w:fill="809EC2"/>
            <w:vAlign w:val="center"/>
            <w:hideMark/>
          </w:tcPr>
          <w:p w14:paraId="6E522C13"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Кількість   зайнятих</w:t>
            </w:r>
          </w:p>
        </w:tc>
        <w:tc>
          <w:tcPr>
            <w:tcW w:w="1750" w:type="dxa"/>
            <w:gridSpan w:val="2"/>
            <w:tcBorders>
              <w:top w:val="single" w:sz="4" w:space="0" w:color="auto"/>
              <w:left w:val="single" w:sz="4" w:space="0" w:color="auto"/>
              <w:bottom w:val="single" w:sz="4" w:space="0" w:color="auto"/>
              <w:right w:val="single" w:sz="4" w:space="0" w:color="auto"/>
            </w:tcBorders>
            <w:shd w:val="clear" w:color="auto" w:fill="809EC2"/>
            <w:hideMark/>
          </w:tcPr>
          <w:p w14:paraId="6171C3B8"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Фінансовий результат</w:t>
            </w:r>
          </w:p>
        </w:tc>
      </w:tr>
      <w:tr w:rsidR="00F37DCB" w14:paraId="4F0C371D" w14:textId="77777777" w:rsidTr="00442B57">
        <w:tc>
          <w:tcPr>
            <w:tcW w:w="4379" w:type="dxa"/>
            <w:vMerge/>
            <w:tcBorders>
              <w:top w:val="single" w:sz="4" w:space="0" w:color="auto"/>
              <w:left w:val="single" w:sz="4" w:space="0" w:color="auto"/>
              <w:bottom w:val="single" w:sz="4" w:space="0" w:color="auto"/>
              <w:right w:val="single" w:sz="4" w:space="0" w:color="auto"/>
            </w:tcBorders>
            <w:vAlign w:val="center"/>
            <w:hideMark/>
          </w:tcPr>
          <w:p w14:paraId="78E1B74F" w14:textId="77777777" w:rsidR="00442B57" w:rsidRPr="00442B57" w:rsidRDefault="00442B57" w:rsidP="00442B57">
            <w:pPr>
              <w:rPr>
                <w:rFonts w:ascii="Times New Roman" w:hAnsi="Times New Roman"/>
                <w:b/>
                <w:bCs/>
                <w:caps/>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064237FB" w14:textId="77777777" w:rsidR="00442B57" w:rsidRPr="00442B57" w:rsidRDefault="00442B57" w:rsidP="00442B57">
            <w:pPr>
              <w:rPr>
                <w:rFonts w:ascii="Times New Roman" w:hAnsi="Times New Roman"/>
                <w:b/>
                <w:bCs/>
              </w:rPr>
            </w:pPr>
          </w:p>
        </w:tc>
        <w:tc>
          <w:tcPr>
            <w:tcW w:w="874"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56A496A"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одиниць</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98F27F2"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13FC50D9"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осіб</w:t>
            </w:r>
          </w:p>
        </w:tc>
        <w:tc>
          <w:tcPr>
            <w:tcW w:w="874"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1B657D1"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B53D599"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млн грн</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A364545" w14:textId="77777777" w:rsidR="00442B57" w:rsidRPr="00442B57" w:rsidRDefault="00000000" w:rsidP="00442B57">
            <w:pPr>
              <w:ind w:left="-57" w:right="-57"/>
              <w:jc w:val="center"/>
              <w:rPr>
                <w:rFonts w:ascii="Times New Roman" w:hAnsi="Times New Roman"/>
                <w:b/>
                <w:bCs/>
              </w:rPr>
            </w:pPr>
            <w:r w:rsidRPr="00442B57">
              <w:rPr>
                <w:rFonts w:ascii="Times New Roman" w:hAnsi="Times New Roman"/>
                <w:b/>
                <w:bCs/>
              </w:rPr>
              <w:t>%</w:t>
            </w:r>
          </w:p>
        </w:tc>
      </w:tr>
      <w:tr w:rsidR="00F37DCB" w14:paraId="4D913E80"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22AB4594" w14:textId="77777777" w:rsidR="00442B57" w:rsidRPr="00442B57" w:rsidRDefault="00000000" w:rsidP="00442B57">
            <w:pPr>
              <w:ind w:left="-57" w:right="-57"/>
              <w:rPr>
                <w:rFonts w:ascii="Times New Roman" w:hAnsi="Times New Roman"/>
              </w:rPr>
            </w:pPr>
            <w:r w:rsidRPr="00442B57">
              <w:rPr>
                <w:rFonts w:ascii="Times New Roman" w:hAnsi="Times New Roman"/>
              </w:rPr>
              <w:t>Сільське, лісове та рибне господарство</w:t>
            </w:r>
          </w:p>
        </w:tc>
        <w:tc>
          <w:tcPr>
            <w:tcW w:w="894" w:type="dxa"/>
            <w:tcBorders>
              <w:top w:val="single" w:sz="4" w:space="0" w:color="auto"/>
              <w:left w:val="single" w:sz="4" w:space="0" w:color="auto"/>
              <w:bottom w:val="single" w:sz="4" w:space="0" w:color="auto"/>
              <w:right w:val="single" w:sz="4" w:space="0" w:color="auto"/>
            </w:tcBorders>
            <w:hideMark/>
          </w:tcPr>
          <w:p w14:paraId="1F9903C7"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A</w:t>
            </w:r>
          </w:p>
        </w:tc>
        <w:tc>
          <w:tcPr>
            <w:tcW w:w="874" w:type="dxa"/>
            <w:tcBorders>
              <w:top w:val="single" w:sz="4" w:space="0" w:color="auto"/>
              <w:left w:val="single" w:sz="4" w:space="0" w:color="auto"/>
              <w:bottom w:val="single" w:sz="4" w:space="0" w:color="auto"/>
              <w:right w:val="single" w:sz="4" w:space="0" w:color="auto"/>
            </w:tcBorders>
            <w:vAlign w:val="center"/>
            <w:hideMark/>
          </w:tcPr>
          <w:p w14:paraId="4C32A7EF"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2007</w:t>
            </w:r>
          </w:p>
        </w:tc>
        <w:tc>
          <w:tcPr>
            <w:tcW w:w="875" w:type="dxa"/>
            <w:tcBorders>
              <w:top w:val="single" w:sz="4" w:space="0" w:color="auto"/>
              <w:left w:val="single" w:sz="4" w:space="0" w:color="auto"/>
              <w:bottom w:val="single" w:sz="4" w:space="0" w:color="auto"/>
              <w:right w:val="single" w:sz="4" w:space="0" w:color="auto"/>
            </w:tcBorders>
            <w:vAlign w:val="center"/>
            <w:hideMark/>
          </w:tcPr>
          <w:p w14:paraId="4E614FF8"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11,6</w:t>
            </w:r>
          </w:p>
        </w:tc>
        <w:tc>
          <w:tcPr>
            <w:tcW w:w="875" w:type="dxa"/>
            <w:tcBorders>
              <w:top w:val="single" w:sz="4" w:space="0" w:color="auto"/>
              <w:left w:val="single" w:sz="4" w:space="0" w:color="auto"/>
              <w:bottom w:val="single" w:sz="4" w:space="0" w:color="auto"/>
              <w:right w:val="single" w:sz="4" w:space="0" w:color="auto"/>
            </w:tcBorders>
            <w:vAlign w:val="center"/>
            <w:hideMark/>
          </w:tcPr>
          <w:p w14:paraId="0645B643"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34415</w:t>
            </w:r>
          </w:p>
        </w:tc>
        <w:tc>
          <w:tcPr>
            <w:tcW w:w="874" w:type="dxa"/>
            <w:tcBorders>
              <w:top w:val="single" w:sz="4" w:space="0" w:color="auto"/>
              <w:left w:val="single" w:sz="4" w:space="0" w:color="auto"/>
              <w:bottom w:val="single" w:sz="4" w:space="0" w:color="auto"/>
              <w:right w:val="single" w:sz="4" w:space="0" w:color="auto"/>
            </w:tcBorders>
            <w:vAlign w:val="center"/>
            <w:hideMark/>
          </w:tcPr>
          <w:p w14:paraId="3B6DE1A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11,9</w:t>
            </w:r>
          </w:p>
        </w:tc>
        <w:tc>
          <w:tcPr>
            <w:tcW w:w="875" w:type="dxa"/>
            <w:tcBorders>
              <w:top w:val="single" w:sz="4" w:space="0" w:color="auto"/>
              <w:left w:val="single" w:sz="4" w:space="0" w:color="auto"/>
              <w:bottom w:val="single" w:sz="4" w:space="0" w:color="auto"/>
              <w:right w:val="single" w:sz="4" w:space="0" w:color="auto"/>
            </w:tcBorders>
            <w:vAlign w:val="center"/>
            <w:hideMark/>
          </w:tcPr>
          <w:p w14:paraId="0176E884"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14718,0</w:t>
            </w:r>
          </w:p>
        </w:tc>
        <w:tc>
          <w:tcPr>
            <w:tcW w:w="875" w:type="dxa"/>
            <w:tcBorders>
              <w:top w:val="single" w:sz="4" w:space="0" w:color="auto"/>
              <w:left w:val="single" w:sz="4" w:space="0" w:color="auto"/>
              <w:bottom w:val="single" w:sz="4" w:space="0" w:color="auto"/>
              <w:right w:val="single" w:sz="4" w:space="0" w:color="auto"/>
            </w:tcBorders>
            <w:vAlign w:val="center"/>
            <w:hideMark/>
          </w:tcPr>
          <w:p w14:paraId="49C2B471"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22,5</w:t>
            </w:r>
          </w:p>
        </w:tc>
      </w:tr>
      <w:tr w:rsidR="00F37DCB" w14:paraId="17BEAADF"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58178592" w14:textId="77777777" w:rsidR="00442B57" w:rsidRPr="00442B57" w:rsidRDefault="00000000" w:rsidP="00442B57">
            <w:pPr>
              <w:ind w:left="-57" w:right="-57"/>
              <w:rPr>
                <w:rFonts w:ascii="Times New Roman" w:hAnsi="Times New Roman"/>
              </w:rPr>
            </w:pPr>
            <w:r w:rsidRPr="00442B57">
              <w:rPr>
                <w:rFonts w:ascii="Times New Roman" w:hAnsi="Times New Roman"/>
              </w:rPr>
              <w:t>Промисловість</w:t>
            </w:r>
          </w:p>
        </w:tc>
        <w:tc>
          <w:tcPr>
            <w:tcW w:w="894" w:type="dxa"/>
            <w:tcBorders>
              <w:top w:val="single" w:sz="4" w:space="0" w:color="auto"/>
              <w:left w:val="single" w:sz="4" w:space="0" w:color="auto"/>
              <w:bottom w:val="single" w:sz="4" w:space="0" w:color="auto"/>
              <w:right w:val="single" w:sz="4" w:space="0" w:color="auto"/>
            </w:tcBorders>
            <w:hideMark/>
          </w:tcPr>
          <w:p w14:paraId="196C2069"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B+C+D+E</w:t>
            </w:r>
          </w:p>
        </w:tc>
        <w:tc>
          <w:tcPr>
            <w:tcW w:w="874" w:type="dxa"/>
            <w:tcBorders>
              <w:top w:val="single" w:sz="4" w:space="0" w:color="auto"/>
              <w:left w:val="single" w:sz="4" w:space="0" w:color="auto"/>
              <w:bottom w:val="single" w:sz="4" w:space="0" w:color="auto"/>
              <w:right w:val="single" w:sz="4" w:space="0" w:color="auto"/>
            </w:tcBorders>
            <w:vAlign w:val="center"/>
            <w:hideMark/>
          </w:tcPr>
          <w:p w14:paraId="642424F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2887</w:t>
            </w:r>
          </w:p>
        </w:tc>
        <w:tc>
          <w:tcPr>
            <w:tcW w:w="875" w:type="dxa"/>
            <w:tcBorders>
              <w:top w:val="single" w:sz="4" w:space="0" w:color="auto"/>
              <w:left w:val="single" w:sz="4" w:space="0" w:color="auto"/>
              <w:bottom w:val="single" w:sz="4" w:space="0" w:color="auto"/>
              <w:right w:val="single" w:sz="4" w:space="0" w:color="auto"/>
            </w:tcBorders>
            <w:vAlign w:val="center"/>
            <w:hideMark/>
          </w:tcPr>
          <w:p w14:paraId="59AB5393"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16,8</w:t>
            </w:r>
          </w:p>
        </w:tc>
        <w:tc>
          <w:tcPr>
            <w:tcW w:w="875" w:type="dxa"/>
            <w:tcBorders>
              <w:top w:val="single" w:sz="4" w:space="0" w:color="auto"/>
              <w:left w:val="single" w:sz="4" w:space="0" w:color="auto"/>
              <w:bottom w:val="single" w:sz="4" w:space="0" w:color="auto"/>
              <w:right w:val="single" w:sz="4" w:space="0" w:color="auto"/>
            </w:tcBorders>
            <w:vAlign w:val="center"/>
            <w:hideMark/>
          </w:tcPr>
          <w:p w14:paraId="1CB2168E"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88658</w:t>
            </w:r>
          </w:p>
        </w:tc>
        <w:tc>
          <w:tcPr>
            <w:tcW w:w="874" w:type="dxa"/>
            <w:tcBorders>
              <w:top w:val="single" w:sz="4" w:space="0" w:color="auto"/>
              <w:left w:val="single" w:sz="4" w:space="0" w:color="auto"/>
              <w:bottom w:val="single" w:sz="4" w:space="0" w:color="auto"/>
              <w:right w:val="single" w:sz="4" w:space="0" w:color="auto"/>
            </w:tcBorders>
            <w:vAlign w:val="center"/>
            <w:hideMark/>
          </w:tcPr>
          <w:p w14:paraId="77180B7E"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30,8</w:t>
            </w:r>
          </w:p>
        </w:tc>
        <w:tc>
          <w:tcPr>
            <w:tcW w:w="875" w:type="dxa"/>
            <w:tcBorders>
              <w:top w:val="single" w:sz="4" w:space="0" w:color="auto"/>
              <w:left w:val="single" w:sz="4" w:space="0" w:color="auto"/>
              <w:bottom w:val="single" w:sz="4" w:space="0" w:color="auto"/>
              <w:right w:val="single" w:sz="4" w:space="0" w:color="auto"/>
            </w:tcBorders>
            <w:vAlign w:val="center"/>
            <w:hideMark/>
          </w:tcPr>
          <w:p w14:paraId="707DCCAB"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36954,2</w:t>
            </w:r>
          </w:p>
        </w:tc>
        <w:tc>
          <w:tcPr>
            <w:tcW w:w="875" w:type="dxa"/>
            <w:tcBorders>
              <w:top w:val="single" w:sz="4" w:space="0" w:color="auto"/>
              <w:left w:val="single" w:sz="4" w:space="0" w:color="auto"/>
              <w:bottom w:val="single" w:sz="4" w:space="0" w:color="auto"/>
              <w:right w:val="single" w:sz="4" w:space="0" w:color="auto"/>
            </w:tcBorders>
            <w:vAlign w:val="center"/>
            <w:hideMark/>
          </w:tcPr>
          <w:p w14:paraId="2521AB8B"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56,4</w:t>
            </w:r>
          </w:p>
        </w:tc>
      </w:tr>
      <w:tr w:rsidR="00F37DCB" w14:paraId="1A723CFB"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08ADE968" w14:textId="77777777" w:rsidR="00442B57" w:rsidRPr="00442B57" w:rsidRDefault="00000000" w:rsidP="00442B57">
            <w:pPr>
              <w:ind w:left="-57" w:right="-57"/>
              <w:rPr>
                <w:rFonts w:ascii="Times New Roman" w:hAnsi="Times New Roman"/>
              </w:rPr>
            </w:pPr>
            <w:r w:rsidRPr="00442B57">
              <w:rPr>
                <w:rFonts w:ascii="Times New Roman" w:hAnsi="Times New Roman"/>
              </w:rPr>
              <w:t>Будівництво</w:t>
            </w:r>
          </w:p>
        </w:tc>
        <w:tc>
          <w:tcPr>
            <w:tcW w:w="894" w:type="dxa"/>
            <w:tcBorders>
              <w:top w:val="single" w:sz="4" w:space="0" w:color="auto"/>
              <w:left w:val="single" w:sz="4" w:space="0" w:color="auto"/>
              <w:bottom w:val="single" w:sz="4" w:space="0" w:color="auto"/>
              <w:right w:val="single" w:sz="4" w:space="0" w:color="auto"/>
            </w:tcBorders>
            <w:vAlign w:val="center"/>
            <w:hideMark/>
          </w:tcPr>
          <w:p w14:paraId="12DFFDB2"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F</w:t>
            </w:r>
          </w:p>
        </w:tc>
        <w:tc>
          <w:tcPr>
            <w:tcW w:w="874" w:type="dxa"/>
            <w:tcBorders>
              <w:top w:val="single" w:sz="4" w:space="0" w:color="auto"/>
              <w:left w:val="single" w:sz="4" w:space="0" w:color="auto"/>
              <w:bottom w:val="single" w:sz="4" w:space="0" w:color="auto"/>
              <w:right w:val="single" w:sz="4" w:space="0" w:color="auto"/>
            </w:tcBorders>
            <w:vAlign w:val="center"/>
            <w:hideMark/>
          </w:tcPr>
          <w:p w14:paraId="36145102"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1861</w:t>
            </w:r>
          </w:p>
        </w:tc>
        <w:tc>
          <w:tcPr>
            <w:tcW w:w="875" w:type="dxa"/>
            <w:tcBorders>
              <w:top w:val="single" w:sz="4" w:space="0" w:color="auto"/>
              <w:left w:val="single" w:sz="4" w:space="0" w:color="auto"/>
              <w:bottom w:val="single" w:sz="4" w:space="0" w:color="auto"/>
              <w:right w:val="single" w:sz="4" w:space="0" w:color="auto"/>
            </w:tcBorders>
            <w:vAlign w:val="center"/>
            <w:hideMark/>
          </w:tcPr>
          <w:p w14:paraId="44748E2C"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10,8</w:t>
            </w:r>
          </w:p>
        </w:tc>
        <w:tc>
          <w:tcPr>
            <w:tcW w:w="875" w:type="dxa"/>
            <w:tcBorders>
              <w:top w:val="single" w:sz="4" w:space="0" w:color="auto"/>
              <w:left w:val="single" w:sz="4" w:space="0" w:color="auto"/>
              <w:bottom w:val="single" w:sz="4" w:space="0" w:color="auto"/>
              <w:right w:val="single" w:sz="4" w:space="0" w:color="auto"/>
            </w:tcBorders>
            <w:vAlign w:val="center"/>
            <w:hideMark/>
          </w:tcPr>
          <w:p w14:paraId="467EFCA9"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15636</w:t>
            </w:r>
          </w:p>
        </w:tc>
        <w:tc>
          <w:tcPr>
            <w:tcW w:w="874" w:type="dxa"/>
            <w:tcBorders>
              <w:top w:val="single" w:sz="4" w:space="0" w:color="auto"/>
              <w:left w:val="single" w:sz="4" w:space="0" w:color="auto"/>
              <w:bottom w:val="single" w:sz="4" w:space="0" w:color="auto"/>
              <w:right w:val="single" w:sz="4" w:space="0" w:color="auto"/>
            </w:tcBorders>
            <w:vAlign w:val="center"/>
            <w:hideMark/>
          </w:tcPr>
          <w:p w14:paraId="10AFAE9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5,4</w:t>
            </w:r>
          </w:p>
        </w:tc>
        <w:tc>
          <w:tcPr>
            <w:tcW w:w="875" w:type="dxa"/>
            <w:tcBorders>
              <w:top w:val="single" w:sz="4" w:space="0" w:color="auto"/>
              <w:left w:val="single" w:sz="4" w:space="0" w:color="auto"/>
              <w:bottom w:val="single" w:sz="4" w:space="0" w:color="auto"/>
              <w:right w:val="single" w:sz="4" w:space="0" w:color="auto"/>
            </w:tcBorders>
            <w:vAlign w:val="center"/>
            <w:hideMark/>
          </w:tcPr>
          <w:p w14:paraId="3EC9D6D5"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1046,9</w:t>
            </w:r>
          </w:p>
        </w:tc>
        <w:tc>
          <w:tcPr>
            <w:tcW w:w="875" w:type="dxa"/>
            <w:tcBorders>
              <w:top w:val="single" w:sz="4" w:space="0" w:color="auto"/>
              <w:left w:val="single" w:sz="4" w:space="0" w:color="auto"/>
              <w:bottom w:val="single" w:sz="4" w:space="0" w:color="auto"/>
              <w:right w:val="single" w:sz="4" w:space="0" w:color="auto"/>
            </w:tcBorders>
            <w:vAlign w:val="center"/>
            <w:hideMark/>
          </w:tcPr>
          <w:p w14:paraId="60438C82"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1,6</w:t>
            </w:r>
          </w:p>
        </w:tc>
      </w:tr>
      <w:tr w:rsidR="00F37DCB" w14:paraId="5C016191"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2B9A3649" w14:textId="77777777" w:rsidR="00442B57" w:rsidRPr="00442B57" w:rsidRDefault="00000000" w:rsidP="00442B57">
            <w:pPr>
              <w:ind w:left="-57" w:right="-57"/>
              <w:rPr>
                <w:rFonts w:ascii="Times New Roman" w:hAnsi="Times New Roman"/>
              </w:rPr>
            </w:pPr>
            <w:r w:rsidRPr="00442B57">
              <w:rPr>
                <w:rFonts w:ascii="Times New Roman" w:hAnsi="Times New Roman"/>
              </w:rPr>
              <w:t>Оптова та роздрібна торгівля; ремонт автотранспортних засобів і мотоциклів</w:t>
            </w:r>
          </w:p>
        </w:tc>
        <w:tc>
          <w:tcPr>
            <w:tcW w:w="894" w:type="dxa"/>
            <w:tcBorders>
              <w:top w:val="single" w:sz="4" w:space="0" w:color="auto"/>
              <w:left w:val="single" w:sz="4" w:space="0" w:color="auto"/>
              <w:bottom w:val="single" w:sz="4" w:space="0" w:color="auto"/>
              <w:right w:val="single" w:sz="4" w:space="0" w:color="auto"/>
            </w:tcBorders>
            <w:vAlign w:val="center"/>
            <w:hideMark/>
          </w:tcPr>
          <w:p w14:paraId="562164D6"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G</w:t>
            </w:r>
          </w:p>
        </w:tc>
        <w:tc>
          <w:tcPr>
            <w:tcW w:w="874" w:type="dxa"/>
            <w:tcBorders>
              <w:top w:val="single" w:sz="4" w:space="0" w:color="auto"/>
              <w:left w:val="single" w:sz="4" w:space="0" w:color="auto"/>
              <w:bottom w:val="single" w:sz="4" w:space="0" w:color="auto"/>
              <w:right w:val="single" w:sz="4" w:space="0" w:color="auto"/>
            </w:tcBorders>
            <w:vAlign w:val="center"/>
            <w:hideMark/>
          </w:tcPr>
          <w:p w14:paraId="5A26492C"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4420</w:t>
            </w:r>
          </w:p>
        </w:tc>
        <w:tc>
          <w:tcPr>
            <w:tcW w:w="875" w:type="dxa"/>
            <w:tcBorders>
              <w:top w:val="single" w:sz="4" w:space="0" w:color="auto"/>
              <w:left w:val="single" w:sz="4" w:space="0" w:color="auto"/>
              <w:bottom w:val="single" w:sz="4" w:space="0" w:color="auto"/>
              <w:right w:val="single" w:sz="4" w:space="0" w:color="auto"/>
            </w:tcBorders>
            <w:vAlign w:val="center"/>
            <w:hideMark/>
          </w:tcPr>
          <w:p w14:paraId="09D1F840"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25,6</w:t>
            </w:r>
          </w:p>
        </w:tc>
        <w:tc>
          <w:tcPr>
            <w:tcW w:w="875" w:type="dxa"/>
            <w:tcBorders>
              <w:top w:val="single" w:sz="4" w:space="0" w:color="auto"/>
              <w:left w:val="single" w:sz="4" w:space="0" w:color="auto"/>
              <w:bottom w:val="single" w:sz="4" w:space="0" w:color="auto"/>
              <w:right w:val="single" w:sz="4" w:space="0" w:color="auto"/>
            </w:tcBorders>
            <w:vAlign w:val="center"/>
            <w:hideMark/>
          </w:tcPr>
          <w:p w14:paraId="572D6BDE"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63042</w:t>
            </w:r>
          </w:p>
        </w:tc>
        <w:tc>
          <w:tcPr>
            <w:tcW w:w="874" w:type="dxa"/>
            <w:tcBorders>
              <w:top w:val="single" w:sz="4" w:space="0" w:color="auto"/>
              <w:left w:val="single" w:sz="4" w:space="0" w:color="auto"/>
              <w:bottom w:val="single" w:sz="4" w:space="0" w:color="auto"/>
              <w:right w:val="single" w:sz="4" w:space="0" w:color="auto"/>
            </w:tcBorders>
            <w:vAlign w:val="center"/>
            <w:hideMark/>
          </w:tcPr>
          <w:p w14:paraId="048FFB78"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21,9</w:t>
            </w:r>
          </w:p>
        </w:tc>
        <w:tc>
          <w:tcPr>
            <w:tcW w:w="875" w:type="dxa"/>
            <w:tcBorders>
              <w:top w:val="single" w:sz="4" w:space="0" w:color="auto"/>
              <w:left w:val="single" w:sz="4" w:space="0" w:color="auto"/>
              <w:bottom w:val="single" w:sz="4" w:space="0" w:color="auto"/>
              <w:right w:val="single" w:sz="4" w:space="0" w:color="auto"/>
            </w:tcBorders>
            <w:vAlign w:val="center"/>
            <w:hideMark/>
          </w:tcPr>
          <w:p w14:paraId="22AED993"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14509,6</w:t>
            </w:r>
          </w:p>
        </w:tc>
        <w:tc>
          <w:tcPr>
            <w:tcW w:w="875" w:type="dxa"/>
            <w:tcBorders>
              <w:top w:val="single" w:sz="4" w:space="0" w:color="auto"/>
              <w:left w:val="single" w:sz="4" w:space="0" w:color="auto"/>
              <w:bottom w:val="single" w:sz="4" w:space="0" w:color="auto"/>
              <w:right w:val="single" w:sz="4" w:space="0" w:color="auto"/>
            </w:tcBorders>
            <w:vAlign w:val="center"/>
            <w:hideMark/>
          </w:tcPr>
          <w:p w14:paraId="28DDB1F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22,1</w:t>
            </w:r>
          </w:p>
        </w:tc>
      </w:tr>
      <w:tr w:rsidR="00F37DCB" w14:paraId="134C307C"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3C08D5C9" w14:textId="77777777" w:rsidR="00442B57" w:rsidRPr="00442B57" w:rsidRDefault="00000000" w:rsidP="00442B57">
            <w:pPr>
              <w:ind w:left="-57" w:right="-57"/>
              <w:rPr>
                <w:rFonts w:ascii="Times New Roman" w:hAnsi="Times New Roman"/>
              </w:rPr>
            </w:pPr>
            <w:r w:rsidRPr="00442B57">
              <w:rPr>
                <w:rFonts w:ascii="Times New Roman" w:hAnsi="Times New Roman"/>
              </w:rPr>
              <w:t>Транспорт, складське господарство, поштова та кур’єрська діяльність</w:t>
            </w:r>
          </w:p>
        </w:tc>
        <w:tc>
          <w:tcPr>
            <w:tcW w:w="894" w:type="dxa"/>
            <w:tcBorders>
              <w:top w:val="single" w:sz="4" w:space="0" w:color="auto"/>
              <w:left w:val="single" w:sz="4" w:space="0" w:color="auto"/>
              <w:bottom w:val="single" w:sz="4" w:space="0" w:color="auto"/>
              <w:right w:val="single" w:sz="4" w:space="0" w:color="auto"/>
            </w:tcBorders>
            <w:vAlign w:val="center"/>
            <w:hideMark/>
          </w:tcPr>
          <w:p w14:paraId="39FE5F41"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H</w:t>
            </w:r>
          </w:p>
        </w:tc>
        <w:tc>
          <w:tcPr>
            <w:tcW w:w="874" w:type="dxa"/>
            <w:tcBorders>
              <w:top w:val="single" w:sz="4" w:space="0" w:color="auto"/>
              <w:left w:val="single" w:sz="4" w:space="0" w:color="auto"/>
              <w:bottom w:val="single" w:sz="4" w:space="0" w:color="auto"/>
              <w:right w:val="single" w:sz="4" w:space="0" w:color="auto"/>
            </w:tcBorders>
            <w:vAlign w:val="center"/>
            <w:hideMark/>
          </w:tcPr>
          <w:p w14:paraId="6E991548"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990</w:t>
            </w:r>
          </w:p>
        </w:tc>
        <w:tc>
          <w:tcPr>
            <w:tcW w:w="875" w:type="dxa"/>
            <w:tcBorders>
              <w:top w:val="single" w:sz="4" w:space="0" w:color="auto"/>
              <w:left w:val="single" w:sz="4" w:space="0" w:color="auto"/>
              <w:bottom w:val="single" w:sz="4" w:space="0" w:color="auto"/>
              <w:right w:val="single" w:sz="4" w:space="0" w:color="auto"/>
            </w:tcBorders>
            <w:vAlign w:val="center"/>
            <w:hideMark/>
          </w:tcPr>
          <w:p w14:paraId="01D24EBD"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5,7</w:t>
            </w:r>
          </w:p>
        </w:tc>
        <w:tc>
          <w:tcPr>
            <w:tcW w:w="875" w:type="dxa"/>
            <w:tcBorders>
              <w:top w:val="single" w:sz="4" w:space="0" w:color="auto"/>
              <w:left w:val="single" w:sz="4" w:space="0" w:color="auto"/>
              <w:bottom w:val="single" w:sz="4" w:space="0" w:color="auto"/>
              <w:right w:val="single" w:sz="4" w:space="0" w:color="auto"/>
            </w:tcBorders>
            <w:vAlign w:val="center"/>
            <w:hideMark/>
          </w:tcPr>
          <w:p w14:paraId="7C236B91"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21504</w:t>
            </w:r>
          </w:p>
        </w:tc>
        <w:tc>
          <w:tcPr>
            <w:tcW w:w="874" w:type="dxa"/>
            <w:tcBorders>
              <w:top w:val="single" w:sz="4" w:space="0" w:color="auto"/>
              <w:left w:val="single" w:sz="4" w:space="0" w:color="auto"/>
              <w:bottom w:val="single" w:sz="4" w:space="0" w:color="auto"/>
              <w:right w:val="single" w:sz="4" w:space="0" w:color="auto"/>
            </w:tcBorders>
            <w:vAlign w:val="center"/>
            <w:hideMark/>
          </w:tcPr>
          <w:p w14:paraId="75E2A1BF"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7,5</w:t>
            </w:r>
          </w:p>
        </w:tc>
        <w:tc>
          <w:tcPr>
            <w:tcW w:w="875" w:type="dxa"/>
            <w:tcBorders>
              <w:top w:val="single" w:sz="4" w:space="0" w:color="auto"/>
              <w:left w:val="single" w:sz="4" w:space="0" w:color="auto"/>
              <w:bottom w:val="single" w:sz="4" w:space="0" w:color="auto"/>
              <w:right w:val="single" w:sz="4" w:space="0" w:color="auto"/>
            </w:tcBorders>
            <w:vAlign w:val="center"/>
            <w:hideMark/>
          </w:tcPr>
          <w:p w14:paraId="126407E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-1084,6</w:t>
            </w:r>
          </w:p>
        </w:tc>
        <w:tc>
          <w:tcPr>
            <w:tcW w:w="875" w:type="dxa"/>
            <w:tcBorders>
              <w:top w:val="single" w:sz="4" w:space="0" w:color="auto"/>
              <w:left w:val="single" w:sz="4" w:space="0" w:color="auto"/>
              <w:bottom w:val="single" w:sz="4" w:space="0" w:color="auto"/>
              <w:right w:val="single" w:sz="4" w:space="0" w:color="auto"/>
            </w:tcBorders>
            <w:vAlign w:val="center"/>
            <w:hideMark/>
          </w:tcPr>
          <w:p w14:paraId="2290424C"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-1,7</w:t>
            </w:r>
          </w:p>
        </w:tc>
      </w:tr>
      <w:tr w:rsidR="00F37DCB" w14:paraId="6799679D"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6CECB479" w14:textId="77777777" w:rsidR="00442B57" w:rsidRPr="00442B57" w:rsidRDefault="00000000" w:rsidP="00442B57">
            <w:pPr>
              <w:ind w:left="-57" w:right="-57"/>
              <w:rPr>
                <w:rFonts w:ascii="Times New Roman" w:hAnsi="Times New Roman"/>
              </w:rPr>
            </w:pPr>
            <w:r w:rsidRPr="00442B57">
              <w:rPr>
                <w:rFonts w:ascii="Times New Roman" w:hAnsi="Times New Roman"/>
              </w:rPr>
              <w:t>Тимчасове розміщування й організація харчування</w:t>
            </w:r>
          </w:p>
        </w:tc>
        <w:tc>
          <w:tcPr>
            <w:tcW w:w="894" w:type="dxa"/>
            <w:tcBorders>
              <w:top w:val="single" w:sz="4" w:space="0" w:color="auto"/>
              <w:left w:val="single" w:sz="4" w:space="0" w:color="auto"/>
              <w:bottom w:val="single" w:sz="4" w:space="0" w:color="auto"/>
              <w:right w:val="single" w:sz="4" w:space="0" w:color="auto"/>
            </w:tcBorders>
            <w:vAlign w:val="center"/>
            <w:hideMark/>
          </w:tcPr>
          <w:p w14:paraId="4FD48556"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I</w:t>
            </w:r>
          </w:p>
        </w:tc>
        <w:tc>
          <w:tcPr>
            <w:tcW w:w="874" w:type="dxa"/>
            <w:tcBorders>
              <w:top w:val="single" w:sz="4" w:space="0" w:color="auto"/>
              <w:left w:val="single" w:sz="4" w:space="0" w:color="auto"/>
              <w:bottom w:val="single" w:sz="4" w:space="0" w:color="auto"/>
              <w:right w:val="single" w:sz="4" w:space="0" w:color="auto"/>
            </w:tcBorders>
            <w:vAlign w:val="center"/>
            <w:hideMark/>
          </w:tcPr>
          <w:p w14:paraId="270C05FE"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348</w:t>
            </w:r>
          </w:p>
        </w:tc>
        <w:tc>
          <w:tcPr>
            <w:tcW w:w="875" w:type="dxa"/>
            <w:tcBorders>
              <w:top w:val="single" w:sz="4" w:space="0" w:color="auto"/>
              <w:left w:val="single" w:sz="4" w:space="0" w:color="auto"/>
              <w:bottom w:val="single" w:sz="4" w:space="0" w:color="auto"/>
              <w:right w:val="single" w:sz="4" w:space="0" w:color="auto"/>
            </w:tcBorders>
            <w:vAlign w:val="center"/>
            <w:hideMark/>
          </w:tcPr>
          <w:p w14:paraId="134E9B45"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2,0</w:t>
            </w:r>
          </w:p>
        </w:tc>
        <w:tc>
          <w:tcPr>
            <w:tcW w:w="875" w:type="dxa"/>
            <w:tcBorders>
              <w:top w:val="single" w:sz="4" w:space="0" w:color="auto"/>
              <w:left w:val="single" w:sz="4" w:space="0" w:color="auto"/>
              <w:bottom w:val="single" w:sz="4" w:space="0" w:color="auto"/>
              <w:right w:val="single" w:sz="4" w:space="0" w:color="auto"/>
            </w:tcBorders>
            <w:vAlign w:val="center"/>
            <w:hideMark/>
          </w:tcPr>
          <w:p w14:paraId="49A7702C"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2772</w:t>
            </w:r>
          </w:p>
        </w:tc>
        <w:tc>
          <w:tcPr>
            <w:tcW w:w="874" w:type="dxa"/>
            <w:tcBorders>
              <w:top w:val="single" w:sz="4" w:space="0" w:color="auto"/>
              <w:left w:val="single" w:sz="4" w:space="0" w:color="auto"/>
              <w:bottom w:val="single" w:sz="4" w:space="0" w:color="auto"/>
              <w:right w:val="single" w:sz="4" w:space="0" w:color="auto"/>
            </w:tcBorders>
            <w:vAlign w:val="center"/>
            <w:hideMark/>
          </w:tcPr>
          <w:p w14:paraId="3787141D"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1,0</w:t>
            </w:r>
          </w:p>
        </w:tc>
        <w:tc>
          <w:tcPr>
            <w:tcW w:w="875" w:type="dxa"/>
            <w:tcBorders>
              <w:top w:val="single" w:sz="4" w:space="0" w:color="auto"/>
              <w:left w:val="single" w:sz="4" w:space="0" w:color="auto"/>
              <w:bottom w:val="single" w:sz="4" w:space="0" w:color="auto"/>
              <w:right w:val="single" w:sz="4" w:space="0" w:color="auto"/>
            </w:tcBorders>
            <w:vAlign w:val="center"/>
            <w:hideMark/>
          </w:tcPr>
          <w:p w14:paraId="541B64FD"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-276,7</w:t>
            </w:r>
          </w:p>
        </w:tc>
        <w:tc>
          <w:tcPr>
            <w:tcW w:w="875" w:type="dxa"/>
            <w:tcBorders>
              <w:top w:val="single" w:sz="4" w:space="0" w:color="auto"/>
              <w:left w:val="single" w:sz="4" w:space="0" w:color="auto"/>
              <w:bottom w:val="single" w:sz="4" w:space="0" w:color="auto"/>
              <w:right w:val="single" w:sz="4" w:space="0" w:color="auto"/>
            </w:tcBorders>
            <w:vAlign w:val="center"/>
            <w:hideMark/>
          </w:tcPr>
          <w:p w14:paraId="39FE308D"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-0,4</w:t>
            </w:r>
          </w:p>
        </w:tc>
      </w:tr>
      <w:tr w:rsidR="00F37DCB" w14:paraId="326F79C5"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0328DC70" w14:textId="77777777" w:rsidR="00442B57" w:rsidRPr="00442B57" w:rsidRDefault="00000000" w:rsidP="00442B57">
            <w:pPr>
              <w:ind w:left="-57" w:right="-57"/>
              <w:rPr>
                <w:rFonts w:ascii="Times New Roman" w:hAnsi="Times New Roman"/>
              </w:rPr>
            </w:pPr>
            <w:r w:rsidRPr="00442B57">
              <w:rPr>
                <w:rFonts w:ascii="Times New Roman" w:hAnsi="Times New Roman"/>
              </w:rPr>
              <w:t>Інформація та телекомунікації</w:t>
            </w:r>
          </w:p>
        </w:tc>
        <w:tc>
          <w:tcPr>
            <w:tcW w:w="894" w:type="dxa"/>
            <w:tcBorders>
              <w:top w:val="single" w:sz="4" w:space="0" w:color="auto"/>
              <w:left w:val="single" w:sz="4" w:space="0" w:color="auto"/>
              <w:bottom w:val="single" w:sz="4" w:space="0" w:color="auto"/>
              <w:right w:val="single" w:sz="4" w:space="0" w:color="auto"/>
            </w:tcBorders>
            <w:vAlign w:val="center"/>
            <w:hideMark/>
          </w:tcPr>
          <w:p w14:paraId="519D6577"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J</w:t>
            </w:r>
          </w:p>
        </w:tc>
        <w:tc>
          <w:tcPr>
            <w:tcW w:w="874" w:type="dxa"/>
            <w:tcBorders>
              <w:top w:val="single" w:sz="4" w:space="0" w:color="auto"/>
              <w:left w:val="single" w:sz="4" w:space="0" w:color="auto"/>
              <w:bottom w:val="single" w:sz="4" w:space="0" w:color="auto"/>
              <w:right w:val="single" w:sz="4" w:space="0" w:color="auto"/>
            </w:tcBorders>
            <w:vAlign w:val="center"/>
            <w:hideMark/>
          </w:tcPr>
          <w:p w14:paraId="1E4A6997"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432</w:t>
            </w:r>
          </w:p>
        </w:tc>
        <w:tc>
          <w:tcPr>
            <w:tcW w:w="875" w:type="dxa"/>
            <w:tcBorders>
              <w:top w:val="single" w:sz="4" w:space="0" w:color="auto"/>
              <w:left w:val="single" w:sz="4" w:space="0" w:color="auto"/>
              <w:bottom w:val="single" w:sz="4" w:space="0" w:color="auto"/>
              <w:right w:val="single" w:sz="4" w:space="0" w:color="auto"/>
            </w:tcBorders>
            <w:vAlign w:val="center"/>
            <w:hideMark/>
          </w:tcPr>
          <w:p w14:paraId="27C18ACB"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2,5</w:t>
            </w:r>
          </w:p>
        </w:tc>
        <w:tc>
          <w:tcPr>
            <w:tcW w:w="875" w:type="dxa"/>
            <w:tcBorders>
              <w:top w:val="single" w:sz="4" w:space="0" w:color="auto"/>
              <w:left w:val="single" w:sz="4" w:space="0" w:color="auto"/>
              <w:bottom w:val="single" w:sz="4" w:space="0" w:color="auto"/>
              <w:right w:val="single" w:sz="4" w:space="0" w:color="auto"/>
            </w:tcBorders>
            <w:vAlign w:val="center"/>
            <w:hideMark/>
          </w:tcPr>
          <w:p w14:paraId="46F6456B"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2272</w:t>
            </w:r>
          </w:p>
        </w:tc>
        <w:tc>
          <w:tcPr>
            <w:tcW w:w="874" w:type="dxa"/>
            <w:tcBorders>
              <w:top w:val="single" w:sz="4" w:space="0" w:color="auto"/>
              <w:left w:val="single" w:sz="4" w:space="0" w:color="auto"/>
              <w:bottom w:val="single" w:sz="4" w:space="0" w:color="auto"/>
              <w:right w:val="single" w:sz="4" w:space="0" w:color="auto"/>
            </w:tcBorders>
            <w:vAlign w:val="center"/>
            <w:hideMark/>
          </w:tcPr>
          <w:p w14:paraId="70D1F222"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0,8</w:t>
            </w:r>
          </w:p>
        </w:tc>
        <w:tc>
          <w:tcPr>
            <w:tcW w:w="875" w:type="dxa"/>
            <w:tcBorders>
              <w:top w:val="single" w:sz="4" w:space="0" w:color="auto"/>
              <w:left w:val="single" w:sz="4" w:space="0" w:color="auto"/>
              <w:bottom w:val="single" w:sz="4" w:space="0" w:color="auto"/>
              <w:right w:val="single" w:sz="4" w:space="0" w:color="auto"/>
            </w:tcBorders>
            <w:vAlign w:val="center"/>
            <w:hideMark/>
          </w:tcPr>
          <w:p w14:paraId="41430181"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402,9</w:t>
            </w:r>
          </w:p>
        </w:tc>
        <w:tc>
          <w:tcPr>
            <w:tcW w:w="875" w:type="dxa"/>
            <w:tcBorders>
              <w:top w:val="single" w:sz="4" w:space="0" w:color="auto"/>
              <w:left w:val="single" w:sz="4" w:space="0" w:color="auto"/>
              <w:bottom w:val="single" w:sz="4" w:space="0" w:color="auto"/>
              <w:right w:val="single" w:sz="4" w:space="0" w:color="auto"/>
            </w:tcBorders>
            <w:vAlign w:val="center"/>
            <w:hideMark/>
          </w:tcPr>
          <w:p w14:paraId="429D9525"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0,6</w:t>
            </w:r>
          </w:p>
        </w:tc>
      </w:tr>
      <w:tr w:rsidR="00F37DCB" w14:paraId="639305A7"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799F3F6C" w14:textId="77777777" w:rsidR="00442B57" w:rsidRPr="00442B57" w:rsidRDefault="00000000" w:rsidP="00442B57">
            <w:pPr>
              <w:ind w:left="-57" w:right="-57"/>
              <w:rPr>
                <w:rFonts w:ascii="Times New Roman" w:hAnsi="Times New Roman"/>
              </w:rPr>
            </w:pPr>
            <w:r w:rsidRPr="00442B57">
              <w:rPr>
                <w:rFonts w:ascii="Times New Roman" w:hAnsi="Times New Roman"/>
              </w:rPr>
              <w:t>Фінансова та страхова діяльність</w:t>
            </w:r>
          </w:p>
        </w:tc>
        <w:tc>
          <w:tcPr>
            <w:tcW w:w="894" w:type="dxa"/>
            <w:tcBorders>
              <w:top w:val="single" w:sz="4" w:space="0" w:color="auto"/>
              <w:left w:val="single" w:sz="4" w:space="0" w:color="auto"/>
              <w:bottom w:val="single" w:sz="4" w:space="0" w:color="auto"/>
              <w:right w:val="single" w:sz="4" w:space="0" w:color="auto"/>
            </w:tcBorders>
            <w:vAlign w:val="center"/>
            <w:hideMark/>
          </w:tcPr>
          <w:p w14:paraId="6D510FA9"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K</w:t>
            </w:r>
          </w:p>
        </w:tc>
        <w:tc>
          <w:tcPr>
            <w:tcW w:w="874" w:type="dxa"/>
            <w:tcBorders>
              <w:top w:val="single" w:sz="4" w:space="0" w:color="auto"/>
              <w:left w:val="single" w:sz="4" w:space="0" w:color="auto"/>
              <w:bottom w:val="single" w:sz="4" w:space="0" w:color="auto"/>
              <w:right w:val="single" w:sz="4" w:space="0" w:color="auto"/>
            </w:tcBorders>
            <w:vAlign w:val="center"/>
            <w:hideMark/>
          </w:tcPr>
          <w:p w14:paraId="59D2C94B"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54</w:t>
            </w:r>
          </w:p>
        </w:tc>
        <w:tc>
          <w:tcPr>
            <w:tcW w:w="875" w:type="dxa"/>
            <w:tcBorders>
              <w:top w:val="single" w:sz="4" w:space="0" w:color="auto"/>
              <w:left w:val="single" w:sz="4" w:space="0" w:color="auto"/>
              <w:bottom w:val="single" w:sz="4" w:space="0" w:color="auto"/>
              <w:right w:val="single" w:sz="4" w:space="0" w:color="auto"/>
            </w:tcBorders>
            <w:vAlign w:val="center"/>
            <w:hideMark/>
          </w:tcPr>
          <w:p w14:paraId="068128AD"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0,3</w:t>
            </w:r>
          </w:p>
        </w:tc>
        <w:tc>
          <w:tcPr>
            <w:tcW w:w="875" w:type="dxa"/>
            <w:tcBorders>
              <w:top w:val="single" w:sz="4" w:space="0" w:color="auto"/>
              <w:left w:val="single" w:sz="4" w:space="0" w:color="auto"/>
              <w:bottom w:val="single" w:sz="4" w:space="0" w:color="auto"/>
              <w:right w:val="single" w:sz="4" w:space="0" w:color="auto"/>
            </w:tcBorders>
            <w:vAlign w:val="center"/>
            <w:hideMark/>
          </w:tcPr>
          <w:p w14:paraId="240233F0"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534</w:t>
            </w:r>
          </w:p>
        </w:tc>
        <w:tc>
          <w:tcPr>
            <w:tcW w:w="874" w:type="dxa"/>
            <w:tcBorders>
              <w:top w:val="single" w:sz="4" w:space="0" w:color="auto"/>
              <w:left w:val="single" w:sz="4" w:space="0" w:color="auto"/>
              <w:bottom w:val="single" w:sz="4" w:space="0" w:color="auto"/>
              <w:right w:val="single" w:sz="4" w:space="0" w:color="auto"/>
            </w:tcBorders>
            <w:vAlign w:val="center"/>
            <w:hideMark/>
          </w:tcPr>
          <w:p w14:paraId="038F55C8"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0,2</w:t>
            </w:r>
          </w:p>
        </w:tc>
        <w:tc>
          <w:tcPr>
            <w:tcW w:w="875" w:type="dxa"/>
            <w:tcBorders>
              <w:top w:val="single" w:sz="4" w:space="0" w:color="auto"/>
              <w:left w:val="single" w:sz="4" w:space="0" w:color="auto"/>
              <w:bottom w:val="single" w:sz="4" w:space="0" w:color="auto"/>
              <w:right w:val="single" w:sz="4" w:space="0" w:color="auto"/>
            </w:tcBorders>
            <w:vAlign w:val="center"/>
            <w:hideMark/>
          </w:tcPr>
          <w:p w14:paraId="2CDA9A1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318,7</w:t>
            </w:r>
          </w:p>
        </w:tc>
        <w:tc>
          <w:tcPr>
            <w:tcW w:w="875" w:type="dxa"/>
            <w:tcBorders>
              <w:top w:val="single" w:sz="4" w:space="0" w:color="auto"/>
              <w:left w:val="single" w:sz="4" w:space="0" w:color="auto"/>
              <w:bottom w:val="single" w:sz="4" w:space="0" w:color="auto"/>
              <w:right w:val="single" w:sz="4" w:space="0" w:color="auto"/>
            </w:tcBorders>
            <w:vAlign w:val="center"/>
            <w:hideMark/>
          </w:tcPr>
          <w:p w14:paraId="59566CA6"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0,5</w:t>
            </w:r>
          </w:p>
        </w:tc>
      </w:tr>
      <w:tr w:rsidR="00F37DCB" w14:paraId="7A17D326"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1A4CC058" w14:textId="77777777" w:rsidR="00442B57" w:rsidRPr="00442B57" w:rsidRDefault="00000000" w:rsidP="00442B57">
            <w:pPr>
              <w:ind w:left="-57" w:right="-57"/>
              <w:rPr>
                <w:rFonts w:ascii="Times New Roman" w:hAnsi="Times New Roman"/>
              </w:rPr>
            </w:pPr>
            <w:r w:rsidRPr="00442B57">
              <w:rPr>
                <w:rFonts w:ascii="Times New Roman" w:hAnsi="Times New Roman"/>
              </w:rPr>
              <w:t>Операції з нерухомим майном</w:t>
            </w:r>
          </w:p>
        </w:tc>
        <w:tc>
          <w:tcPr>
            <w:tcW w:w="894" w:type="dxa"/>
            <w:tcBorders>
              <w:top w:val="single" w:sz="4" w:space="0" w:color="auto"/>
              <w:left w:val="single" w:sz="4" w:space="0" w:color="auto"/>
              <w:bottom w:val="single" w:sz="4" w:space="0" w:color="auto"/>
              <w:right w:val="single" w:sz="4" w:space="0" w:color="auto"/>
            </w:tcBorders>
            <w:vAlign w:val="center"/>
            <w:hideMark/>
          </w:tcPr>
          <w:p w14:paraId="0D7BC04C"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L</w:t>
            </w:r>
          </w:p>
        </w:tc>
        <w:tc>
          <w:tcPr>
            <w:tcW w:w="874" w:type="dxa"/>
            <w:tcBorders>
              <w:top w:val="single" w:sz="4" w:space="0" w:color="auto"/>
              <w:left w:val="single" w:sz="4" w:space="0" w:color="auto"/>
              <w:bottom w:val="single" w:sz="4" w:space="0" w:color="auto"/>
              <w:right w:val="single" w:sz="4" w:space="0" w:color="auto"/>
            </w:tcBorders>
            <w:vAlign w:val="center"/>
            <w:hideMark/>
          </w:tcPr>
          <w:p w14:paraId="5F8CCC4B"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1696</w:t>
            </w:r>
          </w:p>
        </w:tc>
        <w:tc>
          <w:tcPr>
            <w:tcW w:w="875" w:type="dxa"/>
            <w:tcBorders>
              <w:top w:val="single" w:sz="4" w:space="0" w:color="auto"/>
              <w:left w:val="single" w:sz="4" w:space="0" w:color="auto"/>
              <w:bottom w:val="single" w:sz="4" w:space="0" w:color="auto"/>
              <w:right w:val="single" w:sz="4" w:space="0" w:color="auto"/>
            </w:tcBorders>
            <w:vAlign w:val="center"/>
            <w:hideMark/>
          </w:tcPr>
          <w:p w14:paraId="37864B4A"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9,8</w:t>
            </w:r>
          </w:p>
        </w:tc>
        <w:tc>
          <w:tcPr>
            <w:tcW w:w="875" w:type="dxa"/>
            <w:tcBorders>
              <w:top w:val="single" w:sz="4" w:space="0" w:color="auto"/>
              <w:left w:val="single" w:sz="4" w:space="0" w:color="auto"/>
              <w:bottom w:val="single" w:sz="4" w:space="0" w:color="auto"/>
              <w:right w:val="single" w:sz="4" w:space="0" w:color="auto"/>
            </w:tcBorders>
            <w:vAlign w:val="center"/>
            <w:hideMark/>
          </w:tcPr>
          <w:p w14:paraId="36031AE5"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12739</w:t>
            </w:r>
          </w:p>
        </w:tc>
        <w:tc>
          <w:tcPr>
            <w:tcW w:w="874" w:type="dxa"/>
            <w:tcBorders>
              <w:top w:val="single" w:sz="4" w:space="0" w:color="auto"/>
              <w:left w:val="single" w:sz="4" w:space="0" w:color="auto"/>
              <w:bottom w:val="single" w:sz="4" w:space="0" w:color="auto"/>
              <w:right w:val="single" w:sz="4" w:space="0" w:color="auto"/>
            </w:tcBorders>
            <w:vAlign w:val="center"/>
            <w:hideMark/>
          </w:tcPr>
          <w:p w14:paraId="302B81D5"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4,4</w:t>
            </w:r>
          </w:p>
        </w:tc>
        <w:tc>
          <w:tcPr>
            <w:tcW w:w="875" w:type="dxa"/>
            <w:tcBorders>
              <w:top w:val="single" w:sz="4" w:space="0" w:color="auto"/>
              <w:left w:val="single" w:sz="4" w:space="0" w:color="auto"/>
              <w:bottom w:val="single" w:sz="4" w:space="0" w:color="auto"/>
              <w:right w:val="single" w:sz="4" w:space="0" w:color="auto"/>
            </w:tcBorders>
            <w:vAlign w:val="center"/>
            <w:hideMark/>
          </w:tcPr>
          <w:p w14:paraId="10209C87"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200,9</w:t>
            </w:r>
          </w:p>
        </w:tc>
        <w:tc>
          <w:tcPr>
            <w:tcW w:w="875" w:type="dxa"/>
            <w:tcBorders>
              <w:top w:val="single" w:sz="4" w:space="0" w:color="auto"/>
              <w:left w:val="single" w:sz="4" w:space="0" w:color="auto"/>
              <w:bottom w:val="single" w:sz="4" w:space="0" w:color="auto"/>
              <w:right w:val="single" w:sz="4" w:space="0" w:color="auto"/>
            </w:tcBorders>
            <w:vAlign w:val="center"/>
            <w:hideMark/>
          </w:tcPr>
          <w:p w14:paraId="4E2199D8"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0,3</w:t>
            </w:r>
          </w:p>
        </w:tc>
      </w:tr>
      <w:tr w:rsidR="00F37DCB" w14:paraId="3A56897D"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7F0C5748" w14:textId="77777777" w:rsidR="00442B57" w:rsidRPr="00442B57" w:rsidRDefault="00000000" w:rsidP="00442B57">
            <w:pPr>
              <w:ind w:left="-57" w:right="-57"/>
              <w:rPr>
                <w:rFonts w:ascii="Times New Roman" w:hAnsi="Times New Roman"/>
              </w:rPr>
            </w:pPr>
            <w:r w:rsidRPr="00442B57">
              <w:rPr>
                <w:rFonts w:ascii="Times New Roman" w:hAnsi="Times New Roman"/>
              </w:rPr>
              <w:t>Професійна, наукова та технічна діяльність</w:t>
            </w:r>
          </w:p>
        </w:tc>
        <w:tc>
          <w:tcPr>
            <w:tcW w:w="894" w:type="dxa"/>
            <w:tcBorders>
              <w:top w:val="single" w:sz="4" w:space="0" w:color="auto"/>
              <w:left w:val="single" w:sz="4" w:space="0" w:color="auto"/>
              <w:bottom w:val="single" w:sz="4" w:space="0" w:color="auto"/>
              <w:right w:val="single" w:sz="4" w:space="0" w:color="auto"/>
            </w:tcBorders>
            <w:vAlign w:val="center"/>
            <w:hideMark/>
          </w:tcPr>
          <w:p w14:paraId="177D5660"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M</w:t>
            </w:r>
          </w:p>
        </w:tc>
        <w:tc>
          <w:tcPr>
            <w:tcW w:w="874" w:type="dxa"/>
            <w:tcBorders>
              <w:top w:val="single" w:sz="4" w:space="0" w:color="auto"/>
              <w:left w:val="single" w:sz="4" w:space="0" w:color="auto"/>
              <w:bottom w:val="single" w:sz="4" w:space="0" w:color="auto"/>
              <w:right w:val="single" w:sz="4" w:space="0" w:color="auto"/>
            </w:tcBorders>
            <w:vAlign w:val="center"/>
            <w:hideMark/>
          </w:tcPr>
          <w:p w14:paraId="3E67660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971</w:t>
            </w:r>
          </w:p>
        </w:tc>
        <w:tc>
          <w:tcPr>
            <w:tcW w:w="875" w:type="dxa"/>
            <w:tcBorders>
              <w:top w:val="single" w:sz="4" w:space="0" w:color="auto"/>
              <w:left w:val="single" w:sz="4" w:space="0" w:color="auto"/>
              <w:bottom w:val="single" w:sz="4" w:space="0" w:color="auto"/>
              <w:right w:val="single" w:sz="4" w:space="0" w:color="auto"/>
            </w:tcBorders>
            <w:vAlign w:val="center"/>
            <w:hideMark/>
          </w:tcPr>
          <w:p w14:paraId="1FC233D9"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5,6</w:t>
            </w:r>
          </w:p>
        </w:tc>
        <w:tc>
          <w:tcPr>
            <w:tcW w:w="875" w:type="dxa"/>
            <w:tcBorders>
              <w:top w:val="single" w:sz="4" w:space="0" w:color="auto"/>
              <w:left w:val="single" w:sz="4" w:space="0" w:color="auto"/>
              <w:bottom w:val="single" w:sz="4" w:space="0" w:color="auto"/>
              <w:right w:val="single" w:sz="4" w:space="0" w:color="auto"/>
            </w:tcBorders>
            <w:vAlign w:val="center"/>
            <w:hideMark/>
          </w:tcPr>
          <w:p w14:paraId="784BD7BB"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4895</w:t>
            </w:r>
          </w:p>
        </w:tc>
        <w:tc>
          <w:tcPr>
            <w:tcW w:w="874" w:type="dxa"/>
            <w:tcBorders>
              <w:top w:val="single" w:sz="4" w:space="0" w:color="auto"/>
              <w:left w:val="single" w:sz="4" w:space="0" w:color="auto"/>
              <w:bottom w:val="single" w:sz="4" w:space="0" w:color="auto"/>
              <w:right w:val="single" w:sz="4" w:space="0" w:color="auto"/>
            </w:tcBorders>
            <w:vAlign w:val="center"/>
            <w:hideMark/>
          </w:tcPr>
          <w:p w14:paraId="10A02137"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1,7</w:t>
            </w:r>
          </w:p>
        </w:tc>
        <w:tc>
          <w:tcPr>
            <w:tcW w:w="875" w:type="dxa"/>
            <w:tcBorders>
              <w:top w:val="single" w:sz="4" w:space="0" w:color="auto"/>
              <w:left w:val="single" w:sz="4" w:space="0" w:color="auto"/>
              <w:bottom w:val="single" w:sz="4" w:space="0" w:color="auto"/>
              <w:right w:val="single" w:sz="4" w:space="0" w:color="auto"/>
            </w:tcBorders>
            <w:vAlign w:val="center"/>
            <w:hideMark/>
          </w:tcPr>
          <w:p w14:paraId="6A26ED41"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260,2</w:t>
            </w:r>
          </w:p>
        </w:tc>
        <w:tc>
          <w:tcPr>
            <w:tcW w:w="875" w:type="dxa"/>
            <w:tcBorders>
              <w:top w:val="single" w:sz="4" w:space="0" w:color="auto"/>
              <w:left w:val="single" w:sz="4" w:space="0" w:color="auto"/>
              <w:bottom w:val="single" w:sz="4" w:space="0" w:color="auto"/>
              <w:right w:val="single" w:sz="4" w:space="0" w:color="auto"/>
            </w:tcBorders>
            <w:vAlign w:val="center"/>
            <w:hideMark/>
          </w:tcPr>
          <w:p w14:paraId="7268D23E"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0,4</w:t>
            </w:r>
          </w:p>
        </w:tc>
      </w:tr>
      <w:tr w:rsidR="00F37DCB" w14:paraId="0F0628B9"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24E548B8" w14:textId="77777777" w:rsidR="00442B57" w:rsidRPr="00442B57" w:rsidRDefault="00000000" w:rsidP="00442B57">
            <w:pPr>
              <w:ind w:left="-57" w:right="-57"/>
              <w:rPr>
                <w:rFonts w:ascii="Times New Roman" w:hAnsi="Times New Roman"/>
              </w:rPr>
            </w:pPr>
            <w:r w:rsidRPr="00442B57">
              <w:rPr>
                <w:rFonts w:ascii="Times New Roman" w:hAnsi="Times New Roman"/>
              </w:rPr>
              <w:t>Діяльність у сфері адміністративного та допоміжного обслуговування</w:t>
            </w:r>
          </w:p>
        </w:tc>
        <w:tc>
          <w:tcPr>
            <w:tcW w:w="894" w:type="dxa"/>
            <w:tcBorders>
              <w:top w:val="single" w:sz="4" w:space="0" w:color="auto"/>
              <w:left w:val="single" w:sz="4" w:space="0" w:color="auto"/>
              <w:bottom w:val="single" w:sz="4" w:space="0" w:color="auto"/>
              <w:right w:val="single" w:sz="4" w:space="0" w:color="auto"/>
            </w:tcBorders>
            <w:vAlign w:val="center"/>
            <w:hideMark/>
          </w:tcPr>
          <w:p w14:paraId="0B237930"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N</w:t>
            </w:r>
          </w:p>
        </w:tc>
        <w:tc>
          <w:tcPr>
            <w:tcW w:w="874" w:type="dxa"/>
            <w:tcBorders>
              <w:top w:val="single" w:sz="4" w:space="0" w:color="auto"/>
              <w:left w:val="single" w:sz="4" w:space="0" w:color="auto"/>
              <w:bottom w:val="single" w:sz="4" w:space="0" w:color="auto"/>
              <w:right w:val="single" w:sz="4" w:space="0" w:color="auto"/>
            </w:tcBorders>
            <w:vAlign w:val="center"/>
            <w:hideMark/>
          </w:tcPr>
          <w:p w14:paraId="6AECDEB5"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914</w:t>
            </w:r>
          </w:p>
        </w:tc>
        <w:tc>
          <w:tcPr>
            <w:tcW w:w="875" w:type="dxa"/>
            <w:tcBorders>
              <w:top w:val="single" w:sz="4" w:space="0" w:color="auto"/>
              <w:left w:val="single" w:sz="4" w:space="0" w:color="auto"/>
              <w:bottom w:val="single" w:sz="4" w:space="0" w:color="auto"/>
              <w:right w:val="single" w:sz="4" w:space="0" w:color="auto"/>
            </w:tcBorders>
            <w:vAlign w:val="center"/>
            <w:hideMark/>
          </w:tcPr>
          <w:p w14:paraId="1C28AF68"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5,3</w:t>
            </w:r>
          </w:p>
        </w:tc>
        <w:tc>
          <w:tcPr>
            <w:tcW w:w="875" w:type="dxa"/>
            <w:tcBorders>
              <w:top w:val="single" w:sz="4" w:space="0" w:color="auto"/>
              <w:left w:val="single" w:sz="4" w:space="0" w:color="auto"/>
              <w:bottom w:val="single" w:sz="4" w:space="0" w:color="auto"/>
              <w:right w:val="single" w:sz="4" w:space="0" w:color="auto"/>
            </w:tcBorders>
            <w:vAlign w:val="center"/>
            <w:hideMark/>
          </w:tcPr>
          <w:p w14:paraId="5FDDE0C0"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10416</w:t>
            </w:r>
          </w:p>
        </w:tc>
        <w:tc>
          <w:tcPr>
            <w:tcW w:w="874" w:type="dxa"/>
            <w:tcBorders>
              <w:top w:val="single" w:sz="4" w:space="0" w:color="auto"/>
              <w:left w:val="single" w:sz="4" w:space="0" w:color="auto"/>
              <w:bottom w:val="single" w:sz="4" w:space="0" w:color="auto"/>
              <w:right w:val="single" w:sz="4" w:space="0" w:color="auto"/>
            </w:tcBorders>
            <w:vAlign w:val="center"/>
            <w:hideMark/>
          </w:tcPr>
          <w:p w14:paraId="5E0419E3"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3,6</w:t>
            </w:r>
          </w:p>
        </w:tc>
        <w:tc>
          <w:tcPr>
            <w:tcW w:w="875" w:type="dxa"/>
            <w:tcBorders>
              <w:top w:val="single" w:sz="4" w:space="0" w:color="auto"/>
              <w:left w:val="single" w:sz="4" w:space="0" w:color="auto"/>
              <w:bottom w:val="single" w:sz="4" w:space="0" w:color="auto"/>
              <w:right w:val="single" w:sz="4" w:space="0" w:color="auto"/>
            </w:tcBorders>
            <w:vAlign w:val="center"/>
            <w:hideMark/>
          </w:tcPr>
          <w:p w14:paraId="5E620822"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240,2</w:t>
            </w:r>
          </w:p>
        </w:tc>
        <w:tc>
          <w:tcPr>
            <w:tcW w:w="875" w:type="dxa"/>
            <w:tcBorders>
              <w:top w:val="single" w:sz="4" w:space="0" w:color="auto"/>
              <w:left w:val="single" w:sz="4" w:space="0" w:color="auto"/>
              <w:bottom w:val="single" w:sz="4" w:space="0" w:color="auto"/>
              <w:right w:val="single" w:sz="4" w:space="0" w:color="auto"/>
            </w:tcBorders>
            <w:vAlign w:val="center"/>
            <w:hideMark/>
          </w:tcPr>
          <w:p w14:paraId="71DEE50D"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0,4</w:t>
            </w:r>
          </w:p>
        </w:tc>
      </w:tr>
      <w:tr w:rsidR="00F37DCB" w14:paraId="70DB1BEE"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7A550490" w14:textId="77777777" w:rsidR="00442B57" w:rsidRPr="00442B57" w:rsidRDefault="00000000" w:rsidP="00442B57">
            <w:pPr>
              <w:ind w:left="-57" w:right="-57"/>
              <w:rPr>
                <w:rFonts w:ascii="Times New Roman" w:hAnsi="Times New Roman"/>
              </w:rPr>
            </w:pPr>
            <w:r w:rsidRPr="00442B57">
              <w:rPr>
                <w:rFonts w:ascii="Times New Roman" w:hAnsi="Times New Roman"/>
              </w:rPr>
              <w:t>Освіта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2A9D13D5"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P</w:t>
            </w:r>
          </w:p>
        </w:tc>
        <w:tc>
          <w:tcPr>
            <w:tcW w:w="874" w:type="dxa"/>
            <w:tcBorders>
              <w:top w:val="single" w:sz="4" w:space="0" w:color="auto"/>
              <w:left w:val="single" w:sz="4" w:space="0" w:color="auto"/>
              <w:bottom w:val="single" w:sz="4" w:space="0" w:color="auto"/>
              <w:right w:val="single" w:sz="4" w:space="0" w:color="auto"/>
            </w:tcBorders>
            <w:vAlign w:val="center"/>
            <w:hideMark/>
          </w:tcPr>
          <w:p w14:paraId="670E8E3F"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136</w:t>
            </w:r>
          </w:p>
        </w:tc>
        <w:tc>
          <w:tcPr>
            <w:tcW w:w="875" w:type="dxa"/>
            <w:tcBorders>
              <w:top w:val="single" w:sz="4" w:space="0" w:color="auto"/>
              <w:left w:val="single" w:sz="4" w:space="0" w:color="auto"/>
              <w:bottom w:val="single" w:sz="4" w:space="0" w:color="auto"/>
              <w:right w:val="single" w:sz="4" w:space="0" w:color="auto"/>
            </w:tcBorders>
            <w:vAlign w:val="center"/>
            <w:hideMark/>
          </w:tcPr>
          <w:p w14:paraId="3473E5BF"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0,8</w:t>
            </w:r>
          </w:p>
        </w:tc>
        <w:tc>
          <w:tcPr>
            <w:tcW w:w="875" w:type="dxa"/>
            <w:tcBorders>
              <w:top w:val="single" w:sz="4" w:space="0" w:color="auto"/>
              <w:left w:val="single" w:sz="4" w:space="0" w:color="auto"/>
              <w:bottom w:val="single" w:sz="4" w:space="0" w:color="auto"/>
              <w:right w:val="single" w:sz="4" w:space="0" w:color="auto"/>
            </w:tcBorders>
            <w:vAlign w:val="center"/>
            <w:hideMark/>
          </w:tcPr>
          <w:p w14:paraId="5D41A893"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1538</w:t>
            </w:r>
          </w:p>
        </w:tc>
        <w:tc>
          <w:tcPr>
            <w:tcW w:w="874" w:type="dxa"/>
            <w:tcBorders>
              <w:top w:val="single" w:sz="4" w:space="0" w:color="auto"/>
              <w:left w:val="single" w:sz="4" w:space="0" w:color="auto"/>
              <w:bottom w:val="single" w:sz="4" w:space="0" w:color="auto"/>
              <w:right w:val="single" w:sz="4" w:space="0" w:color="auto"/>
            </w:tcBorders>
            <w:vAlign w:val="center"/>
            <w:hideMark/>
          </w:tcPr>
          <w:p w14:paraId="3AED0797"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14:paraId="3248ECD2"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24,9</w:t>
            </w:r>
          </w:p>
        </w:tc>
        <w:tc>
          <w:tcPr>
            <w:tcW w:w="875" w:type="dxa"/>
            <w:tcBorders>
              <w:top w:val="single" w:sz="4" w:space="0" w:color="auto"/>
              <w:left w:val="single" w:sz="4" w:space="0" w:color="auto"/>
              <w:bottom w:val="single" w:sz="4" w:space="0" w:color="auto"/>
              <w:right w:val="single" w:sz="4" w:space="0" w:color="auto"/>
            </w:tcBorders>
            <w:vAlign w:val="center"/>
            <w:hideMark/>
          </w:tcPr>
          <w:p w14:paraId="32B1FA46"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0,0</w:t>
            </w:r>
          </w:p>
        </w:tc>
      </w:tr>
      <w:tr w:rsidR="00F37DCB" w14:paraId="118546BF"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20CB64C3" w14:textId="77777777" w:rsidR="00442B57" w:rsidRPr="00442B57" w:rsidRDefault="00000000" w:rsidP="00442B57">
            <w:pPr>
              <w:ind w:left="-57" w:right="-57"/>
              <w:rPr>
                <w:rFonts w:ascii="Times New Roman" w:hAnsi="Times New Roman"/>
              </w:rPr>
            </w:pPr>
            <w:r w:rsidRPr="00442B57">
              <w:rPr>
                <w:rFonts w:ascii="Times New Roman" w:hAnsi="Times New Roman"/>
              </w:rPr>
              <w:t>Охорона здоров’я та надання соціальної допомоги</w:t>
            </w:r>
          </w:p>
        </w:tc>
        <w:tc>
          <w:tcPr>
            <w:tcW w:w="894" w:type="dxa"/>
            <w:tcBorders>
              <w:top w:val="single" w:sz="4" w:space="0" w:color="auto"/>
              <w:left w:val="single" w:sz="4" w:space="0" w:color="auto"/>
              <w:bottom w:val="single" w:sz="4" w:space="0" w:color="auto"/>
              <w:right w:val="single" w:sz="4" w:space="0" w:color="auto"/>
            </w:tcBorders>
            <w:vAlign w:val="center"/>
            <w:hideMark/>
          </w:tcPr>
          <w:p w14:paraId="35E54483"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Q</w:t>
            </w:r>
          </w:p>
        </w:tc>
        <w:tc>
          <w:tcPr>
            <w:tcW w:w="874" w:type="dxa"/>
            <w:tcBorders>
              <w:top w:val="single" w:sz="4" w:space="0" w:color="auto"/>
              <w:left w:val="single" w:sz="4" w:space="0" w:color="auto"/>
              <w:bottom w:val="single" w:sz="4" w:space="0" w:color="auto"/>
              <w:right w:val="single" w:sz="4" w:space="0" w:color="auto"/>
            </w:tcBorders>
            <w:vAlign w:val="center"/>
            <w:hideMark/>
          </w:tcPr>
          <w:p w14:paraId="37822DDB"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348</w:t>
            </w:r>
          </w:p>
        </w:tc>
        <w:tc>
          <w:tcPr>
            <w:tcW w:w="875" w:type="dxa"/>
            <w:tcBorders>
              <w:top w:val="single" w:sz="4" w:space="0" w:color="auto"/>
              <w:left w:val="single" w:sz="4" w:space="0" w:color="auto"/>
              <w:bottom w:val="single" w:sz="4" w:space="0" w:color="auto"/>
              <w:right w:val="single" w:sz="4" w:space="0" w:color="auto"/>
            </w:tcBorders>
            <w:vAlign w:val="center"/>
            <w:hideMark/>
          </w:tcPr>
          <w:p w14:paraId="1826035A"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2,0</w:t>
            </w:r>
          </w:p>
        </w:tc>
        <w:tc>
          <w:tcPr>
            <w:tcW w:w="875" w:type="dxa"/>
            <w:tcBorders>
              <w:top w:val="single" w:sz="4" w:space="0" w:color="auto"/>
              <w:left w:val="single" w:sz="4" w:space="0" w:color="auto"/>
              <w:bottom w:val="single" w:sz="4" w:space="0" w:color="auto"/>
              <w:right w:val="single" w:sz="4" w:space="0" w:color="auto"/>
            </w:tcBorders>
            <w:vAlign w:val="center"/>
            <w:hideMark/>
          </w:tcPr>
          <w:p w14:paraId="055B508A"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27917</w:t>
            </w:r>
          </w:p>
        </w:tc>
        <w:tc>
          <w:tcPr>
            <w:tcW w:w="874" w:type="dxa"/>
            <w:tcBorders>
              <w:top w:val="single" w:sz="4" w:space="0" w:color="auto"/>
              <w:left w:val="single" w:sz="4" w:space="0" w:color="auto"/>
              <w:bottom w:val="single" w:sz="4" w:space="0" w:color="auto"/>
              <w:right w:val="single" w:sz="4" w:space="0" w:color="auto"/>
            </w:tcBorders>
            <w:vAlign w:val="center"/>
            <w:hideMark/>
          </w:tcPr>
          <w:p w14:paraId="1B2D847E"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9,7</w:t>
            </w:r>
          </w:p>
        </w:tc>
        <w:tc>
          <w:tcPr>
            <w:tcW w:w="875" w:type="dxa"/>
            <w:tcBorders>
              <w:top w:val="single" w:sz="4" w:space="0" w:color="auto"/>
              <w:left w:val="single" w:sz="4" w:space="0" w:color="auto"/>
              <w:bottom w:val="single" w:sz="4" w:space="0" w:color="auto"/>
              <w:right w:val="single" w:sz="4" w:space="0" w:color="auto"/>
            </w:tcBorders>
            <w:vAlign w:val="center"/>
            <w:hideMark/>
          </w:tcPr>
          <w:p w14:paraId="3C409EC1"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37,8</w:t>
            </w:r>
          </w:p>
        </w:tc>
        <w:tc>
          <w:tcPr>
            <w:tcW w:w="875" w:type="dxa"/>
            <w:tcBorders>
              <w:top w:val="single" w:sz="4" w:space="0" w:color="auto"/>
              <w:left w:val="single" w:sz="4" w:space="0" w:color="auto"/>
              <w:bottom w:val="single" w:sz="4" w:space="0" w:color="auto"/>
              <w:right w:val="single" w:sz="4" w:space="0" w:color="auto"/>
            </w:tcBorders>
            <w:vAlign w:val="center"/>
            <w:hideMark/>
          </w:tcPr>
          <w:p w14:paraId="161728CF"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0,1</w:t>
            </w:r>
          </w:p>
        </w:tc>
      </w:tr>
      <w:tr w:rsidR="00F37DCB" w14:paraId="49BC564E"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40F7D40B" w14:textId="77777777" w:rsidR="00442B57" w:rsidRPr="00442B57" w:rsidRDefault="00000000" w:rsidP="00442B57">
            <w:pPr>
              <w:ind w:left="-57" w:right="-57"/>
              <w:rPr>
                <w:rFonts w:ascii="Times New Roman" w:hAnsi="Times New Roman"/>
              </w:rPr>
            </w:pPr>
            <w:r w:rsidRPr="00442B57">
              <w:rPr>
                <w:rFonts w:ascii="Times New Roman" w:hAnsi="Times New Roman"/>
              </w:rPr>
              <w:t>Мистецтво, спорт, розваги та відпочинок</w:t>
            </w:r>
          </w:p>
        </w:tc>
        <w:tc>
          <w:tcPr>
            <w:tcW w:w="894" w:type="dxa"/>
            <w:tcBorders>
              <w:top w:val="single" w:sz="4" w:space="0" w:color="auto"/>
              <w:left w:val="single" w:sz="4" w:space="0" w:color="auto"/>
              <w:bottom w:val="single" w:sz="4" w:space="0" w:color="auto"/>
              <w:right w:val="single" w:sz="4" w:space="0" w:color="auto"/>
            </w:tcBorders>
            <w:vAlign w:val="center"/>
            <w:hideMark/>
          </w:tcPr>
          <w:p w14:paraId="7E8E8ED9"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R</w:t>
            </w:r>
          </w:p>
        </w:tc>
        <w:tc>
          <w:tcPr>
            <w:tcW w:w="874" w:type="dxa"/>
            <w:tcBorders>
              <w:top w:val="single" w:sz="4" w:space="0" w:color="auto"/>
              <w:left w:val="single" w:sz="4" w:space="0" w:color="auto"/>
              <w:bottom w:val="single" w:sz="4" w:space="0" w:color="auto"/>
              <w:right w:val="single" w:sz="4" w:space="0" w:color="auto"/>
            </w:tcBorders>
            <w:vAlign w:val="center"/>
            <w:hideMark/>
          </w:tcPr>
          <w:p w14:paraId="3E0B0767"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90</w:t>
            </w:r>
          </w:p>
        </w:tc>
        <w:tc>
          <w:tcPr>
            <w:tcW w:w="875" w:type="dxa"/>
            <w:tcBorders>
              <w:top w:val="single" w:sz="4" w:space="0" w:color="auto"/>
              <w:left w:val="single" w:sz="4" w:space="0" w:color="auto"/>
              <w:bottom w:val="single" w:sz="4" w:space="0" w:color="auto"/>
              <w:right w:val="single" w:sz="4" w:space="0" w:color="auto"/>
            </w:tcBorders>
            <w:vAlign w:val="center"/>
            <w:hideMark/>
          </w:tcPr>
          <w:p w14:paraId="4827DBE6"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14:paraId="3C2BEC75"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1451</w:t>
            </w:r>
          </w:p>
        </w:tc>
        <w:tc>
          <w:tcPr>
            <w:tcW w:w="874" w:type="dxa"/>
            <w:tcBorders>
              <w:top w:val="single" w:sz="4" w:space="0" w:color="auto"/>
              <w:left w:val="single" w:sz="4" w:space="0" w:color="auto"/>
              <w:bottom w:val="single" w:sz="4" w:space="0" w:color="auto"/>
              <w:right w:val="single" w:sz="4" w:space="0" w:color="auto"/>
            </w:tcBorders>
            <w:vAlign w:val="center"/>
            <w:hideMark/>
          </w:tcPr>
          <w:p w14:paraId="7C1B1F8A"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14:paraId="3795E592"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-1822,1</w:t>
            </w:r>
          </w:p>
        </w:tc>
        <w:tc>
          <w:tcPr>
            <w:tcW w:w="875" w:type="dxa"/>
            <w:tcBorders>
              <w:top w:val="single" w:sz="4" w:space="0" w:color="auto"/>
              <w:left w:val="single" w:sz="4" w:space="0" w:color="auto"/>
              <w:bottom w:val="single" w:sz="4" w:space="0" w:color="auto"/>
              <w:right w:val="single" w:sz="4" w:space="0" w:color="auto"/>
            </w:tcBorders>
            <w:vAlign w:val="center"/>
            <w:hideMark/>
          </w:tcPr>
          <w:p w14:paraId="0C94F65F"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-2,8</w:t>
            </w:r>
          </w:p>
        </w:tc>
      </w:tr>
      <w:tr w:rsidR="00F37DCB" w14:paraId="46D948FF" w14:textId="77777777" w:rsidTr="00442B57">
        <w:tc>
          <w:tcPr>
            <w:tcW w:w="3485" w:type="dxa"/>
            <w:tcBorders>
              <w:top w:val="single" w:sz="4" w:space="0" w:color="auto"/>
              <w:left w:val="single" w:sz="4" w:space="0" w:color="auto"/>
              <w:bottom w:val="single" w:sz="4" w:space="0" w:color="auto"/>
              <w:right w:val="single" w:sz="4" w:space="0" w:color="auto"/>
            </w:tcBorders>
            <w:vAlign w:val="center"/>
            <w:hideMark/>
          </w:tcPr>
          <w:p w14:paraId="5947C63A" w14:textId="77777777" w:rsidR="00442B57" w:rsidRPr="00442B57" w:rsidRDefault="00000000" w:rsidP="00442B57">
            <w:pPr>
              <w:ind w:left="-57" w:right="-57"/>
              <w:rPr>
                <w:rFonts w:ascii="Times New Roman" w:hAnsi="Times New Roman"/>
              </w:rPr>
            </w:pPr>
            <w:r w:rsidRPr="00442B57">
              <w:rPr>
                <w:rFonts w:ascii="Times New Roman" w:hAnsi="Times New Roman"/>
              </w:rPr>
              <w:t>Надання інших видів послуг</w:t>
            </w:r>
          </w:p>
        </w:tc>
        <w:tc>
          <w:tcPr>
            <w:tcW w:w="894" w:type="dxa"/>
            <w:tcBorders>
              <w:top w:val="single" w:sz="4" w:space="0" w:color="auto"/>
              <w:left w:val="single" w:sz="4" w:space="0" w:color="auto"/>
              <w:bottom w:val="single" w:sz="4" w:space="0" w:color="auto"/>
              <w:right w:val="single" w:sz="4" w:space="0" w:color="auto"/>
            </w:tcBorders>
            <w:vAlign w:val="center"/>
            <w:hideMark/>
          </w:tcPr>
          <w:p w14:paraId="318C7B62" w14:textId="77777777" w:rsidR="00442B57" w:rsidRPr="00442B57" w:rsidRDefault="00000000" w:rsidP="00442B57">
            <w:pPr>
              <w:ind w:left="-57" w:right="-57"/>
              <w:jc w:val="center"/>
              <w:rPr>
                <w:rFonts w:ascii="Times New Roman" w:hAnsi="Times New Roman"/>
              </w:rPr>
            </w:pPr>
            <w:r w:rsidRPr="00442B57">
              <w:rPr>
                <w:rFonts w:ascii="Times New Roman" w:hAnsi="Times New Roman"/>
              </w:rPr>
              <w:t>S</w:t>
            </w:r>
          </w:p>
        </w:tc>
        <w:tc>
          <w:tcPr>
            <w:tcW w:w="874" w:type="dxa"/>
            <w:tcBorders>
              <w:top w:val="single" w:sz="4" w:space="0" w:color="auto"/>
              <w:left w:val="single" w:sz="4" w:space="0" w:color="auto"/>
              <w:bottom w:val="single" w:sz="4" w:space="0" w:color="auto"/>
              <w:right w:val="single" w:sz="4" w:space="0" w:color="auto"/>
            </w:tcBorders>
            <w:vAlign w:val="center"/>
            <w:hideMark/>
          </w:tcPr>
          <w:p w14:paraId="7566300C"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78</w:t>
            </w:r>
          </w:p>
        </w:tc>
        <w:tc>
          <w:tcPr>
            <w:tcW w:w="875" w:type="dxa"/>
            <w:tcBorders>
              <w:top w:val="single" w:sz="4" w:space="0" w:color="auto"/>
              <w:left w:val="single" w:sz="4" w:space="0" w:color="auto"/>
              <w:bottom w:val="single" w:sz="4" w:space="0" w:color="auto"/>
              <w:right w:val="single" w:sz="4" w:space="0" w:color="auto"/>
            </w:tcBorders>
            <w:vAlign w:val="center"/>
            <w:hideMark/>
          </w:tcPr>
          <w:p w14:paraId="6C4E2734"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14:paraId="0D42F6FF"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color w:val="000000"/>
              </w:rPr>
              <w:t>499</w:t>
            </w:r>
          </w:p>
        </w:tc>
        <w:tc>
          <w:tcPr>
            <w:tcW w:w="874" w:type="dxa"/>
            <w:tcBorders>
              <w:top w:val="single" w:sz="4" w:space="0" w:color="auto"/>
              <w:left w:val="single" w:sz="4" w:space="0" w:color="auto"/>
              <w:bottom w:val="single" w:sz="4" w:space="0" w:color="auto"/>
              <w:right w:val="single" w:sz="4" w:space="0" w:color="auto"/>
            </w:tcBorders>
            <w:vAlign w:val="center"/>
            <w:hideMark/>
          </w:tcPr>
          <w:p w14:paraId="5D0A46EA"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0,2</w:t>
            </w:r>
          </w:p>
        </w:tc>
        <w:tc>
          <w:tcPr>
            <w:tcW w:w="875" w:type="dxa"/>
            <w:tcBorders>
              <w:top w:val="single" w:sz="4" w:space="0" w:color="auto"/>
              <w:left w:val="single" w:sz="4" w:space="0" w:color="auto"/>
              <w:bottom w:val="single" w:sz="4" w:space="0" w:color="auto"/>
              <w:right w:val="single" w:sz="4" w:space="0" w:color="auto"/>
            </w:tcBorders>
            <w:vAlign w:val="center"/>
            <w:hideMark/>
          </w:tcPr>
          <w:p w14:paraId="6E4F5446"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18,7</w:t>
            </w:r>
          </w:p>
        </w:tc>
        <w:tc>
          <w:tcPr>
            <w:tcW w:w="875" w:type="dxa"/>
            <w:tcBorders>
              <w:top w:val="single" w:sz="4" w:space="0" w:color="auto"/>
              <w:left w:val="single" w:sz="4" w:space="0" w:color="auto"/>
              <w:bottom w:val="single" w:sz="4" w:space="0" w:color="auto"/>
              <w:right w:val="single" w:sz="4" w:space="0" w:color="auto"/>
            </w:tcBorders>
            <w:vAlign w:val="center"/>
            <w:hideMark/>
          </w:tcPr>
          <w:p w14:paraId="7460F664" w14:textId="77777777" w:rsidR="00442B57" w:rsidRPr="00442B57" w:rsidRDefault="00000000" w:rsidP="00442B57">
            <w:pPr>
              <w:ind w:left="-57" w:right="-57"/>
              <w:jc w:val="right"/>
              <w:rPr>
                <w:rFonts w:ascii="Times New Roman" w:hAnsi="Times New Roman"/>
              </w:rPr>
            </w:pPr>
            <w:r w:rsidRPr="00442B57">
              <w:rPr>
                <w:rFonts w:ascii="Times New Roman" w:hAnsi="Times New Roman"/>
                <w:color w:val="000000"/>
              </w:rPr>
              <w:t>0,0</w:t>
            </w:r>
          </w:p>
        </w:tc>
      </w:tr>
      <w:tr w:rsidR="00F37DCB" w14:paraId="5F2B7455" w14:textId="77777777" w:rsidTr="00442B57">
        <w:trPr>
          <w:trHeight w:val="58"/>
        </w:trPr>
        <w:tc>
          <w:tcPr>
            <w:tcW w:w="4379" w:type="dxa"/>
            <w:gridSpan w:val="2"/>
            <w:tcBorders>
              <w:top w:val="single" w:sz="4" w:space="0" w:color="auto"/>
              <w:left w:val="single" w:sz="4" w:space="0" w:color="auto"/>
              <w:bottom w:val="single" w:sz="4" w:space="0" w:color="auto"/>
              <w:right w:val="single" w:sz="4" w:space="0" w:color="auto"/>
            </w:tcBorders>
            <w:hideMark/>
          </w:tcPr>
          <w:p w14:paraId="18D2436B" w14:textId="77777777" w:rsidR="00442B57" w:rsidRPr="00442B57" w:rsidRDefault="00000000" w:rsidP="00442B57">
            <w:pPr>
              <w:ind w:left="-57" w:right="-57"/>
              <w:rPr>
                <w:rFonts w:ascii="Times New Roman" w:hAnsi="Times New Roman"/>
              </w:rPr>
            </w:pPr>
            <w:r w:rsidRPr="00442B57">
              <w:rPr>
                <w:rFonts w:ascii="Times New Roman" w:hAnsi="Times New Roman"/>
                <w:b/>
                <w:bCs/>
              </w:rPr>
              <w:t>Усього</w:t>
            </w:r>
          </w:p>
        </w:tc>
        <w:tc>
          <w:tcPr>
            <w:tcW w:w="874" w:type="dxa"/>
            <w:tcBorders>
              <w:top w:val="single" w:sz="4" w:space="0" w:color="auto"/>
              <w:left w:val="single" w:sz="4" w:space="0" w:color="auto"/>
              <w:bottom w:val="single" w:sz="4" w:space="0" w:color="auto"/>
              <w:right w:val="single" w:sz="4" w:space="0" w:color="auto"/>
            </w:tcBorders>
            <w:vAlign w:val="center"/>
            <w:hideMark/>
          </w:tcPr>
          <w:p w14:paraId="55711F1C" w14:textId="77777777" w:rsidR="00442B57" w:rsidRPr="00442B57" w:rsidRDefault="00000000" w:rsidP="00442B57">
            <w:pPr>
              <w:ind w:left="-57" w:right="-57"/>
              <w:jc w:val="right"/>
              <w:rPr>
                <w:rFonts w:ascii="Times New Roman" w:hAnsi="Times New Roman"/>
              </w:rPr>
            </w:pPr>
            <w:r w:rsidRPr="00442B57">
              <w:rPr>
                <w:rFonts w:ascii="Times New Roman" w:hAnsi="Times New Roman"/>
                <w:b/>
                <w:bCs/>
                <w:color w:val="000000"/>
              </w:rPr>
              <w:t>17232</w:t>
            </w:r>
          </w:p>
        </w:tc>
        <w:tc>
          <w:tcPr>
            <w:tcW w:w="875" w:type="dxa"/>
            <w:tcBorders>
              <w:top w:val="single" w:sz="4" w:space="0" w:color="auto"/>
              <w:left w:val="single" w:sz="4" w:space="0" w:color="auto"/>
              <w:bottom w:val="single" w:sz="4" w:space="0" w:color="auto"/>
              <w:right w:val="single" w:sz="4" w:space="0" w:color="auto"/>
            </w:tcBorders>
            <w:vAlign w:val="center"/>
            <w:hideMark/>
          </w:tcPr>
          <w:p w14:paraId="6FC35AB2" w14:textId="77777777" w:rsidR="00442B57" w:rsidRPr="00442B57" w:rsidRDefault="00000000" w:rsidP="00442B57">
            <w:pPr>
              <w:ind w:left="-57" w:right="-57"/>
              <w:jc w:val="right"/>
              <w:rPr>
                <w:rFonts w:ascii="Times New Roman" w:hAnsi="Times New Roman"/>
              </w:rPr>
            </w:pPr>
            <w:r w:rsidRPr="00442B57">
              <w:rPr>
                <w:rFonts w:ascii="Times New Roman" w:hAnsi="Times New Roman"/>
                <w:b/>
                <w:bCs/>
                <w:color w:val="000000"/>
              </w:rPr>
              <w:t>100,0</w:t>
            </w:r>
          </w:p>
        </w:tc>
        <w:tc>
          <w:tcPr>
            <w:tcW w:w="875" w:type="dxa"/>
            <w:tcBorders>
              <w:top w:val="single" w:sz="4" w:space="0" w:color="auto"/>
              <w:left w:val="single" w:sz="4" w:space="0" w:color="auto"/>
              <w:bottom w:val="single" w:sz="4" w:space="0" w:color="auto"/>
              <w:right w:val="single" w:sz="4" w:space="0" w:color="auto"/>
            </w:tcBorders>
            <w:vAlign w:val="center"/>
            <w:hideMark/>
          </w:tcPr>
          <w:p w14:paraId="347B6397" w14:textId="77777777" w:rsidR="00442B57" w:rsidRPr="00442B57" w:rsidRDefault="00000000" w:rsidP="00442B57">
            <w:pPr>
              <w:ind w:left="-57" w:right="-57"/>
              <w:jc w:val="right"/>
              <w:rPr>
                <w:rFonts w:ascii="Times New Roman" w:hAnsi="Times New Roman"/>
                <w:b/>
                <w:bCs/>
                <w:color w:val="000000"/>
              </w:rPr>
            </w:pPr>
            <w:r w:rsidRPr="00442B57">
              <w:rPr>
                <w:rFonts w:ascii="Times New Roman" w:hAnsi="Times New Roman"/>
                <w:b/>
                <w:bCs/>
                <w:color w:val="000000"/>
              </w:rPr>
              <w:t>288288</w:t>
            </w:r>
          </w:p>
        </w:tc>
        <w:tc>
          <w:tcPr>
            <w:tcW w:w="874" w:type="dxa"/>
            <w:tcBorders>
              <w:top w:val="single" w:sz="4" w:space="0" w:color="auto"/>
              <w:left w:val="single" w:sz="4" w:space="0" w:color="auto"/>
              <w:bottom w:val="single" w:sz="4" w:space="0" w:color="auto"/>
              <w:right w:val="single" w:sz="4" w:space="0" w:color="auto"/>
            </w:tcBorders>
            <w:vAlign w:val="center"/>
            <w:hideMark/>
          </w:tcPr>
          <w:p w14:paraId="7CA85452" w14:textId="77777777" w:rsidR="00442B57" w:rsidRPr="00442B57" w:rsidRDefault="00000000" w:rsidP="00442B57">
            <w:pPr>
              <w:ind w:left="-57" w:right="-57"/>
              <w:jc w:val="right"/>
              <w:rPr>
                <w:rFonts w:ascii="Times New Roman" w:hAnsi="Times New Roman"/>
                <w:color w:val="000000"/>
              </w:rPr>
            </w:pPr>
            <w:r w:rsidRPr="00442B57">
              <w:rPr>
                <w:rFonts w:ascii="Times New Roman" w:hAnsi="Times New Roman"/>
                <w:b/>
                <w:bCs/>
                <w:color w:val="000000"/>
              </w:rPr>
              <w:t>100,0</w:t>
            </w:r>
          </w:p>
        </w:tc>
        <w:tc>
          <w:tcPr>
            <w:tcW w:w="875" w:type="dxa"/>
            <w:tcBorders>
              <w:top w:val="single" w:sz="4" w:space="0" w:color="auto"/>
              <w:left w:val="single" w:sz="4" w:space="0" w:color="auto"/>
              <w:bottom w:val="single" w:sz="4" w:space="0" w:color="auto"/>
              <w:right w:val="single" w:sz="4" w:space="0" w:color="auto"/>
            </w:tcBorders>
            <w:vAlign w:val="center"/>
            <w:hideMark/>
          </w:tcPr>
          <w:p w14:paraId="60B7BE08" w14:textId="77777777" w:rsidR="00442B57" w:rsidRPr="00442B57" w:rsidRDefault="00000000" w:rsidP="00442B57">
            <w:pPr>
              <w:ind w:left="-57" w:right="-57"/>
              <w:jc w:val="right"/>
              <w:rPr>
                <w:rFonts w:ascii="Times New Roman" w:hAnsi="Times New Roman"/>
              </w:rPr>
            </w:pPr>
            <w:r w:rsidRPr="00442B57">
              <w:rPr>
                <w:rFonts w:ascii="Times New Roman" w:hAnsi="Times New Roman"/>
                <w:b/>
                <w:bCs/>
                <w:color w:val="000000"/>
              </w:rPr>
              <w:t>65549,6</w:t>
            </w:r>
          </w:p>
        </w:tc>
        <w:tc>
          <w:tcPr>
            <w:tcW w:w="875" w:type="dxa"/>
            <w:tcBorders>
              <w:top w:val="single" w:sz="4" w:space="0" w:color="auto"/>
              <w:left w:val="single" w:sz="4" w:space="0" w:color="auto"/>
              <w:bottom w:val="single" w:sz="4" w:space="0" w:color="auto"/>
              <w:right w:val="single" w:sz="4" w:space="0" w:color="auto"/>
            </w:tcBorders>
            <w:vAlign w:val="center"/>
            <w:hideMark/>
          </w:tcPr>
          <w:p w14:paraId="040216A5" w14:textId="77777777" w:rsidR="00442B57" w:rsidRPr="00442B57" w:rsidRDefault="00000000" w:rsidP="00442B57">
            <w:pPr>
              <w:ind w:left="-57" w:right="-57"/>
              <w:jc w:val="right"/>
              <w:rPr>
                <w:rFonts w:ascii="Times New Roman" w:hAnsi="Times New Roman"/>
              </w:rPr>
            </w:pPr>
            <w:r w:rsidRPr="00442B57">
              <w:rPr>
                <w:rFonts w:ascii="Times New Roman" w:hAnsi="Times New Roman"/>
                <w:b/>
                <w:bCs/>
                <w:color w:val="000000"/>
              </w:rPr>
              <w:t>100,0</w:t>
            </w:r>
          </w:p>
        </w:tc>
      </w:tr>
    </w:tbl>
    <w:p w14:paraId="211ACA28" w14:textId="77777777" w:rsidR="00442B57" w:rsidRPr="00442B57" w:rsidRDefault="00000000" w:rsidP="00442B57">
      <w:pPr>
        <w:spacing w:after="0" w:line="240" w:lineRule="auto"/>
        <w:jc w:val="both"/>
        <w:rPr>
          <w:rFonts w:ascii="Times New Roman" w:eastAsia="Calibri" w:hAnsi="Times New Roman" w:cs="Times New Roman"/>
          <w:kern w:val="2"/>
          <w:sz w:val="24"/>
          <w:szCs w:val="24"/>
          <w:lang w:eastAsia="en-US"/>
          <w14:ligatures w14:val="standardContextual"/>
        </w:rPr>
      </w:pPr>
      <w:r w:rsidRPr="00442B57">
        <w:rPr>
          <w:rFonts w:ascii="Times New Roman" w:eastAsia="Calibri" w:hAnsi="Times New Roman" w:cs="Times New Roman"/>
          <w:i/>
          <w:iCs/>
          <w:kern w:val="2"/>
          <w:sz w:val="24"/>
          <w:szCs w:val="24"/>
          <w:lang w:eastAsia="en-US"/>
          <w14:ligatures w14:val="standardContextual"/>
        </w:rPr>
        <w:t>Джерело:</w:t>
      </w:r>
      <w:r w:rsidRPr="00442B57">
        <w:rPr>
          <w:rFonts w:ascii="Times New Roman" w:eastAsia="Calibri" w:hAnsi="Times New Roman" w:cs="Times New Roman"/>
          <w:kern w:val="2"/>
          <w:sz w:val="24"/>
          <w:szCs w:val="24"/>
          <w:lang w:eastAsia="en-US"/>
          <w14:ligatures w14:val="standardContextual"/>
        </w:rPr>
        <w:t xml:space="preserve"> Головне управління статистики у Київській області – Діяльність підприємств.</w:t>
      </w:r>
    </w:p>
    <w:p w14:paraId="1BCA1BE1" w14:textId="77777777" w:rsidR="00442B57" w:rsidRDefault="00442B57" w:rsidP="00442B57">
      <w:pPr>
        <w:spacing w:after="0" w:line="360" w:lineRule="auto"/>
        <w:jc w:val="both"/>
        <w:rPr>
          <w:rFonts w:ascii="Times New Roman" w:eastAsia="Calibri" w:hAnsi="Times New Roman" w:cs="Times New Roman"/>
          <w:color w:val="809EC2"/>
          <w:kern w:val="2"/>
          <w:sz w:val="24"/>
          <w:szCs w:val="24"/>
          <w:lang w:eastAsia="en-US"/>
          <w14:ligatures w14:val="standardContextual"/>
        </w:rPr>
      </w:pPr>
      <w:hyperlink r:id="rId12" w:history="1">
        <w:r w:rsidRPr="00884EEE">
          <w:rPr>
            <w:rStyle w:val="a8"/>
            <w:rFonts w:ascii="Times New Roman" w:eastAsia="Calibri" w:hAnsi="Times New Roman" w:cs="Times New Roman"/>
            <w:kern w:val="2"/>
            <w:sz w:val="24"/>
            <w:szCs w:val="24"/>
            <w:lang w:eastAsia="en-US"/>
            <w14:ligatures w14:val="standardContextual"/>
          </w:rPr>
          <w:t>http://kyivobl.ukrstat.gov.ua/p.php3?c=88&amp;lang=1</w:t>
        </w:r>
      </w:hyperlink>
      <w:r w:rsidR="00000000" w:rsidRPr="00442B57">
        <w:rPr>
          <w:rFonts w:ascii="Times New Roman" w:eastAsia="Calibri" w:hAnsi="Times New Roman" w:cs="Times New Roman"/>
          <w:color w:val="809EC2"/>
          <w:kern w:val="2"/>
          <w:sz w:val="24"/>
          <w:szCs w:val="24"/>
          <w:lang w:eastAsia="en-US"/>
          <w14:ligatures w14:val="standardContextual"/>
        </w:rPr>
        <w:t xml:space="preserve"> </w:t>
      </w:r>
    </w:p>
    <w:p w14:paraId="339C34D2"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Загалом у регіоні в 2024 р. діяло понад 17,2 тис. підприємств, з яких 25,6% функціонують у сфері торгівлі, 16,8% – у промисловості, 11,6% – у сільському господарстві, 10,8% – у секторі будівництва, 9,8% – у сфері операцій з нерухомим майном. Порівняно з 2021 р. кількість діючих підприємств у Київській області скоротилась на 3 тис. одиниць (майже на 15%). Найбільше це скорочення торкнулося будівельних і торгових підприємств, однак у промисловому секторі теж припинили діяльність 304 підприємства. З діючих станом на 2024 р. промислових підприємств на Київщині 22 (або 0,7%) належали до великих суб’єктів господарювання, 320 (11,1%) – до середніх, 2546 (88,2%) до малих.</w:t>
      </w:r>
    </w:p>
    <w:p w14:paraId="0AA32AF8" w14:textId="77777777" w:rsidR="00442B57" w:rsidRPr="00442B57" w:rsidRDefault="00000000" w:rsidP="00E27A66">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 xml:space="preserve">Таким чином, повномасштабне вторгнення у 2022 році призвело до скорочення обсягів ділової активності, істотно посиливши виклики для виживання і розвитку економіки України: низка підприємств зачинилися, різко зросла кількість безробітного населення. Водночас відтік кадрів за кордон через втечу від війни актуалізував проблему дефіциту кваліфікованої робочої сили у </w:t>
      </w:r>
      <w:r w:rsidRPr="00442B57">
        <w:rPr>
          <w:rFonts w:ascii="Times New Roman" w:eastAsia="Calibri" w:hAnsi="Times New Roman" w:cs="Times New Roman"/>
          <w:kern w:val="2"/>
          <w:sz w:val="28"/>
          <w:szCs w:val="28"/>
          <w:lang w:eastAsia="en-US"/>
          <w14:ligatures w14:val="standardContextual"/>
        </w:rPr>
        <w:lastRenderedPageBreak/>
        <w:t>низці галузей і, з огляду на безпекові виклики, зумовив низькі темпи відновлення розвитку економіки, починаючи з 2023 року. В умовах різкого зростання цін на сировину та комплектуючі погіршилися фінансові результати підприємницької діяльності в регіоні, проте стрімко зросла роль промислового сектора, який у 2024 році забезпечив 56,4% усіх прибутків підприємств Київської області до оподаткування.</w:t>
      </w:r>
    </w:p>
    <w:p w14:paraId="30B414EE" w14:textId="77777777" w:rsidR="00442B57" w:rsidRPr="00442B57" w:rsidRDefault="00000000" w:rsidP="00442B57">
      <w:pPr>
        <w:spacing w:after="0" w:line="240" w:lineRule="auto"/>
        <w:jc w:val="center"/>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b/>
          <w:bCs/>
          <w:kern w:val="2"/>
          <w:sz w:val="28"/>
          <w:szCs w:val="28"/>
          <w:lang w:eastAsia="en-US"/>
          <w14:ligatures w14:val="standardContextual"/>
        </w:rPr>
        <w:t>Промисловий комплекс регіону</w:t>
      </w:r>
    </w:p>
    <w:p w14:paraId="0793C814"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Незважаючи на складнощі воєнного періоду Київська область продовжує залишатися важливим промисловим регіоном, що спеціалізується на виготовленні продукції з високою доданою вартістю, має розвинену інфраструктуру та потенціал до подальшої індустріалізації на засадах інноваційного розвитку. У загальній структурі виготовленої промислової продукції в області у 2023 р. частка продукції переробної промисловості сягає 76,7%. Основною галуззю промисловості регіону залишається харчова промисловість із часткою 27,9% у промисловому виробництві. Однак вагому роль відіграють також машинобудування (13,5%), виробництво гумових і пластмасових виробів, іншої неметалевої мінеральної продукції (11,2%), виробів з деревини і паперу (8,3%). Важливу роль у розвитку Київщини відіграє енергетичний сектор з часткою 21,4% у структурі виготовленої промислової продукції (табл. 2).</w:t>
      </w:r>
    </w:p>
    <w:p w14:paraId="4B6F6408" w14:textId="77777777" w:rsidR="00442B57" w:rsidRPr="00442B57" w:rsidRDefault="00000000" w:rsidP="00442B57">
      <w:pPr>
        <w:spacing w:after="0" w:line="240" w:lineRule="auto"/>
        <w:jc w:val="center"/>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b/>
          <w:bCs/>
          <w:kern w:val="2"/>
          <w:sz w:val="28"/>
          <w:szCs w:val="28"/>
          <w:lang w:eastAsia="en-US"/>
          <w14:ligatures w14:val="standardContextual"/>
        </w:rPr>
        <w:t>Табл. 2.</w:t>
      </w:r>
      <w:r w:rsidRPr="00442B57">
        <w:rPr>
          <w:rFonts w:ascii="Times New Roman" w:eastAsia="Calibri" w:hAnsi="Times New Roman" w:cs="Times New Roman"/>
          <w:kern w:val="2"/>
          <w:sz w:val="28"/>
          <w:szCs w:val="28"/>
          <w:lang w:eastAsia="en-US"/>
          <w14:ligatures w14:val="standardContextual"/>
        </w:rPr>
        <w:t xml:space="preserve"> Структура промисловості Київщини за обсягами реалізованої продукції у 2023 році</w:t>
      </w:r>
    </w:p>
    <w:tbl>
      <w:tblPr>
        <w:tblStyle w:val="4"/>
        <w:tblW w:w="0" w:type="auto"/>
        <w:tblLook w:val="04A0" w:firstRow="1" w:lastRow="0" w:firstColumn="1" w:lastColumn="0" w:noHBand="0" w:noVBand="1"/>
      </w:tblPr>
      <w:tblGrid>
        <w:gridCol w:w="7948"/>
        <w:gridCol w:w="1540"/>
      </w:tblGrid>
      <w:tr w:rsidR="00F37DCB" w14:paraId="19CF4A75" w14:textId="77777777" w:rsidTr="00442B57">
        <w:tc>
          <w:tcPr>
            <w:tcW w:w="8075" w:type="dxa"/>
            <w:tcBorders>
              <w:top w:val="single" w:sz="4" w:space="0" w:color="auto"/>
              <w:left w:val="single" w:sz="4" w:space="0" w:color="auto"/>
              <w:bottom w:val="single" w:sz="4" w:space="0" w:color="auto"/>
              <w:right w:val="single" w:sz="4" w:space="0" w:color="auto"/>
            </w:tcBorders>
            <w:shd w:val="clear" w:color="auto" w:fill="809EC2"/>
            <w:hideMark/>
          </w:tcPr>
          <w:p w14:paraId="0B5D6CAA" w14:textId="77777777" w:rsidR="00442B57" w:rsidRPr="00442B57" w:rsidRDefault="00000000" w:rsidP="00442B57">
            <w:pPr>
              <w:spacing w:before="80" w:after="80"/>
              <w:jc w:val="center"/>
              <w:rPr>
                <w:rFonts w:ascii="Times New Roman" w:hAnsi="Times New Roman"/>
                <w:b/>
                <w:bCs/>
                <w:sz w:val="24"/>
                <w:szCs w:val="28"/>
              </w:rPr>
            </w:pPr>
            <w:r w:rsidRPr="00442B57">
              <w:rPr>
                <w:rFonts w:ascii="Times New Roman" w:hAnsi="Times New Roman"/>
                <w:b/>
                <w:bCs/>
                <w:sz w:val="24"/>
                <w:szCs w:val="28"/>
              </w:rPr>
              <w:t>Види економічної діяльності промисловості</w:t>
            </w:r>
          </w:p>
        </w:tc>
        <w:tc>
          <w:tcPr>
            <w:tcW w:w="155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1A1E5C80" w14:textId="77777777" w:rsidR="00442B57" w:rsidRPr="00442B57" w:rsidRDefault="00000000" w:rsidP="00442B57">
            <w:pPr>
              <w:jc w:val="center"/>
              <w:rPr>
                <w:rFonts w:ascii="Times New Roman" w:hAnsi="Times New Roman"/>
                <w:b/>
                <w:bCs/>
                <w:sz w:val="24"/>
                <w:szCs w:val="28"/>
              </w:rPr>
            </w:pPr>
            <w:r w:rsidRPr="00442B57">
              <w:rPr>
                <w:rFonts w:ascii="Times New Roman" w:hAnsi="Times New Roman"/>
                <w:b/>
                <w:bCs/>
                <w:sz w:val="24"/>
                <w:szCs w:val="28"/>
              </w:rPr>
              <w:t>Частка, %</w:t>
            </w:r>
          </w:p>
        </w:tc>
      </w:tr>
      <w:tr w:rsidR="00F37DCB" w14:paraId="2E3057F4"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40682792" w14:textId="77777777" w:rsidR="00442B57" w:rsidRPr="00442B57" w:rsidRDefault="00000000" w:rsidP="00442B57">
            <w:pPr>
              <w:jc w:val="both"/>
              <w:rPr>
                <w:rFonts w:ascii="Times New Roman" w:hAnsi="Times New Roman"/>
                <w:caps/>
                <w:sz w:val="24"/>
                <w:szCs w:val="28"/>
              </w:rPr>
            </w:pPr>
            <w:r w:rsidRPr="00442B57">
              <w:rPr>
                <w:rFonts w:ascii="Times New Roman" w:hAnsi="Times New Roman"/>
                <w:caps/>
                <w:sz w:val="24"/>
                <w:szCs w:val="28"/>
              </w:rPr>
              <w:t>Добувна та переробна промисловість</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6C2E74C"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77,3</w:t>
            </w:r>
          </w:p>
        </w:tc>
      </w:tr>
      <w:tr w:rsidR="00F37DCB" w14:paraId="30C5E84B"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0FAB0389" w14:textId="77777777" w:rsidR="00442B57" w:rsidRPr="00442B57" w:rsidRDefault="00000000" w:rsidP="00442B57">
            <w:pPr>
              <w:ind w:firstLine="57"/>
              <w:jc w:val="both"/>
              <w:rPr>
                <w:rFonts w:ascii="Times New Roman" w:hAnsi="Times New Roman"/>
                <w:sz w:val="24"/>
                <w:szCs w:val="28"/>
              </w:rPr>
            </w:pPr>
            <w:r w:rsidRPr="00442B57">
              <w:rPr>
                <w:rFonts w:ascii="Times New Roman" w:hAnsi="Times New Roman"/>
                <w:sz w:val="24"/>
                <w:szCs w:val="28"/>
              </w:rPr>
              <w:t>Добувна промисловість і розроблення кар'єрів</w:t>
            </w:r>
          </w:p>
        </w:tc>
        <w:tc>
          <w:tcPr>
            <w:tcW w:w="1552" w:type="dxa"/>
            <w:tcBorders>
              <w:top w:val="single" w:sz="4" w:space="0" w:color="auto"/>
              <w:left w:val="single" w:sz="4" w:space="0" w:color="auto"/>
              <w:bottom w:val="single" w:sz="4" w:space="0" w:color="auto"/>
              <w:right w:val="single" w:sz="4" w:space="0" w:color="auto"/>
            </w:tcBorders>
            <w:vAlign w:val="center"/>
            <w:hideMark/>
          </w:tcPr>
          <w:p w14:paraId="2EB354B8"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0,6</w:t>
            </w:r>
          </w:p>
        </w:tc>
      </w:tr>
      <w:tr w:rsidR="00F37DCB" w14:paraId="10ED9050"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336D49BB" w14:textId="77777777" w:rsidR="00442B57" w:rsidRPr="00442B57" w:rsidRDefault="00000000" w:rsidP="00442B57">
            <w:pPr>
              <w:ind w:firstLine="57"/>
              <w:jc w:val="both"/>
              <w:rPr>
                <w:rFonts w:ascii="Times New Roman" w:hAnsi="Times New Roman"/>
                <w:sz w:val="24"/>
                <w:szCs w:val="28"/>
              </w:rPr>
            </w:pPr>
            <w:r w:rsidRPr="00442B57">
              <w:rPr>
                <w:rFonts w:ascii="Times New Roman" w:hAnsi="Times New Roman"/>
                <w:sz w:val="24"/>
                <w:szCs w:val="28"/>
              </w:rPr>
              <w:t>Переробна промисловість</w:t>
            </w:r>
          </w:p>
        </w:tc>
        <w:tc>
          <w:tcPr>
            <w:tcW w:w="1552" w:type="dxa"/>
            <w:tcBorders>
              <w:top w:val="single" w:sz="4" w:space="0" w:color="auto"/>
              <w:left w:val="single" w:sz="4" w:space="0" w:color="auto"/>
              <w:bottom w:val="single" w:sz="4" w:space="0" w:color="auto"/>
              <w:right w:val="single" w:sz="4" w:space="0" w:color="auto"/>
            </w:tcBorders>
            <w:vAlign w:val="center"/>
            <w:hideMark/>
          </w:tcPr>
          <w:p w14:paraId="02B26587"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76,7</w:t>
            </w:r>
          </w:p>
        </w:tc>
      </w:tr>
      <w:tr w:rsidR="00F37DCB" w14:paraId="6BFF2055"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04C5FD3F"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виробництво харчових продуктів, напоїв і тютюнових виробів</w:t>
            </w:r>
          </w:p>
        </w:tc>
        <w:tc>
          <w:tcPr>
            <w:tcW w:w="1552" w:type="dxa"/>
            <w:tcBorders>
              <w:top w:val="single" w:sz="4" w:space="0" w:color="auto"/>
              <w:left w:val="single" w:sz="4" w:space="0" w:color="auto"/>
              <w:bottom w:val="single" w:sz="4" w:space="0" w:color="auto"/>
              <w:right w:val="single" w:sz="4" w:space="0" w:color="auto"/>
            </w:tcBorders>
            <w:vAlign w:val="center"/>
            <w:hideMark/>
          </w:tcPr>
          <w:p w14:paraId="3A911C80"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27,9</w:t>
            </w:r>
          </w:p>
        </w:tc>
      </w:tr>
      <w:tr w:rsidR="00F37DCB" w14:paraId="1A2D7309"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358841CF" w14:textId="77777777" w:rsidR="00442B57" w:rsidRPr="00442B57" w:rsidRDefault="00000000" w:rsidP="00442B57">
            <w:pPr>
              <w:ind w:left="176" w:hanging="6"/>
              <w:rPr>
                <w:rFonts w:ascii="Times New Roman" w:hAnsi="Times New Roman"/>
                <w:sz w:val="24"/>
                <w:szCs w:val="28"/>
              </w:rPr>
            </w:pPr>
            <w:r w:rsidRPr="00442B57">
              <w:rPr>
                <w:rFonts w:ascii="Times New Roman" w:hAnsi="Times New Roman"/>
                <w:sz w:val="24"/>
                <w:szCs w:val="28"/>
              </w:rPr>
              <w:t>текстильне виробництво, виробництво одягу, шкіри, виробів зі шкіри та інших матеріалів</w:t>
            </w:r>
          </w:p>
        </w:tc>
        <w:tc>
          <w:tcPr>
            <w:tcW w:w="1552" w:type="dxa"/>
            <w:tcBorders>
              <w:top w:val="single" w:sz="4" w:space="0" w:color="auto"/>
              <w:left w:val="single" w:sz="4" w:space="0" w:color="auto"/>
              <w:bottom w:val="single" w:sz="4" w:space="0" w:color="auto"/>
              <w:right w:val="single" w:sz="4" w:space="0" w:color="auto"/>
            </w:tcBorders>
            <w:vAlign w:val="center"/>
            <w:hideMark/>
          </w:tcPr>
          <w:p w14:paraId="47516F73"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1,3</w:t>
            </w:r>
          </w:p>
        </w:tc>
      </w:tr>
      <w:tr w:rsidR="00F37DCB" w14:paraId="3F7542DF"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5CA2D518"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виготовлення виробів з деревини, паперу та поліграфічна діяльність</w:t>
            </w:r>
          </w:p>
        </w:tc>
        <w:tc>
          <w:tcPr>
            <w:tcW w:w="1552" w:type="dxa"/>
            <w:tcBorders>
              <w:top w:val="single" w:sz="4" w:space="0" w:color="auto"/>
              <w:left w:val="single" w:sz="4" w:space="0" w:color="auto"/>
              <w:bottom w:val="single" w:sz="4" w:space="0" w:color="auto"/>
              <w:right w:val="single" w:sz="4" w:space="0" w:color="auto"/>
            </w:tcBorders>
            <w:vAlign w:val="center"/>
            <w:hideMark/>
          </w:tcPr>
          <w:p w14:paraId="6DD5D5BA"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8,3</w:t>
            </w:r>
          </w:p>
        </w:tc>
      </w:tr>
      <w:tr w:rsidR="00F37DCB" w14:paraId="23E35F0A"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10933A0F"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виробництво коксу та продуктів нафтопереробки</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B270B24" w14:textId="77777777" w:rsidR="00442B57" w:rsidRPr="00442B57" w:rsidRDefault="00000000" w:rsidP="00442B57">
            <w:pPr>
              <w:jc w:val="center"/>
              <w:rPr>
                <w:rFonts w:ascii="Times New Roman" w:hAnsi="Times New Roman"/>
                <w:i/>
                <w:iCs/>
                <w:sz w:val="24"/>
                <w:szCs w:val="28"/>
              </w:rPr>
            </w:pPr>
            <w:r w:rsidRPr="00442B57">
              <w:rPr>
                <w:rFonts w:ascii="Times New Roman" w:hAnsi="Times New Roman"/>
                <w:i/>
                <w:iCs/>
                <w:sz w:val="24"/>
                <w:szCs w:val="28"/>
              </w:rPr>
              <w:t>К</w:t>
            </w:r>
          </w:p>
        </w:tc>
      </w:tr>
      <w:tr w:rsidR="00F37DCB" w14:paraId="3EB6ECB4"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64C1B8F4"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 xml:space="preserve">виробництво хімічних речовин і хімічної продукції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6E15CED"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2,4</w:t>
            </w:r>
          </w:p>
        </w:tc>
      </w:tr>
      <w:tr w:rsidR="00F37DCB" w14:paraId="76EA7542"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0AA391EE"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виробництво основних фармацевтичних продуктів і фармацевтичних препаратів</w:t>
            </w:r>
          </w:p>
        </w:tc>
        <w:tc>
          <w:tcPr>
            <w:tcW w:w="1552" w:type="dxa"/>
            <w:tcBorders>
              <w:top w:val="single" w:sz="4" w:space="0" w:color="auto"/>
              <w:left w:val="single" w:sz="4" w:space="0" w:color="auto"/>
              <w:bottom w:val="single" w:sz="4" w:space="0" w:color="auto"/>
              <w:right w:val="single" w:sz="4" w:space="0" w:color="auto"/>
            </w:tcBorders>
            <w:vAlign w:val="center"/>
            <w:hideMark/>
          </w:tcPr>
          <w:p w14:paraId="40221773" w14:textId="77777777" w:rsidR="00442B57" w:rsidRPr="00442B57" w:rsidRDefault="00000000" w:rsidP="00442B57">
            <w:pPr>
              <w:jc w:val="center"/>
              <w:rPr>
                <w:rFonts w:ascii="Times New Roman" w:hAnsi="Times New Roman"/>
                <w:sz w:val="24"/>
                <w:szCs w:val="28"/>
              </w:rPr>
            </w:pPr>
            <w:r w:rsidRPr="00442B57">
              <w:rPr>
                <w:rFonts w:ascii="Times New Roman" w:hAnsi="Times New Roman"/>
                <w:i/>
                <w:iCs/>
                <w:sz w:val="24"/>
                <w:szCs w:val="28"/>
              </w:rPr>
              <w:t>К</w:t>
            </w:r>
          </w:p>
        </w:tc>
      </w:tr>
      <w:tr w:rsidR="00F37DCB" w14:paraId="57724B42"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1BA1670E" w14:textId="77777777" w:rsidR="00442B57" w:rsidRPr="00442B57" w:rsidRDefault="00000000" w:rsidP="00442B57">
            <w:pPr>
              <w:ind w:left="176" w:hanging="6"/>
              <w:rPr>
                <w:rFonts w:ascii="Times New Roman" w:hAnsi="Times New Roman"/>
                <w:sz w:val="24"/>
                <w:szCs w:val="28"/>
              </w:rPr>
            </w:pPr>
            <w:r w:rsidRPr="00442B57">
              <w:rPr>
                <w:rFonts w:ascii="Times New Roman" w:hAnsi="Times New Roman"/>
                <w:sz w:val="24"/>
                <w:szCs w:val="28"/>
              </w:rPr>
              <w:t>виробництво гумових і пластмасових виробів, іншої неметалевої мінеральної продукції</w:t>
            </w:r>
          </w:p>
        </w:tc>
        <w:tc>
          <w:tcPr>
            <w:tcW w:w="1552" w:type="dxa"/>
            <w:tcBorders>
              <w:top w:val="single" w:sz="4" w:space="0" w:color="auto"/>
              <w:left w:val="single" w:sz="4" w:space="0" w:color="auto"/>
              <w:bottom w:val="single" w:sz="4" w:space="0" w:color="auto"/>
              <w:right w:val="single" w:sz="4" w:space="0" w:color="auto"/>
            </w:tcBorders>
            <w:vAlign w:val="center"/>
            <w:hideMark/>
          </w:tcPr>
          <w:p w14:paraId="19FB4427"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11,2</w:t>
            </w:r>
          </w:p>
        </w:tc>
      </w:tr>
      <w:tr w:rsidR="00F37DCB" w14:paraId="7D54F140"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56BDFA91" w14:textId="77777777" w:rsidR="00442B57" w:rsidRPr="00442B57" w:rsidRDefault="00000000" w:rsidP="00442B57">
            <w:pPr>
              <w:ind w:left="176" w:hanging="6"/>
              <w:rPr>
                <w:rFonts w:ascii="Times New Roman" w:hAnsi="Times New Roman"/>
                <w:sz w:val="24"/>
                <w:szCs w:val="28"/>
              </w:rPr>
            </w:pPr>
            <w:r w:rsidRPr="00442B57">
              <w:rPr>
                <w:rFonts w:ascii="Times New Roman" w:hAnsi="Times New Roman"/>
                <w:sz w:val="24"/>
                <w:szCs w:val="28"/>
              </w:rPr>
              <w:t>металургійне виробництво, виробництво готових металевих виробів, крім виробництва машин та устаткування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14:paraId="5142737A"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7,5</w:t>
            </w:r>
          </w:p>
        </w:tc>
      </w:tr>
      <w:tr w:rsidR="00F37DCB" w14:paraId="1C00670B"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3EB80D99"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машинобудування: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14:paraId="35EE8F68"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13,5</w:t>
            </w:r>
          </w:p>
        </w:tc>
      </w:tr>
      <w:tr w:rsidR="00F37DCB" w14:paraId="2EDEDCAC"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567DD7CD" w14:textId="77777777" w:rsidR="00442B57" w:rsidRPr="00442B57" w:rsidRDefault="00000000" w:rsidP="00442B57">
            <w:pPr>
              <w:ind w:firstLine="318"/>
              <w:jc w:val="both"/>
              <w:rPr>
                <w:rFonts w:ascii="Times New Roman" w:hAnsi="Times New Roman"/>
                <w:sz w:val="24"/>
                <w:szCs w:val="28"/>
              </w:rPr>
            </w:pPr>
            <w:r w:rsidRPr="00442B57">
              <w:rPr>
                <w:rFonts w:ascii="Times New Roman" w:hAnsi="Times New Roman"/>
                <w:sz w:val="24"/>
                <w:szCs w:val="28"/>
              </w:rPr>
              <w:t>виробництво комп'ютерів, електронної та оптичної продукції</w:t>
            </w:r>
          </w:p>
        </w:tc>
        <w:tc>
          <w:tcPr>
            <w:tcW w:w="1552" w:type="dxa"/>
            <w:tcBorders>
              <w:top w:val="single" w:sz="4" w:space="0" w:color="auto"/>
              <w:left w:val="single" w:sz="4" w:space="0" w:color="auto"/>
              <w:bottom w:val="single" w:sz="4" w:space="0" w:color="auto"/>
              <w:right w:val="single" w:sz="4" w:space="0" w:color="auto"/>
            </w:tcBorders>
            <w:vAlign w:val="center"/>
            <w:hideMark/>
          </w:tcPr>
          <w:p w14:paraId="34CCC644"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0,7</w:t>
            </w:r>
          </w:p>
        </w:tc>
      </w:tr>
      <w:tr w:rsidR="00F37DCB" w14:paraId="066122E4"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36C46E47" w14:textId="77777777" w:rsidR="00442B57" w:rsidRPr="00442B57" w:rsidRDefault="00000000" w:rsidP="00442B57">
            <w:pPr>
              <w:ind w:firstLine="318"/>
              <w:jc w:val="both"/>
              <w:rPr>
                <w:rFonts w:ascii="Times New Roman" w:hAnsi="Times New Roman"/>
                <w:sz w:val="24"/>
                <w:szCs w:val="28"/>
              </w:rPr>
            </w:pPr>
            <w:r w:rsidRPr="00442B57">
              <w:rPr>
                <w:rFonts w:ascii="Times New Roman" w:hAnsi="Times New Roman"/>
                <w:sz w:val="24"/>
                <w:szCs w:val="28"/>
              </w:rPr>
              <w:t>виробництво електричного устаткування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14:paraId="28C771B0"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1,5</w:t>
            </w:r>
          </w:p>
        </w:tc>
      </w:tr>
      <w:tr w:rsidR="00F37DCB" w14:paraId="739A045C"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57842FE9" w14:textId="77777777" w:rsidR="00442B57" w:rsidRPr="00442B57" w:rsidRDefault="00000000" w:rsidP="00442B57">
            <w:pPr>
              <w:ind w:firstLine="318"/>
              <w:jc w:val="both"/>
              <w:rPr>
                <w:rFonts w:ascii="Times New Roman" w:hAnsi="Times New Roman"/>
                <w:sz w:val="24"/>
                <w:szCs w:val="28"/>
              </w:rPr>
            </w:pPr>
            <w:r w:rsidRPr="00442B57">
              <w:rPr>
                <w:rFonts w:ascii="Times New Roman" w:hAnsi="Times New Roman"/>
                <w:sz w:val="24"/>
                <w:szCs w:val="28"/>
              </w:rPr>
              <w:t>виробництво машин і устаткування, не віднесених до інших угруповань</w:t>
            </w:r>
          </w:p>
        </w:tc>
        <w:tc>
          <w:tcPr>
            <w:tcW w:w="1552" w:type="dxa"/>
            <w:tcBorders>
              <w:top w:val="single" w:sz="4" w:space="0" w:color="auto"/>
              <w:left w:val="single" w:sz="4" w:space="0" w:color="auto"/>
              <w:bottom w:val="single" w:sz="4" w:space="0" w:color="auto"/>
              <w:right w:val="single" w:sz="4" w:space="0" w:color="auto"/>
            </w:tcBorders>
            <w:vAlign w:val="center"/>
            <w:hideMark/>
          </w:tcPr>
          <w:p w14:paraId="052EE87F"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3,3</w:t>
            </w:r>
          </w:p>
        </w:tc>
      </w:tr>
      <w:tr w:rsidR="00F37DCB" w14:paraId="626417C4"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76A62E69" w14:textId="77777777" w:rsidR="00442B57" w:rsidRPr="00442B57" w:rsidRDefault="00000000" w:rsidP="00442B57">
            <w:pPr>
              <w:ind w:left="318"/>
              <w:rPr>
                <w:rFonts w:ascii="Times New Roman" w:hAnsi="Times New Roman"/>
                <w:sz w:val="24"/>
                <w:szCs w:val="28"/>
              </w:rPr>
            </w:pPr>
            <w:r w:rsidRPr="00442B57">
              <w:rPr>
                <w:rFonts w:ascii="Times New Roman" w:hAnsi="Times New Roman"/>
                <w:sz w:val="24"/>
                <w:szCs w:val="28"/>
              </w:rPr>
              <w:t>виробництво автотранспортних засобів, причепів і напівпричепів та інших транспортних засобів</w:t>
            </w:r>
          </w:p>
        </w:tc>
        <w:tc>
          <w:tcPr>
            <w:tcW w:w="1552" w:type="dxa"/>
            <w:tcBorders>
              <w:top w:val="single" w:sz="4" w:space="0" w:color="auto"/>
              <w:left w:val="single" w:sz="4" w:space="0" w:color="auto"/>
              <w:bottom w:val="single" w:sz="4" w:space="0" w:color="auto"/>
              <w:right w:val="single" w:sz="4" w:space="0" w:color="auto"/>
            </w:tcBorders>
            <w:vAlign w:val="center"/>
            <w:hideMark/>
          </w:tcPr>
          <w:p w14:paraId="604F6F0C"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8,0</w:t>
            </w:r>
          </w:p>
        </w:tc>
      </w:tr>
      <w:tr w:rsidR="00F37DCB" w14:paraId="6779C453"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34F0B66F" w14:textId="77777777" w:rsidR="00442B57" w:rsidRPr="00442B57" w:rsidRDefault="00000000" w:rsidP="00442B57">
            <w:pPr>
              <w:ind w:firstLine="170"/>
              <w:jc w:val="both"/>
              <w:rPr>
                <w:rFonts w:ascii="Times New Roman" w:hAnsi="Times New Roman"/>
                <w:sz w:val="24"/>
                <w:szCs w:val="28"/>
              </w:rPr>
            </w:pPr>
            <w:r w:rsidRPr="00442B57">
              <w:rPr>
                <w:rFonts w:ascii="Times New Roman" w:hAnsi="Times New Roman"/>
                <w:sz w:val="24"/>
                <w:szCs w:val="28"/>
              </w:rPr>
              <w:t>виробництво меблів, іншої продукції; ремонт і монтаж машин і устаткування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14:paraId="1193A04F"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2,5</w:t>
            </w:r>
          </w:p>
        </w:tc>
      </w:tr>
      <w:tr w:rsidR="00F37DCB" w14:paraId="46A10D3F"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456D84E2" w14:textId="77777777" w:rsidR="00442B57" w:rsidRPr="00442B57" w:rsidRDefault="00000000" w:rsidP="00442B57">
            <w:pPr>
              <w:jc w:val="both"/>
              <w:rPr>
                <w:rFonts w:ascii="Times New Roman" w:hAnsi="Times New Roman"/>
                <w:caps/>
                <w:sz w:val="24"/>
                <w:szCs w:val="28"/>
              </w:rPr>
            </w:pPr>
            <w:r w:rsidRPr="00442B57">
              <w:rPr>
                <w:rFonts w:ascii="Times New Roman" w:hAnsi="Times New Roman"/>
                <w:caps/>
                <w:sz w:val="24"/>
                <w:szCs w:val="28"/>
              </w:rPr>
              <w:lastRenderedPageBreak/>
              <w:t>Постачання електроенергії, газу, пари та кондиційованого повітря</w:t>
            </w:r>
          </w:p>
        </w:tc>
        <w:tc>
          <w:tcPr>
            <w:tcW w:w="1552" w:type="dxa"/>
            <w:tcBorders>
              <w:top w:val="single" w:sz="4" w:space="0" w:color="auto"/>
              <w:left w:val="single" w:sz="4" w:space="0" w:color="auto"/>
              <w:bottom w:val="single" w:sz="4" w:space="0" w:color="auto"/>
              <w:right w:val="single" w:sz="4" w:space="0" w:color="auto"/>
            </w:tcBorders>
            <w:vAlign w:val="center"/>
            <w:hideMark/>
          </w:tcPr>
          <w:p w14:paraId="158FBF0D"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21,4</w:t>
            </w:r>
          </w:p>
        </w:tc>
      </w:tr>
      <w:tr w:rsidR="00F37DCB" w14:paraId="31A42C8C" w14:textId="77777777" w:rsidTr="00442B57">
        <w:tc>
          <w:tcPr>
            <w:tcW w:w="8075" w:type="dxa"/>
            <w:tcBorders>
              <w:top w:val="single" w:sz="4" w:space="0" w:color="auto"/>
              <w:left w:val="single" w:sz="4" w:space="0" w:color="auto"/>
              <w:bottom w:val="single" w:sz="4" w:space="0" w:color="auto"/>
              <w:right w:val="single" w:sz="4" w:space="0" w:color="auto"/>
            </w:tcBorders>
            <w:hideMark/>
          </w:tcPr>
          <w:p w14:paraId="2B85F438" w14:textId="77777777" w:rsidR="00442B57" w:rsidRPr="00442B57" w:rsidRDefault="00000000" w:rsidP="00442B57">
            <w:pPr>
              <w:jc w:val="both"/>
              <w:rPr>
                <w:rFonts w:ascii="Times New Roman" w:hAnsi="Times New Roman"/>
                <w:caps/>
                <w:sz w:val="24"/>
                <w:szCs w:val="28"/>
              </w:rPr>
            </w:pPr>
            <w:r w:rsidRPr="00442B57">
              <w:rPr>
                <w:rFonts w:ascii="Times New Roman" w:hAnsi="Times New Roman"/>
                <w:caps/>
                <w:sz w:val="24"/>
                <w:szCs w:val="28"/>
              </w:rPr>
              <w:t>Водопостачання; каналізація, поводження з відходами</w:t>
            </w:r>
          </w:p>
        </w:tc>
        <w:tc>
          <w:tcPr>
            <w:tcW w:w="1552" w:type="dxa"/>
            <w:tcBorders>
              <w:top w:val="single" w:sz="4" w:space="0" w:color="auto"/>
              <w:left w:val="single" w:sz="4" w:space="0" w:color="auto"/>
              <w:bottom w:val="single" w:sz="4" w:space="0" w:color="auto"/>
              <w:right w:val="single" w:sz="4" w:space="0" w:color="auto"/>
            </w:tcBorders>
            <w:vAlign w:val="center"/>
            <w:hideMark/>
          </w:tcPr>
          <w:p w14:paraId="4CF6C303" w14:textId="77777777" w:rsidR="00442B57" w:rsidRPr="00442B57" w:rsidRDefault="00000000" w:rsidP="00442B57">
            <w:pPr>
              <w:jc w:val="center"/>
              <w:rPr>
                <w:rFonts w:ascii="Times New Roman" w:hAnsi="Times New Roman"/>
                <w:sz w:val="24"/>
                <w:szCs w:val="28"/>
              </w:rPr>
            </w:pPr>
            <w:r w:rsidRPr="00442B57">
              <w:rPr>
                <w:rFonts w:ascii="Times New Roman" w:hAnsi="Times New Roman"/>
                <w:sz w:val="24"/>
                <w:szCs w:val="28"/>
              </w:rPr>
              <w:t>1,3</w:t>
            </w:r>
          </w:p>
        </w:tc>
      </w:tr>
    </w:tbl>
    <w:p w14:paraId="024DC444" w14:textId="77777777" w:rsidR="00E27A66" w:rsidRPr="00E27A66" w:rsidRDefault="00000000" w:rsidP="00E27A66">
      <w:pPr>
        <w:spacing w:after="0" w:line="240" w:lineRule="auto"/>
        <w:ind w:firstLine="567"/>
        <w:jc w:val="both"/>
        <w:rPr>
          <w:rFonts w:ascii="Times New Roman" w:eastAsia="Calibri" w:hAnsi="Times New Roman" w:cs="Times New Roman"/>
          <w:color w:val="809EC2"/>
          <w:kern w:val="2"/>
          <w:sz w:val="24"/>
          <w:szCs w:val="28"/>
          <w:lang w:eastAsia="en-US"/>
          <w14:ligatures w14:val="standardContextual"/>
        </w:rPr>
      </w:pPr>
      <w:r w:rsidRPr="00442B57">
        <w:rPr>
          <w:rFonts w:ascii="Times New Roman" w:eastAsia="Calibri" w:hAnsi="Times New Roman" w:cs="Times New Roman"/>
          <w:i/>
          <w:iCs/>
          <w:kern w:val="2"/>
          <w:sz w:val="24"/>
          <w:szCs w:val="28"/>
          <w:lang w:eastAsia="en-US"/>
          <w14:ligatures w14:val="standardContextual"/>
        </w:rPr>
        <w:t>Джерело:</w:t>
      </w:r>
      <w:r w:rsidRPr="00442B57">
        <w:rPr>
          <w:rFonts w:ascii="Times New Roman" w:eastAsia="Calibri" w:hAnsi="Times New Roman" w:cs="Times New Roman"/>
          <w:kern w:val="2"/>
          <w:sz w:val="24"/>
          <w:szCs w:val="28"/>
          <w:lang w:eastAsia="en-US"/>
          <w14:ligatures w14:val="standardContextual"/>
        </w:rPr>
        <w:t xml:space="preserve"> Головне управління статистики у Київській області – Промисловість. </w:t>
      </w:r>
      <w:hyperlink r:id="rId13" w:history="1">
        <w:r w:rsidR="00E27A66" w:rsidRPr="00884EEE">
          <w:rPr>
            <w:rStyle w:val="a8"/>
            <w:rFonts w:ascii="Times New Roman" w:eastAsia="Calibri" w:hAnsi="Times New Roman" w:cs="Times New Roman"/>
            <w:kern w:val="2"/>
            <w:sz w:val="24"/>
            <w:szCs w:val="28"/>
            <w:lang w:eastAsia="en-US"/>
            <w14:ligatures w14:val="standardContextual"/>
          </w:rPr>
          <w:t>http://kyivobl.ukrstat.gov.ua/p.php3?c=82&amp;lang=1</w:t>
        </w:r>
      </w:hyperlink>
      <w:r>
        <w:rPr>
          <w:rFonts w:ascii="Times New Roman" w:eastAsia="Calibri" w:hAnsi="Times New Roman" w:cs="Times New Roman"/>
          <w:color w:val="809EC2"/>
          <w:kern w:val="2"/>
          <w:sz w:val="24"/>
          <w:szCs w:val="28"/>
          <w:lang w:eastAsia="en-US"/>
          <w14:ligatures w14:val="standardContextual"/>
        </w:rPr>
        <w:t xml:space="preserve"> </w:t>
      </w:r>
    </w:p>
    <w:p w14:paraId="7C6F0A2A" w14:textId="77777777" w:rsidR="00442B57" w:rsidRPr="00442B57" w:rsidRDefault="00000000" w:rsidP="00E27A66">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 xml:space="preserve">Поряд з цим, Київська область відзначається значним притоком капітальних інвестицій (КІ).  Тоді як у 2022 р. обсяг капітальних інвестицій в економіку області зменшився з 44,3 млрд.  до 31,2 млрд. грн, за підсумками 2024 р. економіка області залучила майже 62,6 млрд. грн. Характерно, що за підсумками 2024 р. притік  капітальних інвестицій в промисловість Київської області  зріс на майже 10 млрд. грн. при загальному зростанні номінального обсягу капітальних інвестицій в регіоні на 11,4 млрд грн (табл. 3). </w:t>
      </w:r>
    </w:p>
    <w:p w14:paraId="4AE5E692" w14:textId="77777777" w:rsidR="00442B57" w:rsidRPr="00442B57" w:rsidRDefault="00000000" w:rsidP="00E27A66">
      <w:pPr>
        <w:spacing w:after="0" w:line="240" w:lineRule="auto"/>
        <w:jc w:val="center"/>
        <w:rPr>
          <w:rFonts w:ascii="Times New Roman" w:eastAsia="Calibri" w:hAnsi="Times New Roman" w:cs="Times New Roman"/>
          <w:kern w:val="2"/>
          <w:sz w:val="28"/>
          <w:szCs w:val="28"/>
          <w:lang w:eastAsia="en-US"/>
          <w14:ligatures w14:val="standardContextual"/>
        </w:rPr>
      </w:pPr>
      <w:r w:rsidRPr="00E27A66">
        <w:rPr>
          <w:rFonts w:ascii="Times New Roman" w:eastAsia="Calibri" w:hAnsi="Times New Roman" w:cs="Times New Roman"/>
          <w:b/>
          <w:bCs/>
          <w:kern w:val="2"/>
          <w:sz w:val="28"/>
          <w:szCs w:val="28"/>
          <w:lang w:eastAsia="en-US"/>
          <w14:ligatures w14:val="standardContextual"/>
        </w:rPr>
        <w:t>Табл. 3.</w:t>
      </w:r>
      <w:r w:rsidRPr="00E27A66">
        <w:rPr>
          <w:rFonts w:ascii="Times New Roman" w:eastAsia="Calibri" w:hAnsi="Times New Roman" w:cs="Times New Roman"/>
          <w:kern w:val="2"/>
          <w:sz w:val="28"/>
          <w:szCs w:val="28"/>
          <w:lang w:eastAsia="en-US"/>
          <w14:ligatures w14:val="standardContextual"/>
        </w:rPr>
        <w:t xml:space="preserve"> </w:t>
      </w:r>
      <w:r w:rsidRPr="00442B57">
        <w:rPr>
          <w:rFonts w:ascii="Times New Roman" w:eastAsia="Calibri" w:hAnsi="Times New Roman" w:cs="Times New Roman"/>
          <w:kern w:val="2"/>
          <w:sz w:val="28"/>
          <w:szCs w:val="28"/>
          <w:lang w:eastAsia="en-US"/>
          <w14:ligatures w14:val="standardContextual"/>
        </w:rPr>
        <w:t>Динаміка капітальних інвестицій у Київської області за видами економічної діяльності у період 2022–2024 рр.</w:t>
      </w:r>
    </w:p>
    <w:tbl>
      <w:tblPr>
        <w:tblStyle w:val="5"/>
        <w:tblW w:w="9630" w:type="dxa"/>
        <w:tblLayout w:type="fixed"/>
        <w:tblLook w:val="04A0" w:firstRow="1" w:lastRow="0" w:firstColumn="1" w:lastColumn="0" w:noHBand="0" w:noVBand="1"/>
      </w:tblPr>
      <w:tblGrid>
        <w:gridCol w:w="3482"/>
        <w:gridCol w:w="893"/>
        <w:gridCol w:w="1007"/>
        <w:gridCol w:w="744"/>
        <w:gridCol w:w="957"/>
        <w:gridCol w:w="795"/>
        <w:gridCol w:w="906"/>
        <w:gridCol w:w="846"/>
      </w:tblGrid>
      <w:tr w:rsidR="00F37DCB" w14:paraId="4AB246D6" w14:textId="77777777" w:rsidTr="00442B57">
        <w:trPr>
          <w:trHeight w:val="244"/>
        </w:trPr>
        <w:tc>
          <w:tcPr>
            <w:tcW w:w="3482"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14:paraId="70CB3C70" w14:textId="77777777" w:rsidR="00442B57" w:rsidRPr="00442B57" w:rsidRDefault="00000000" w:rsidP="00442B57">
            <w:pPr>
              <w:ind w:left="-57" w:right="-57"/>
              <w:jc w:val="center"/>
              <w:rPr>
                <w:rFonts w:ascii="Times New Roman" w:hAnsi="Times New Roman"/>
                <w:b/>
                <w:bCs/>
                <w:caps/>
                <w:sz w:val="24"/>
                <w:szCs w:val="24"/>
              </w:rPr>
            </w:pPr>
            <w:r w:rsidRPr="00442B57">
              <w:rPr>
                <w:rFonts w:ascii="Times New Roman" w:hAnsi="Times New Roman"/>
                <w:b/>
                <w:bCs/>
                <w:caps/>
                <w:sz w:val="24"/>
                <w:szCs w:val="24"/>
              </w:rPr>
              <w:t>Вид господарської діяльності</w:t>
            </w:r>
          </w:p>
        </w:tc>
        <w:tc>
          <w:tcPr>
            <w:tcW w:w="893"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14:paraId="3FDA86E1"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КВЕД</w:t>
            </w:r>
          </w:p>
        </w:tc>
        <w:tc>
          <w:tcPr>
            <w:tcW w:w="1751" w:type="dxa"/>
            <w:gridSpan w:val="2"/>
            <w:tcBorders>
              <w:top w:val="single" w:sz="4" w:space="0" w:color="auto"/>
              <w:left w:val="single" w:sz="4" w:space="0" w:color="auto"/>
              <w:bottom w:val="single" w:sz="4" w:space="0" w:color="auto"/>
              <w:right w:val="single" w:sz="4" w:space="0" w:color="auto"/>
            </w:tcBorders>
            <w:shd w:val="clear" w:color="auto" w:fill="809EC2"/>
            <w:hideMark/>
          </w:tcPr>
          <w:p w14:paraId="3D7538AF"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2022</w:t>
            </w:r>
          </w:p>
        </w:tc>
        <w:tc>
          <w:tcPr>
            <w:tcW w:w="1752" w:type="dxa"/>
            <w:gridSpan w:val="2"/>
            <w:tcBorders>
              <w:top w:val="single" w:sz="4" w:space="0" w:color="auto"/>
              <w:left w:val="single" w:sz="4" w:space="0" w:color="auto"/>
              <w:bottom w:val="single" w:sz="4" w:space="0" w:color="auto"/>
              <w:right w:val="single" w:sz="4" w:space="0" w:color="auto"/>
            </w:tcBorders>
            <w:shd w:val="clear" w:color="auto" w:fill="809EC2"/>
            <w:hideMark/>
          </w:tcPr>
          <w:p w14:paraId="550C6E56"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2023</w:t>
            </w:r>
          </w:p>
        </w:tc>
        <w:tc>
          <w:tcPr>
            <w:tcW w:w="1752" w:type="dxa"/>
            <w:gridSpan w:val="2"/>
            <w:tcBorders>
              <w:top w:val="single" w:sz="4" w:space="0" w:color="auto"/>
              <w:left w:val="single" w:sz="4" w:space="0" w:color="auto"/>
              <w:bottom w:val="single" w:sz="4" w:space="0" w:color="auto"/>
              <w:right w:val="single" w:sz="4" w:space="0" w:color="auto"/>
            </w:tcBorders>
            <w:shd w:val="clear" w:color="auto" w:fill="809EC2"/>
            <w:hideMark/>
          </w:tcPr>
          <w:p w14:paraId="58F1AE22"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2024</w:t>
            </w:r>
          </w:p>
        </w:tc>
      </w:tr>
      <w:tr w:rsidR="00F37DCB" w14:paraId="00FDBB0C" w14:textId="77777777" w:rsidTr="00442B57">
        <w:trPr>
          <w:trHeight w:val="244"/>
        </w:trPr>
        <w:tc>
          <w:tcPr>
            <w:tcW w:w="3482" w:type="dxa"/>
            <w:vMerge/>
            <w:tcBorders>
              <w:top w:val="single" w:sz="4" w:space="0" w:color="auto"/>
              <w:left w:val="single" w:sz="4" w:space="0" w:color="auto"/>
              <w:bottom w:val="single" w:sz="4" w:space="0" w:color="auto"/>
              <w:right w:val="single" w:sz="4" w:space="0" w:color="auto"/>
            </w:tcBorders>
            <w:vAlign w:val="center"/>
            <w:hideMark/>
          </w:tcPr>
          <w:p w14:paraId="34545C94" w14:textId="77777777" w:rsidR="00442B57" w:rsidRPr="00442B57" w:rsidRDefault="00442B57" w:rsidP="00442B57">
            <w:pPr>
              <w:rPr>
                <w:rFonts w:ascii="Times New Roman" w:hAnsi="Times New Roman"/>
                <w:b/>
                <w:bCs/>
                <w:caps/>
                <w:sz w:val="24"/>
                <w:szCs w:val="24"/>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237075A1" w14:textId="77777777" w:rsidR="00442B57" w:rsidRPr="00442B57" w:rsidRDefault="00442B57" w:rsidP="00442B57">
            <w:pPr>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shd w:val="clear" w:color="auto" w:fill="809EC2"/>
            <w:hideMark/>
          </w:tcPr>
          <w:p w14:paraId="2C5D6F7D"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млн грн</w:t>
            </w:r>
          </w:p>
        </w:tc>
        <w:tc>
          <w:tcPr>
            <w:tcW w:w="744" w:type="dxa"/>
            <w:tcBorders>
              <w:top w:val="single" w:sz="4" w:space="0" w:color="auto"/>
              <w:left w:val="single" w:sz="4" w:space="0" w:color="auto"/>
              <w:bottom w:val="single" w:sz="4" w:space="0" w:color="auto"/>
              <w:right w:val="single" w:sz="4" w:space="0" w:color="auto"/>
            </w:tcBorders>
            <w:shd w:val="clear" w:color="auto" w:fill="809EC2"/>
            <w:hideMark/>
          </w:tcPr>
          <w:p w14:paraId="178AEBA0"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w:t>
            </w:r>
          </w:p>
        </w:tc>
        <w:tc>
          <w:tcPr>
            <w:tcW w:w="957" w:type="dxa"/>
            <w:tcBorders>
              <w:top w:val="single" w:sz="4" w:space="0" w:color="auto"/>
              <w:left w:val="single" w:sz="4" w:space="0" w:color="auto"/>
              <w:bottom w:val="single" w:sz="4" w:space="0" w:color="auto"/>
              <w:right w:val="single" w:sz="4" w:space="0" w:color="auto"/>
            </w:tcBorders>
            <w:shd w:val="clear" w:color="auto" w:fill="809EC2"/>
            <w:hideMark/>
          </w:tcPr>
          <w:p w14:paraId="477E0B1A"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млн грн</w:t>
            </w:r>
          </w:p>
        </w:tc>
        <w:tc>
          <w:tcPr>
            <w:tcW w:w="795" w:type="dxa"/>
            <w:tcBorders>
              <w:top w:val="single" w:sz="4" w:space="0" w:color="auto"/>
              <w:left w:val="single" w:sz="4" w:space="0" w:color="auto"/>
              <w:bottom w:val="single" w:sz="4" w:space="0" w:color="auto"/>
              <w:right w:val="single" w:sz="4" w:space="0" w:color="auto"/>
            </w:tcBorders>
            <w:shd w:val="clear" w:color="auto" w:fill="809EC2"/>
            <w:hideMark/>
          </w:tcPr>
          <w:p w14:paraId="497CC434"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w:t>
            </w:r>
          </w:p>
        </w:tc>
        <w:tc>
          <w:tcPr>
            <w:tcW w:w="906" w:type="dxa"/>
            <w:tcBorders>
              <w:top w:val="single" w:sz="4" w:space="0" w:color="auto"/>
              <w:left w:val="single" w:sz="4" w:space="0" w:color="auto"/>
              <w:bottom w:val="single" w:sz="4" w:space="0" w:color="auto"/>
              <w:right w:val="single" w:sz="4" w:space="0" w:color="auto"/>
            </w:tcBorders>
            <w:shd w:val="clear" w:color="auto" w:fill="809EC2"/>
            <w:hideMark/>
          </w:tcPr>
          <w:p w14:paraId="527FDDF9"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млн грн</w:t>
            </w:r>
          </w:p>
        </w:tc>
        <w:tc>
          <w:tcPr>
            <w:tcW w:w="846" w:type="dxa"/>
            <w:tcBorders>
              <w:top w:val="single" w:sz="4" w:space="0" w:color="auto"/>
              <w:left w:val="single" w:sz="4" w:space="0" w:color="auto"/>
              <w:bottom w:val="single" w:sz="4" w:space="0" w:color="auto"/>
              <w:right w:val="single" w:sz="4" w:space="0" w:color="auto"/>
            </w:tcBorders>
            <w:shd w:val="clear" w:color="auto" w:fill="809EC2"/>
            <w:hideMark/>
          </w:tcPr>
          <w:p w14:paraId="0E73868E" w14:textId="77777777" w:rsidR="00442B57" w:rsidRPr="00442B57" w:rsidRDefault="00000000" w:rsidP="00442B57">
            <w:pPr>
              <w:ind w:left="-57" w:right="-57"/>
              <w:jc w:val="center"/>
              <w:rPr>
                <w:rFonts w:ascii="Times New Roman" w:hAnsi="Times New Roman"/>
                <w:b/>
                <w:bCs/>
                <w:sz w:val="24"/>
                <w:szCs w:val="24"/>
              </w:rPr>
            </w:pPr>
            <w:r w:rsidRPr="00442B57">
              <w:rPr>
                <w:rFonts w:ascii="Times New Roman" w:hAnsi="Times New Roman"/>
                <w:b/>
                <w:bCs/>
                <w:sz w:val="24"/>
                <w:szCs w:val="24"/>
              </w:rPr>
              <w:t>%</w:t>
            </w:r>
          </w:p>
        </w:tc>
      </w:tr>
      <w:tr w:rsidR="00F37DCB" w14:paraId="2CD929D8"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20FD7D73"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Сільське, лісове та рибне господарство</w:t>
            </w:r>
          </w:p>
        </w:tc>
        <w:tc>
          <w:tcPr>
            <w:tcW w:w="893" w:type="dxa"/>
            <w:tcBorders>
              <w:top w:val="single" w:sz="4" w:space="0" w:color="auto"/>
              <w:left w:val="single" w:sz="4" w:space="0" w:color="auto"/>
              <w:bottom w:val="single" w:sz="4" w:space="0" w:color="auto"/>
              <w:right w:val="single" w:sz="4" w:space="0" w:color="auto"/>
            </w:tcBorders>
            <w:hideMark/>
          </w:tcPr>
          <w:p w14:paraId="37C26033"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A</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6F1451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6294,9</w:t>
            </w:r>
          </w:p>
        </w:tc>
        <w:tc>
          <w:tcPr>
            <w:tcW w:w="744" w:type="dxa"/>
            <w:tcBorders>
              <w:top w:val="single" w:sz="4" w:space="0" w:color="auto"/>
              <w:left w:val="single" w:sz="4" w:space="0" w:color="auto"/>
              <w:bottom w:val="single" w:sz="4" w:space="0" w:color="auto"/>
              <w:right w:val="single" w:sz="4" w:space="0" w:color="auto"/>
            </w:tcBorders>
            <w:vAlign w:val="center"/>
            <w:hideMark/>
          </w:tcPr>
          <w:p w14:paraId="60F3E96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20,2</w:t>
            </w:r>
          </w:p>
        </w:tc>
        <w:tc>
          <w:tcPr>
            <w:tcW w:w="957" w:type="dxa"/>
            <w:tcBorders>
              <w:top w:val="single" w:sz="4" w:space="0" w:color="auto"/>
              <w:left w:val="single" w:sz="4" w:space="0" w:color="auto"/>
              <w:bottom w:val="single" w:sz="4" w:space="0" w:color="auto"/>
              <w:right w:val="single" w:sz="4" w:space="0" w:color="auto"/>
            </w:tcBorders>
            <w:vAlign w:val="center"/>
            <w:hideMark/>
          </w:tcPr>
          <w:p w14:paraId="084F00A6"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6887,0</w:t>
            </w:r>
          </w:p>
        </w:tc>
        <w:tc>
          <w:tcPr>
            <w:tcW w:w="795" w:type="dxa"/>
            <w:tcBorders>
              <w:top w:val="single" w:sz="4" w:space="0" w:color="auto"/>
              <w:left w:val="single" w:sz="4" w:space="0" w:color="auto"/>
              <w:bottom w:val="single" w:sz="4" w:space="0" w:color="auto"/>
              <w:right w:val="single" w:sz="4" w:space="0" w:color="auto"/>
            </w:tcBorders>
            <w:vAlign w:val="center"/>
            <w:hideMark/>
          </w:tcPr>
          <w:p w14:paraId="59D8920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13,5</w:t>
            </w:r>
          </w:p>
        </w:tc>
        <w:tc>
          <w:tcPr>
            <w:tcW w:w="906" w:type="dxa"/>
            <w:tcBorders>
              <w:top w:val="single" w:sz="4" w:space="0" w:color="auto"/>
              <w:left w:val="single" w:sz="4" w:space="0" w:color="auto"/>
              <w:bottom w:val="single" w:sz="4" w:space="0" w:color="auto"/>
              <w:right w:val="single" w:sz="4" w:space="0" w:color="auto"/>
            </w:tcBorders>
            <w:vAlign w:val="center"/>
            <w:hideMark/>
          </w:tcPr>
          <w:p w14:paraId="6468144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6828,7</w:t>
            </w:r>
          </w:p>
        </w:tc>
        <w:tc>
          <w:tcPr>
            <w:tcW w:w="846" w:type="dxa"/>
            <w:tcBorders>
              <w:top w:val="single" w:sz="4" w:space="0" w:color="auto"/>
              <w:left w:val="single" w:sz="4" w:space="0" w:color="auto"/>
              <w:bottom w:val="single" w:sz="4" w:space="0" w:color="auto"/>
              <w:right w:val="single" w:sz="4" w:space="0" w:color="auto"/>
            </w:tcBorders>
            <w:vAlign w:val="center"/>
            <w:hideMark/>
          </w:tcPr>
          <w:p w14:paraId="07DFB96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10,9</w:t>
            </w:r>
          </w:p>
        </w:tc>
      </w:tr>
      <w:tr w:rsidR="00F37DCB" w14:paraId="27D071D8"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2227137F"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Промисловість</w:t>
            </w:r>
          </w:p>
        </w:tc>
        <w:tc>
          <w:tcPr>
            <w:tcW w:w="893" w:type="dxa"/>
            <w:tcBorders>
              <w:top w:val="single" w:sz="4" w:space="0" w:color="auto"/>
              <w:left w:val="single" w:sz="4" w:space="0" w:color="auto"/>
              <w:bottom w:val="single" w:sz="4" w:space="0" w:color="auto"/>
              <w:right w:val="single" w:sz="4" w:space="0" w:color="auto"/>
            </w:tcBorders>
            <w:hideMark/>
          </w:tcPr>
          <w:p w14:paraId="5023A250"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B+C+D+E</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216B33A"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10675,0</w:t>
            </w:r>
          </w:p>
        </w:tc>
        <w:tc>
          <w:tcPr>
            <w:tcW w:w="744" w:type="dxa"/>
            <w:tcBorders>
              <w:top w:val="single" w:sz="4" w:space="0" w:color="auto"/>
              <w:left w:val="single" w:sz="4" w:space="0" w:color="auto"/>
              <w:bottom w:val="single" w:sz="4" w:space="0" w:color="auto"/>
              <w:right w:val="single" w:sz="4" w:space="0" w:color="auto"/>
            </w:tcBorders>
            <w:vAlign w:val="center"/>
            <w:hideMark/>
          </w:tcPr>
          <w:p w14:paraId="3BE67B95"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34,2</w:t>
            </w:r>
          </w:p>
        </w:tc>
        <w:tc>
          <w:tcPr>
            <w:tcW w:w="957" w:type="dxa"/>
            <w:tcBorders>
              <w:top w:val="single" w:sz="4" w:space="0" w:color="auto"/>
              <w:left w:val="single" w:sz="4" w:space="0" w:color="auto"/>
              <w:bottom w:val="single" w:sz="4" w:space="0" w:color="auto"/>
              <w:right w:val="single" w:sz="4" w:space="0" w:color="auto"/>
            </w:tcBorders>
            <w:vAlign w:val="center"/>
            <w:hideMark/>
          </w:tcPr>
          <w:p w14:paraId="141FCFD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17476,0</w:t>
            </w:r>
          </w:p>
        </w:tc>
        <w:tc>
          <w:tcPr>
            <w:tcW w:w="795" w:type="dxa"/>
            <w:tcBorders>
              <w:top w:val="single" w:sz="4" w:space="0" w:color="auto"/>
              <w:left w:val="single" w:sz="4" w:space="0" w:color="auto"/>
              <w:bottom w:val="single" w:sz="4" w:space="0" w:color="auto"/>
              <w:right w:val="single" w:sz="4" w:space="0" w:color="auto"/>
            </w:tcBorders>
            <w:vAlign w:val="center"/>
            <w:hideMark/>
          </w:tcPr>
          <w:p w14:paraId="2375F56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34,1</w:t>
            </w:r>
          </w:p>
        </w:tc>
        <w:tc>
          <w:tcPr>
            <w:tcW w:w="906" w:type="dxa"/>
            <w:tcBorders>
              <w:top w:val="single" w:sz="4" w:space="0" w:color="auto"/>
              <w:left w:val="single" w:sz="4" w:space="0" w:color="auto"/>
              <w:bottom w:val="single" w:sz="4" w:space="0" w:color="auto"/>
              <w:right w:val="single" w:sz="4" w:space="0" w:color="auto"/>
            </w:tcBorders>
            <w:vAlign w:val="center"/>
            <w:hideMark/>
          </w:tcPr>
          <w:p w14:paraId="7F543905"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27400,6</w:t>
            </w:r>
          </w:p>
        </w:tc>
        <w:tc>
          <w:tcPr>
            <w:tcW w:w="846" w:type="dxa"/>
            <w:tcBorders>
              <w:top w:val="single" w:sz="4" w:space="0" w:color="auto"/>
              <w:left w:val="single" w:sz="4" w:space="0" w:color="auto"/>
              <w:bottom w:val="single" w:sz="4" w:space="0" w:color="auto"/>
              <w:right w:val="single" w:sz="4" w:space="0" w:color="auto"/>
            </w:tcBorders>
            <w:vAlign w:val="center"/>
            <w:hideMark/>
          </w:tcPr>
          <w:p w14:paraId="5D1C756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43,8</w:t>
            </w:r>
          </w:p>
        </w:tc>
      </w:tr>
      <w:tr w:rsidR="00F37DCB" w14:paraId="34FE0232"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02AC3042"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Будівництво</w:t>
            </w:r>
          </w:p>
        </w:tc>
        <w:tc>
          <w:tcPr>
            <w:tcW w:w="893" w:type="dxa"/>
            <w:tcBorders>
              <w:top w:val="single" w:sz="4" w:space="0" w:color="auto"/>
              <w:left w:val="single" w:sz="4" w:space="0" w:color="auto"/>
              <w:bottom w:val="single" w:sz="4" w:space="0" w:color="auto"/>
              <w:right w:val="single" w:sz="4" w:space="0" w:color="auto"/>
            </w:tcBorders>
            <w:vAlign w:val="center"/>
            <w:hideMark/>
          </w:tcPr>
          <w:p w14:paraId="22C3FDB7"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F</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3E90FA0"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6070,6</w:t>
            </w:r>
          </w:p>
        </w:tc>
        <w:tc>
          <w:tcPr>
            <w:tcW w:w="744" w:type="dxa"/>
            <w:tcBorders>
              <w:top w:val="single" w:sz="4" w:space="0" w:color="auto"/>
              <w:left w:val="single" w:sz="4" w:space="0" w:color="auto"/>
              <w:bottom w:val="single" w:sz="4" w:space="0" w:color="auto"/>
              <w:right w:val="single" w:sz="4" w:space="0" w:color="auto"/>
            </w:tcBorders>
            <w:vAlign w:val="center"/>
            <w:hideMark/>
          </w:tcPr>
          <w:p w14:paraId="2F095C2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19,5</w:t>
            </w:r>
          </w:p>
        </w:tc>
        <w:tc>
          <w:tcPr>
            <w:tcW w:w="957" w:type="dxa"/>
            <w:tcBorders>
              <w:top w:val="single" w:sz="4" w:space="0" w:color="auto"/>
              <w:left w:val="single" w:sz="4" w:space="0" w:color="auto"/>
              <w:bottom w:val="single" w:sz="4" w:space="0" w:color="auto"/>
              <w:right w:val="single" w:sz="4" w:space="0" w:color="auto"/>
            </w:tcBorders>
            <w:vAlign w:val="center"/>
            <w:hideMark/>
          </w:tcPr>
          <w:p w14:paraId="1521BEC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8970,9</w:t>
            </w:r>
          </w:p>
        </w:tc>
        <w:tc>
          <w:tcPr>
            <w:tcW w:w="795" w:type="dxa"/>
            <w:tcBorders>
              <w:top w:val="single" w:sz="4" w:space="0" w:color="auto"/>
              <w:left w:val="single" w:sz="4" w:space="0" w:color="auto"/>
              <w:bottom w:val="single" w:sz="4" w:space="0" w:color="auto"/>
              <w:right w:val="single" w:sz="4" w:space="0" w:color="auto"/>
            </w:tcBorders>
            <w:vAlign w:val="center"/>
            <w:hideMark/>
          </w:tcPr>
          <w:p w14:paraId="4AA1AED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17,5</w:t>
            </w:r>
          </w:p>
        </w:tc>
        <w:tc>
          <w:tcPr>
            <w:tcW w:w="906" w:type="dxa"/>
            <w:tcBorders>
              <w:top w:val="single" w:sz="4" w:space="0" w:color="auto"/>
              <w:left w:val="single" w:sz="4" w:space="0" w:color="auto"/>
              <w:bottom w:val="single" w:sz="4" w:space="0" w:color="auto"/>
              <w:right w:val="single" w:sz="4" w:space="0" w:color="auto"/>
            </w:tcBorders>
            <w:vAlign w:val="center"/>
            <w:hideMark/>
          </w:tcPr>
          <w:p w14:paraId="37BE3FCF"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10016,1</w:t>
            </w:r>
          </w:p>
        </w:tc>
        <w:tc>
          <w:tcPr>
            <w:tcW w:w="846" w:type="dxa"/>
            <w:tcBorders>
              <w:top w:val="single" w:sz="4" w:space="0" w:color="auto"/>
              <w:left w:val="single" w:sz="4" w:space="0" w:color="auto"/>
              <w:bottom w:val="single" w:sz="4" w:space="0" w:color="auto"/>
              <w:right w:val="single" w:sz="4" w:space="0" w:color="auto"/>
            </w:tcBorders>
            <w:vAlign w:val="center"/>
            <w:hideMark/>
          </w:tcPr>
          <w:p w14:paraId="18A2B4C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16,0</w:t>
            </w:r>
          </w:p>
        </w:tc>
      </w:tr>
      <w:tr w:rsidR="00F37DCB" w14:paraId="254A3EBE"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0FA71215"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Оптова та роздрібна торгівля; ремонт автотранспортних засобів і мотоциклів</w:t>
            </w:r>
          </w:p>
        </w:tc>
        <w:tc>
          <w:tcPr>
            <w:tcW w:w="893" w:type="dxa"/>
            <w:tcBorders>
              <w:top w:val="single" w:sz="4" w:space="0" w:color="auto"/>
              <w:left w:val="single" w:sz="4" w:space="0" w:color="auto"/>
              <w:bottom w:val="single" w:sz="4" w:space="0" w:color="auto"/>
              <w:right w:val="single" w:sz="4" w:space="0" w:color="auto"/>
            </w:tcBorders>
            <w:vAlign w:val="center"/>
            <w:hideMark/>
          </w:tcPr>
          <w:p w14:paraId="176D61E9"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G</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A51D68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3386,6</w:t>
            </w:r>
          </w:p>
        </w:tc>
        <w:tc>
          <w:tcPr>
            <w:tcW w:w="744" w:type="dxa"/>
            <w:tcBorders>
              <w:top w:val="single" w:sz="4" w:space="0" w:color="auto"/>
              <w:left w:val="single" w:sz="4" w:space="0" w:color="auto"/>
              <w:bottom w:val="single" w:sz="4" w:space="0" w:color="auto"/>
              <w:right w:val="single" w:sz="4" w:space="0" w:color="auto"/>
            </w:tcBorders>
            <w:vAlign w:val="center"/>
            <w:hideMark/>
          </w:tcPr>
          <w:p w14:paraId="10A0ADD3"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10,9</w:t>
            </w:r>
          </w:p>
        </w:tc>
        <w:tc>
          <w:tcPr>
            <w:tcW w:w="957" w:type="dxa"/>
            <w:tcBorders>
              <w:top w:val="single" w:sz="4" w:space="0" w:color="auto"/>
              <w:left w:val="single" w:sz="4" w:space="0" w:color="auto"/>
              <w:bottom w:val="single" w:sz="4" w:space="0" w:color="auto"/>
              <w:right w:val="single" w:sz="4" w:space="0" w:color="auto"/>
            </w:tcBorders>
            <w:vAlign w:val="center"/>
            <w:hideMark/>
          </w:tcPr>
          <w:p w14:paraId="7F393FE1"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7811,5</w:t>
            </w:r>
          </w:p>
        </w:tc>
        <w:tc>
          <w:tcPr>
            <w:tcW w:w="795" w:type="dxa"/>
            <w:tcBorders>
              <w:top w:val="single" w:sz="4" w:space="0" w:color="auto"/>
              <w:left w:val="single" w:sz="4" w:space="0" w:color="auto"/>
              <w:bottom w:val="single" w:sz="4" w:space="0" w:color="auto"/>
              <w:right w:val="single" w:sz="4" w:space="0" w:color="auto"/>
            </w:tcBorders>
            <w:vAlign w:val="center"/>
            <w:hideMark/>
          </w:tcPr>
          <w:p w14:paraId="52549ED6"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15,3</w:t>
            </w:r>
          </w:p>
        </w:tc>
        <w:tc>
          <w:tcPr>
            <w:tcW w:w="906" w:type="dxa"/>
            <w:tcBorders>
              <w:top w:val="single" w:sz="4" w:space="0" w:color="auto"/>
              <w:left w:val="single" w:sz="4" w:space="0" w:color="auto"/>
              <w:bottom w:val="single" w:sz="4" w:space="0" w:color="auto"/>
              <w:right w:val="single" w:sz="4" w:space="0" w:color="auto"/>
            </w:tcBorders>
            <w:vAlign w:val="center"/>
            <w:hideMark/>
          </w:tcPr>
          <w:p w14:paraId="135E5A93"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8263,8</w:t>
            </w:r>
          </w:p>
        </w:tc>
        <w:tc>
          <w:tcPr>
            <w:tcW w:w="846" w:type="dxa"/>
            <w:tcBorders>
              <w:top w:val="single" w:sz="4" w:space="0" w:color="auto"/>
              <w:left w:val="single" w:sz="4" w:space="0" w:color="auto"/>
              <w:bottom w:val="single" w:sz="4" w:space="0" w:color="auto"/>
              <w:right w:val="single" w:sz="4" w:space="0" w:color="auto"/>
            </w:tcBorders>
            <w:vAlign w:val="center"/>
            <w:hideMark/>
          </w:tcPr>
          <w:p w14:paraId="25C58349"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13,2</w:t>
            </w:r>
          </w:p>
        </w:tc>
      </w:tr>
      <w:tr w:rsidR="00F37DCB" w14:paraId="55C4FD34"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2C55D3D8"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Транспорт, складське господарство, поштова та кур’єрська діяльність</w:t>
            </w:r>
          </w:p>
        </w:tc>
        <w:tc>
          <w:tcPr>
            <w:tcW w:w="893" w:type="dxa"/>
            <w:tcBorders>
              <w:top w:val="single" w:sz="4" w:space="0" w:color="auto"/>
              <w:left w:val="single" w:sz="4" w:space="0" w:color="auto"/>
              <w:bottom w:val="single" w:sz="4" w:space="0" w:color="auto"/>
              <w:right w:val="single" w:sz="4" w:space="0" w:color="auto"/>
            </w:tcBorders>
            <w:vAlign w:val="center"/>
            <w:hideMark/>
          </w:tcPr>
          <w:p w14:paraId="73ACD09E"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H</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7CC44B8"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1209,1</w:t>
            </w:r>
          </w:p>
        </w:tc>
        <w:tc>
          <w:tcPr>
            <w:tcW w:w="744" w:type="dxa"/>
            <w:tcBorders>
              <w:top w:val="single" w:sz="4" w:space="0" w:color="auto"/>
              <w:left w:val="single" w:sz="4" w:space="0" w:color="auto"/>
              <w:bottom w:val="single" w:sz="4" w:space="0" w:color="auto"/>
              <w:right w:val="single" w:sz="4" w:space="0" w:color="auto"/>
            </w:tcBorders>
            <w:vAlign w:val="center"/>
            <w:hideMark/>
          </w:tcPr>
          <w:p w14:paraId="0275227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3,9</w:t>
            </w:r>
          </w:p>
        </w:tc>
        <w:tc>
          <w:tcPr>
            <w:tcW w:w="957" w:type="dxa"/>
            <w:tcBorders>
              <w:top w:val="single" w:sz="4" w:space="0" w:color="auto"/>
              <w:left w:val="single" w:sz="4" w:space="0" w:color="auto"/>
              <w:bottom w:val="single" w:sz="4" w:space="0" w:color="auto"/>
              <w:right w:val="single" w:sz="4" w:space="0" w:color="auto"/>
            </w:tcBorders>
            <w:vAlign w:val="center"/>
            <w:hideMark/>
          </w:tcPr>
          <w:p w14:paraId="62B8A82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1391,7</w:t>
            </w:r>
          </w:p>
        </w:tc>
        <w:tc>
          <w:tcPr>
            <w:tcW w:w="795" w:type="dxa"/>
            <w:tcBorders>
              <w:top w:val="single" w:sz="4" w:space="0" w:color="auto"/>
              <w:left w:val="single" w:sz="4" w:space="0" w:color="auto"/>
              <w:bottom w:val="single" w:sz="4" w:space="0" w:color="auto"/>
              <w:right w:val="single" w:sz="4" w:space="0" w:color="auto"/>
            </w:tcBorders>
            <w:vAlign w:val="center"/>
            <w:hideMark/>
          </w:tcPr>
          <w:p w14:paraId="611756A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2,7</w:t>
            </w:r>
          </w:p>
        </w:tc>
        <w:tc>
          <w:tcPr>
            <w:tcW w:w="906" w:type="dxa"/>
            <w:tcBorders>
              <w:top w:val="single" w:sz="4" w:space="0" w:color="auto"/>
              <w:left w:val="single" w:sz="4" w:space="0" w:color="auto"/>
              <w:bottom w:val="single" w:sz="4" w:space="0" w:color="auto"/>
              <w:right w:val="single" w:sz="4" w:space="0" w:color="auto"/>
            </w:tcBorders>
            <w:vAlign w:val="center"/>
            <w:hideMark/>
          </w:tcPr>
          <w:p w14:paraId="576432E3"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1862,3</w:t>
            </w:r>
          </w:p>
        </w:tc>
        <w:tc>
          <w:tcPr>
            <w:tcW w:w="846" w:type="dxa"/>
            <w:tcBorders>
              <w:top w:val="single" w:sz="4" w:space="0" w:color="auto"/>
              <w:left w:val="single" w:sz="4" w:space="0" w:color="auto"/>
              <w:bottom w:val="single" w:sz="4" w:space="0" w:color="auto"/>
              <w:right w:val="single" w:sz="4" w:space="0" w:color="auto"/>
            </w:tcBorders>
            <w:vAlign w:val="center"/>
            <w:hideMark/>
          </w:tcPr>
          <w:p w14:paraId="3A010FB9"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3,0</w:t>
            </w:r>
          </w:p>
        </w:tc>
      </w:tr>
      <w:tr w:rsidR="00F37DCB" w14:paraId="6E5F89A0"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01329B4C"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Тимчасове розміщування й організація харчування</w:t>
            </w:r>
          </w:p>
        </w:tc>
        <w:tc>
          <w:tcPr>
            <w:tcW w:w="893" w:type="dxa"/>
            <w:tcBorders>
              <w:top w:val="single" w:sz="4" w:space="0" w:color="auto"/>
              <w:left w:val="single" w:sz="4" w:space="0" w:color="auto"/>
              <w:bottom w:val="single" w:sz="4" w:space="0" w:color="auto"/>
              <w:right w:val="single" w:sz="4" w:space="0" w:color="auto"/>
            </w:tcBorders>
            <w:vAlign w:val="center"/>
            <w:hideMark/>
          </w:tcPr>
          <w:p w14:paraId="0D7C5933"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I</w:t>
            </w:r>
          </w:p>
        </w:tc>
        <w:tc>
          <w:tcPr>
            <w:tcW w:w="1007" w:type="dxa"/>
            <w:tcBorders>
              <w:top w:val="single" w:sz="4" w:space="0" w:color="auto"/>
              <w:left w:val="single" w:sz="4" w:space="0" w:color="auto"/>
              <w:bottom w:val="single" w:sz="4" w:space="0" w:color="auto"/>
              <w:right w:val="single" w:sz="4" w:space="0" w:color="auto"/>
            </w:tcBorders>
            <w:vAlign w:val="center"/>
            <w:hideMark/>
          </w:tcPr>
          <w:p w14:paraId="7676C1E8"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84,5</w:t>
            </w:r>
          </w:p>
        </w:tc>
        <w:tc>
          <w:tcPr>
            <w:tcW w:w="744" w:type="dxa"/>
            <w:tcBorders>
              <w:top w:val="single" w:sz="4" w:space="0" w:color="auto"/>
              <w:left w:val="single" w:sz="4" w:space="0" w:color="auto"/>
              <w:bottom w:val="single" w:sz="4" w:space="0" w:color="auto"/>
              <w:right w:val="single" w:sz="4" w:space="0" w:color="auto"/>
            </w:tcBorders>
            <w:vAlign w:val="center"/>
            <w:hideMark/>
          </w:tcPr>
          <w:p w14:paraId="44F9D87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0,3</w:t>
            </w:r>
          </w:p>
        </w:tc>
        <w:tc>
          <w:tcPr>
            <w:tcW w:w="957" w:type="dxa"/>
            <w:tcBorders>
              <w:top w:val="single" w:sz="4" w:space="0" w:color="auto"/>
              <w:left w:val="single" w:sz="4" w:space="0" w:color="auto"/>
              <w:bottom w:val="single" w:sz="4" w:space="0" w:color="auto"/>
              <w:right w:val="single" w:sz="4" w:space="0" w:color="auto"/>
            </w:tcBorders>
            <w:vAlign w:val="center"/>
            <w:hideMark/>
          </w:tcPr>
          <w:p w14:paraId="3FF1C36A"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22,6</w:t>
            </w:r>
          </w:p>
        </w:tc>
        <w:tc>
          <w:tcPr>
            <w:tcW w:w="795" w:type="dxa"/>
            <w:tcBorders>
              <w:top w:val="single" w:sz="4" w:space="0" w:color="auto"/>
              <w:left w:val="single" w:sz="4" w:space="0" w:color="auto"/>
              <w:bottom w:val="single" w:sz="4" w:space="0" w:color="auto"/>
              <w:right w:val="single" w:sz="4" w:space="0" w:color="auto"/>
            </w:tcBorders>
            <w:vAlign w:val="center"/>
            <w:hideMark/>
          </w:tcPr>
          <w:p w14:paraId="38E29B3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0,0</w:t>
            </w:r>
          </w:p>
        </w:tc>
        <w:tc>
          <w:tcPr>
            <w:tcW w:w="906" w:type="dxa"/>
            <w:tcBorders>
              <w:top w:val="single" w:sz="4" w:space="0" w:color="auto"/>
              <w:left w:val="single" w:sz="4" w:space="0" w:color="auto"/>
              <w:bottom w:val="single" w:sz="4" w:space="0" w:color="auto"/>
              <w:right w:val="single" w:sz="4" w:space="0" w:color="auto"/>
            </w:tcBorders>
            <w:vAlign w:val="center"/>
            <w:hideMark/>
          </w:tcPr>
          <w:p w14:paraId="6869616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65,2</w:t>
            </w:r>
          </w:p>
        </w:tc>
        <w:tc>
          <w:tcPr>
            <w:tcW w:w="846" w:type="dxa"/>
            <w:tcBorders>
              <w:top w:val="single" w:sz="4" w:space="0" w:color="auto"/>
              <w:left w:val="single" w:sz="4" w:space="0" w:color="auto"/>
              <w:bottom w:val="single" w:sz="4" w:space="0" w:color="auto"/>
              <w:right w:val="single" w:sz="4" w:space="0" w:color="auto"/>
            </w:tcBorders>
            <w:vAlign w:val="center"/>
            <w:hideMark/>
          </w:tcPr>
          <w:p w14:paraId="2DCB6146"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0,1</w:t>
            </w:r>
          </w:p>
        </w:tc>
      </w:tr>
      <w:tr w:rsidR="00F37DCB" w14:paraId="5E9E46EF"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622FBF1A"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Інформація та телекомунікації</w:t>
            </w:r>
          </w:p>
        </w:tc>
        <w:tc>
          <w:tcPr>
            <w:tcW w:w="893" w:type="dxa"/>
            <w:tcBorders>
              <w:top w:val="single" w:sz="4" w:space="0" w:color="auto"/>
              <w:left w:val="single" w:sz="4" w:space="0" w:color="auto"/>
              <w:bottom w:val="single" w:sz="4" w:space="0" w:color="auto"/>
              <w:right w:val="single" w:sz="4" w:space="0" w:color="auto"/>
            </w:tcBorders>
            <w:vAlign w:val="center"/>
            <w:hideMark/>
          </w:tcPr>
          <w:p w14:paraId="5CC32B93"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J</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66B8C28"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30,2</w:t>
            </w:r>
          </w:p>
        </w:tc>
        <w:tc>
          <w:tcPr>
            <w:tcW w:w="744" w:type="dxa"/>
            <w:tcBorders>
              <w:top w:val="single" w:sz="4" w:space="0" w:color="auto"/>
              <w:left w:val="single" w:sz="4" w:space="0" w:color="auto"/>
              <w:bottom w:val="single" w:sz="4" w:space="0" w:color="auto"/>
              <w:right w:val="single" w:sz="4" w:space="0" w:color="auto"/>
            </w:tcBorders>
            <w:vAlign w:val="center"/>
            <w:hideMark/>
          </w:tcPr>
          <w:p w14:paraId="26ECA7A2"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0,1</w:t>
            </w:r>
          </w:p>
        </w:tc>
        <w:tc>
          <w:tcPr>
            <w:tcW w:w="957" w:type="dxa"/>
            <w:tcBorders>
              <w:top w:val="single" w:sz="4" w:space="0" w:color="auto"/>
              <w:left w:val="single" w:sz="4" w:space="0" w:color="auto"/>
              <w:bottom w:val="single" w:sz="4" w:space="0" w:color="auto"/>
              <w:right w:val="single" w:sz="4" w:space="0" w:color="auto"/>
            </w:tcBorders>
            <w:vAlign w:val="center"/>
            <w:hideMark/>
          </w:tcPr>
          <w:p w14:paraId="5FE7C82B"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45,7</w:t>
            </w:r>
          </w:p>
        </w:tc>
        <w:tc>
          <w:tcPr>
            <w:tcW w:w="795" w:type="dxa"/>
            <w:tcBorders>
              <w:top w:val="single" w:sz="4" w:space="0" w:color="auto"/>
              <w:left w:val="single" w:sz="4" w:space="0" w:color="auto"/>
              <w:bottom w:val="single" w:sz="4" w:space="0" w:color="auto"/>
              <w:right w:val="single" w:sz="4" w:space="0" w:color="auto"/>
            </w:tcBorders>
            <w:vAlign w:val="center"/>
            <w:hideMark/>
          </w:tcPr>
          <w:p w14:paraId="59F6FD0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0,1</w:t>
            </w:r>
          </w:p>
        </w:tc>
        <w:tc>
          <w:tcPr>
            <w:tcW w:w="906" w:type="dxa"/>
            <w:tcBorders>
              <w:top w:val="single" w:sz="4" w:space="0" w:color="auto"/>
              <w:left w:val="single" w:sz="4" w:space="0" w:color="auto"/>
              <w:bottom w:val="single" w:sz="4" w:space="0" w:color="auto"/>
              <w:right w:val="single" w:sz="4" w:space="0" w:color="auto"/>
            </w:tcBorders>
            <w:vAlign w:val="center"/>
            <w:hideMark/>
          </w:tcPr>
          <w:p w14:paraId="7356B6F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91,0</w:t>
            </w:r>
          </w:p>
        </w:tc>
        <w:tc>
          <w:tcPr>
            <w:tcW w:w="846" w:type="dxa"/>
            <w:tcBorders>
              <w:top w:val="single" w:sz="4" w:space="0" w:color="auto"/>
              <w:left w:val="single" w:sz="4" w:space="0" w:color="auto"/>
              <w:bottom w:val="single" w:sz="4" w:space="0" w:color="auto"/>
              <w:right w:val="single" w:sz="4" w:space="0" w:color="auto"/>
            </w:tcBorders>
            <w:vAlign w:val="center"/>
            <w:hideMark/>
          </w:tcPr>
          <w:p w14:paraId="60B6C48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0,1</w:t>
            </w:r>
          </w:p>
        </w:tc>
      </w:tr>
      <w:tr w:rsidR="00F37DCB" w14:paraId="50A8F6C4"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79141B22"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Фінансова та страхова діяльність</w:t>
            </w:r>
          </w:p>
        </w:tc>
        <w:tc>
          <w:tcPr>
            <w:tcW w:w="893" w:type="dxa"/>
            <w:tcBorders>
              <w:top w:val="single" w:sz="4" w:space="0" w:color="auto"/>
              <w:left w:val="single" w:sz="4" w:space="0" w:color="auto"/>
              <w:bottom w:val="single" w:sz="4" w:space="0" w:color="auto"/>
              <w:right w:val="single" w:sz="4" w:space="0" w:color="auto"/>
            </w:tcBorders>
            <w:vAlign w:val="center"/>
            <w:hideMark/>
          </w:tcPr>
          <w:p w14:paraId="1361DF2A"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K</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CBB12D2"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0,7</w:t>
            </w:r>
          </w:p>
        </w:tc>
        <w:tc>
          <w:tcPr>
            <w:tcW w:w="744" w:type="dxa"/>
            <w:tcBorders>
              <w:top w:val="single" w:sz="4" w:space="0" w:color="auto"/>
              <w:left w:val="single" w:sz="4" w:space="0" w:color="auto"/>
              <w:bottom w:val="single" w:sz="4" w:space="0" w:color="auto"/>
              <w:right w:val="single" w:sz="4" w:space="0" w:color="auto"/>
            </w:tcBorders>
            <w:vAlign w:val="center"/>
            <w:hideMark/>
          </w:tcPr>
          <w:p w14:paraId="1FCDBD7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0,0</w:t>
            </w:r>
          </w:p>
        </w:tc>
        <w:tc>
          <w:tcPr>
            <w:tcW w:w="957" w:type="dxa"/>
            <w:tcBorders>
              <w:top w:val="single" w:sz="4" w:space="0" w:color="auto"/>
              <w:left w:val="single" w:sz="4" w:space="0" w:color="auto"/>
              <w:bottom w:val="single" w:sz="4" w:space="0" w:color="auto"/>
              <w:right w:val="single" w:sz="4" w:space="0" w:color="auto"/>
            </w:tcBorders>
            <w:vAlign w:val="center"/>
            <w:hideMark/>
          </w:tcPr>
          <w:p w14:paraId="32EB048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753,9</w:t>
            </w:r>
          </w:p>
        </w:tc>
        <w:tc>
          <w:tcPr>
            <w:tcW w:w="795" w:type="dxa"/>
            <w:tcBorders>
              <w:top w:val="single" w:sz="4" w:space="0" w:color="auto"/>
              <w:left w:val="single" w:sz="4" w:space="0" w:color="auto"/>
              <w:bottom w:val="single" w:sz="4" w:space="0" w:color="auto"/>
              <w:right w:val="single" w:sz="4" w:space="0" w:color="auto"/>
            </w:tcBorders>
            <w:vAlign w:val="center"/>
            <w:hideMark/>
          </w:tcPr>
          <w:p w14:paraId="7D1A9280"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1,5</w:t>
            </w:r>
          </w:p>
        </w:tc>
        <w:tc>
          <w:tcPr>
            <w:tcW w:w="906" w:type="dxa"/>
            <w:tcBorders>
              <w:top w:val="single" w:sz="4" w:space="0" w:color="auto"/>
              <w:left w:val="single" w:sz="4" w:space="0" w:color="auto"/>
              <w:bottom w:val="single" w:sz="4" w:space="0" w:color="auto"/>
              <w:right w:val="single" w:sz="4" w:space="0" w:color="auto"/>
            </w:tcBorders>
            <w:vAlign w:val="center"/>
            <w:hideMark/>
          </w:tcPr>
          <w:p w14:paraId="7F732D4F"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315,7</w:t>
            </w:r>
          </w:p>
        </w:tc>
        <w:tc>
          <w:tcPr>
            <w:tcW w:w="846" w:type="dxa"/>
            <w:tcBorders>
              <w:top w:val="single" w:sz="4" w:space="0" w:color="auto"/>
              <w:left w:val="single" w:sz="4" w:space="0" w:color="auto"/>
              <w:bottom w:val="single" w:sz="4" w:space="0" w:color="auto"/>
              <w:right w:val="single" w:sz="4" w:space="0" w:color="auto"/>
            </w:tcBorders>
            <w:vAlign w:val="center"/>
            <w:hideMark/>
          </w:tcPr>
          <w:p w14:paraId="009E36C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0,5</w:t>
            </w:r>
          </w:p>
        </w:tc>
      </w:tr>
      <w:tr w:rsidR="00F37DCB" w14:paraId="63FCD82A"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7D0FA20E"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Операції з нерухомим майном</w:t>
            </w:r>
          </w:p>
        </w:tc>
        <w:tc>
          <w:tcPr>
            <w:tcW w:w="893" w:type="dxa"/>
            <w:tcBorders>
              <w:top w:val="single" w:sz="4" w:space="0" w:color="auto"/>
              <w:left w:val="single" w:sz="4" w:space="0" w:color="auto"/>
              <w:bottom w:val="single" w:sz="4" w:space="0" w:color="auto"/>
              <w:right w:val="single" w:sz="4" w:space="0" w:color="auto"/>
            </w:tcBorders>
            <w:vAlign w:val="center"/>
            <w:hideMark/>
          </w:tcPr>
          <w:p w14:paraId="5BC8EB1F"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L</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5F0DDC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515,7</w:t>
            </w:r>
          </w:p>
        </w:tc>
        <w:tc>
          <w:tcPr>
            <w:tcW w:w="744" w:type="dxa"/>
            <w:tcBorders>
              <w:top w:val="single" w:sz="4" w:space="0" w:color="auto"/>
              <w:left w:val="single" w:sz="4" w:space="0" w:color="auto"/>
              <w:bottom w:val="single" w:sz="4" w:space="0" w:color="auto"/>
              <w:right w:val="single" w:sz="4" w:space="0" w:color="auto"/>
            </w:tcBorders>
            <w:vAlign w:val="center"/>
            <w:hideMark/>
          </w:tcPr>
          <w:p w14:paraId="4479DDA2"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1,7</w:t>
            </w:r>
          </w:p>
        </w:tc>
        <w:tc>
          <w:tcPr>
            <w:tcW w:w="957" w:type="dxa"/>
            <w:tcBorders>
              <w:top w:val="single" w:sz="4" w:space="0" w:color="auto"/>
              <w:left w:val="single" w:sz="4" w:space="0" w:color="auto"/>
              <w:bottom w:val="single" w:sz="4" w:space="0" w:color="auto"/>
              <w:right w:val="single" w:sz="4" w:space="0" w:color="auto"/>
            </w:tcBorders>
            <w:vAlign w:val="center"/>
            <w:hideMark/>
          </w:tcPr>
          <w:p w14:paraId="123879BA"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1672,7</w:t>
            </w:r>
          </w:p>
        </w:tc>
        <w:tc>
          <w:tcPr>
            <w:tcW w:w="795" w:type="dxa"/>
            <w:tcBorders>
              <w:top w:val="single" w:sz="4" w:space="0" w:color="auto"/>
              <w:left w:val="single" w:sz="4" w:space="0" w:color="auto"/>
              <w:bottom w:val="single" w:sz="4" w:space="0" w:color="auto"/>
              <w:right w:val="single" w:sz="4" w:space="0" w:color="auto"/>
            </w:tcBorders>
            <w:vAlign w:val="center"/>
            <w:hideMark/>
          </w:tcPr>
          <w:p w14:paraId="1BA2A14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3,3</w:t>
            </w:r>
          </w:p>
        </w:tc>
        <w:tc>
          <w:tcPr>
            <w:tcW w:w="906" w:type="dxa"/>
            <w:tcBorders>
              <w:top w:val="single" w:sz="4" w:space="0" w:color="auto"/>
              <w:left w:val="single" w:sz="4" w:space="0" w:color="auto"/>
              <w:bottom w:val="single" w:sz="4" w:space="0" w:color="auto"/>
              <w:right w:val="single" w:sz="4" w:space="0" w:color="auto"/>
            </w:tcBorders>
            <w:vAlign w:val="center"/>
            <w:hideMark/>
          </w:tcPr>
          <w:p w14:paraId="4912BA73"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2102,9</w:t>
            </w:r>
          </w:p>
        </w:tc>
        <w:tc>
          <w:tcPr>
            <w:tcW w:w="846" w:type="dxa"/>
            <w:tcBorders>
              <w:top w:val="single" w:sz="4" w:space="0" w:color="auto"/>
              <w:left w:val="single" w:sz="4" w:space="0" w:color="auto"/>
              <w:bottom w:val="single" w:sz="4" w:space="0" w:color="auto"/>
              <w:right w:val="single" w:sz="4" w:space="0" w:color="auto"/>
            </w:tcBorders>
            <w:vAlign w:val="center"/>
            <w:hideMark/>
          </w:tcPr>
          <w:p w14:paraId="6E879F72"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3,4</w:t>
            </w:r>
          </w:p>
        </w:tc>
      </w:tr>
      <w:tr w:rsidR="00F37DCB" w14:paraId="55B204C5"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75FDB7EB"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Професійна, наукова та технічна діяльність</w:t>
            </w:r>
          </w:p>
        </w:tc>
        <w:tc>
          <w:tcPr>
            <w:tcW w:w="893" w:type="dxa"/>
            <w:tcBorders>
              <w:top w:val="single" w:sz="4" w:space="0" w:color="auto"/>
              <w:left w:val="single" w:sz="4" w:space="0" w:color="auto"/>
              <w:bottom w:val="single" w:sz="4" w:space="0" w:color="auto"/>
              <w:right w:val="single" w:sz="4" w:space="0" w:color="auto"/>
            </w:tcBorders>
            <w:vAlign w:val="center"/>
            <w:hideMark/>
          </w:tcPr>
          <w:p w14:paraId="2185AB75"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M</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00F6F5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95,9</w:t>
            </w:r>
          </w:p>
        </w:tc>
        <w:tc>
          <w:tcPr>
            <w:tcW w:w="744" w:type="dxa"/>
            <w:tcBorders>
              <w:top w:val="single" w:sz="4" w:space="0" w:color="auto"/>
              <w:left w:val="single" w:sz="4" w:space="0" w:color="auto"/>
              <w:bottom w:val="single" w:sz="4" w:space="0" w:color="auto"/>
              <w:right w:val="single" w:sz="4" w:space="0" w:color="auto"/>
            </w:tcBorders>
            <w:vAlign w:val="center"/>
            <w:hideMark/>
          </w:tcPr>
          <w:p w14:paraId="0B2FFDAF"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0,3</w:t>
            </w:r>
          </w:p>
        </w:tc>
        <w:tc>
          <w:tcPr>
            <w:tcW w:w="957" w:type="dxa"/>
            <w:tcBorders>
              <w:top w:val="single" w:sz="4" w:space="0" w:color="auto"/>
              <w:left w:val="single" w:sz="4" w:space="0" w:color="auto"/>
              <w:bottom w:val="single" w:sz="4" w:space="0" w:color="auto"/>
              <w:right w:val="single" w:sz="4" w:space="0" w:color="auto"/>
            </w:tcBorders>
            <w:vAlign w:val="center"/>
            <w:hideMark/>
          </w:tcPr>
          <w:p w14:paraId="4B23CD35"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570,8</w:t>
            </w:r>
          </w:p>
        </w:tc>
        <w:tc>
          <w:tcPr>
            <w:tcW w:w="795" w:type="dxa"/>
            <w:tcBorders>
              <w:top w:val="single" w:sz="4" w:space="0" w:color="auto"/>
              <w:left w:val="single" w:sz="4" w:space="0" w:color="auto"/>
              <w:bottom w:val="single" w:sz="4" w:space="0" w:color="auto"/>
              <w:right w:val="single" w:sz="4" w:space="0" w:color="auto"/>
            </w:tcBorders>
            <w:vAlign w:val="center"/>
            <w:hideMark/>
          </w:tcPr>
          <w:p w14:paraId="378451A8"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1,1</w:t>
            </w:r>
          </w:p>
        </w:tc>
        <w:tc>
          <w:tcPr>
            <w:tcW w:w="906" w:type="dxa"/>
            <w:tcBorders>
              <w:top w:val="single" w:sz="4" w:space="0" w:color="auto"/>
              <w:left w:val="single" w:sz="4" w:space="0" w:color="auto"/>
              <w:bottom w:val="single" w:sz="4" w:space="0" w:color="auto"/>
              <w:right w:val="single" w:sz="4" w:space="0" w:color="auto"/>
            </w:tcBorders>
            <w:vAlign w:val="center"/>
            <w:hideMark/>
          </w:tcPr>
          <w:p w14:paraId="6A3D66FB"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330,9</w:t>
            </w:r>
          </w:p>
        </w:tc>
        <w:tc>
          <w:tcPr>
            <w:tcW w:w="846" w:type="dxa"/>
            <w:tcBorders>
              <w:top w:val="single" w:sz="4" w:space="0" w:color="auto"/>
              <w:left w:val="single" w:sz="4" w:space="0" w:color="auto"/>
              <w:bottom w:val="single" w:sz="4" w:space="0" w:color="auto"/>
              <w:right w:val="single" w:sz="4" w:space="0" w:color="auto"/>
            </w:tcBorders>
            <w:vAlign w:val="center"/>
            <w:hideMark/>
          </w:tcPr>
          <w:p w14:paraId="50A499E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0,5</w:t>
            </w:r>
          </w:p>
        </w:tc>
      </w:tr>
      <w:tr w:rsidR="00F37DCB" w14:paraId="29B512D4"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296DD415"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Діяльність у сфері адміністративного та допоміжного обслуговування</w:t>
            </w:r>
          </w:p>
        </w:tc>
        <w:tc>
          <w:tcPr>
            <w:tcW w:w="893" w:type="dxa"/>
            <w:tcBorders>
              <w:top w:val="single" w:sz="4" w:space="0" w:color="auto"/>
              <w:left w:val="single" w:sz="4" w:space="0" w:color="auto"/>
              <w:bottom w:val="single" w:sz="4" w:space="0" w:color="auto"/>
              <w:right w:val="single" w:sz="4" w:space="0" w:color="auto"/>
            </w:tcBorders>
            <w:vAlign w:val="center"/>
            <w:hideMark/>
          </w:tcPr>
          <w:p w14:paraId="756DED49"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N</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5350A8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300,2</w:t>
            </w:r>
          </w:p>
        </w:tc>
        <w:tc>
          <w:tcPr>
            <w:tcW w:w="744" w:type="dxa"/>
            <w:tcBorders>
              <w:top w:val="single" w:sz="4" w:space="0" w:color="auto"/>
              <w:left w:val="single" w:sz="4" w:space="0" w:color="auto"/>
              <w:bottom w:val="single" w:sz="4" w:space="0" w:color="auto"/>
              <w:right w:val="single" w:sz="4" w:space="0" w:color="auto"/>
            </w:tcBorders>
            <w:vAlign w:val="center"/>
            <w:hideMark/>
          </w:tcPr>
          <w:p w14:paraId="2EE26E9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14:paraId="3FBA10AB"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778,0</w:t>
            </w:r>
          </w:p>
        </w:tc>
        <w:tc>
          <w:tcPr>
            <w:tcW w:w="795" w:type="dxa"/>
            <w:tcBorders>
              <w:top w:val="single" w:sz="4" w:space="0" w:color="auto"/>
              <w:left w:val="single" w:sz="4" w:space="0" w:color="auto"/>
              <w:bottom w:val="single" w:sz="4" w:space="0" w:color="auto"/>
              <w:right w:val="single" w:sz="4" w:space="0" w:color="auto"/>
            </w:tcBorders>
            <w:vAlign w:val="center"/>
            <w:hideMark/>
          </w:tcPr>
          <w:p w14:paraId="601E3A39"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1,5</w:t>
            </w:r>
          </w:p>
        </w:tc>
        <w:tc>
          <w:tcPr>
            <w:tcW w:w="906" w:type="dxa"/>
            <w:tcBorders>
              <w:top w:val="single" w:sz="4" w:space="0" w:color="auto"/>
              <w:left w:val="single" w:sz="4" w:space="0" w:color="auto"/>
              <w:bottom w:val="single" w:sz="4" w:space="0" w:color="auto"/>
              <w:right w:val="single" w:sz="4" w:space="0" w:color="auto"/>
            </w:tcBorders>
            <w:vAlign w:val="center"/>
            <w:hideMark/>
          </w:tcPr>
          <w:p w14:paraId="02AC8F3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902,3</w:t>
            </w:r>
          </w:p>
        </w:tc>
        <w:tc>
          <w:tcPr>
            <w:tcW w:w="846" w:type="dxa"/>
            <w:tcBorders>
              <w:top w:val="single" w:sz="4" w:space="0" w:color="auto"/>
              <w:left w:val="single" w:sz="4" w:space="0" w:color="auto"/>
              <w:bottom w:val="single" w:sz="4" w:space="0" w:color="auto"/>
              <w:right w:val="single" w:sz="4" w:space="0" w:color="auto"/>
            </w:tcBorders>
            <w:vAlign w:val="center"/>
            <w:hideMark/>
          </w:tcPr>
          <w:p w14:paraId="30FE5FF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1,4</w:t>
            </w:r>
          </w:p>
        </w:tc>
      </w:tr>
      <w:tr w:rsidR="00F37DCB" w14:paraId="3E1774B7"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22A0160D"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Державне управління й оборона; обов'язкове соціальне страхування</w:t>
            </w:r>
          </w:p>
        </w:tc>
        <w:tc>
          <w:tcPr>
            <w:tcW w:w="893" w:type="dxa"/>
            <w:tcBorders>
              <w:top w:val="single" w:sz="4" w:space="0" w:color="auto"/>
              <w:left w:val="single" w:sz="4" w:space="0" w:color="auto"/>
              <w:bottom w:val="single" w:sz="4" w:space="0" w:color="auto"/>
              <w:right w:val="single" w:sz="4" w:space="0" w:color="auto"/>
            </w:tcBorders>
            <w:vAlign w:val="center"/>
            <w:hideMark/>
          </w:tcPr>
          <w:p w14:paraId="727AABB0"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О</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7197D4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1085,5</w:t>
            </w:r>
          </w:p>
        </w:tc>
        <w:tc>
          <w:tcPr>
            <w:tcW w:w="744" w:type="dxa"/>
            <w:tcBorders>
              <w:top w:val="single" w:sz="4" w:space="0" w:color="auto"/>
              <w:left w:val="single" w:sz="4" w:space="0" w:color="auto"/>
              <w:bottom w:val="single" w:sz="4" w:space="0" w:color="auto"/>
              <w:right w:val="single" w:sz="4" w:space="0" w:color="auto"/>
            </w:tcBorders>
            <w:vAlign w:val="center"/>
            <w:hideMark/>
          </w:tcPr>
          <w:p w14:paraId="57E77D22"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3,5</w:t>
            </w:r>
          </w:p>
        </w:tc>
        <w:tc>
          <w:tcPr>
            <w:tcW w:w="957" w:type="dxa"/>
            <w:tcBorders>
              <w:top w:val="single" w:sz="4" w:space="0" w:color="auto"/>
              <w:left w:val="single" w:sz="4" w:space="0" w:color="auto"/>
              <w:bottom w:val="single" w:sz="4" w:space="0" w:color="auto"/>
              <w:right w:val="single" w:sz="4" w:space="0" w:color="auto"/>
            </w:tcBorders>
            <w:vAlign w:val="center"/>
            <w:hideMark/>
          </w:tcPr>
          <w:p w14:paraId="66B85C9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2816,0</w:t>
            </w:r>
          </w:p>
        </w:tc>
        <w:tc>
          <w:tcPr>
            <w:tcW w:w="795" w:type="dxa"/>
            <w:tcBorders>
              <w:top w:val="single" w:sz="4" w:space="0" w:color="auto"/>
              <w:left w:val="single" w:sz="4" w:space="0" w:color="auto"/>
              <w:bottom w:val="single" w:sz="4" w:space="0" w:color="auto"/>
              <w:right w:val="single" w:sz="4" w:space="0" w:color="auto"/>
            </w:tcBorders>
            <w:vAlign w:val="center"/>
            <w:hideMark/>
          </w:tcPr>
          <w:p w14:paraId="49C5D60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5,5</w:t>
            </w:r>
          </w:p>
        </w:tc>
        <w:tc>
          <w:tcPr>
            <w:tcW w:w="906" w:type="dxa"/>
            <w:tcBorders>
              <w:top w:val="single" w:sz="4" w:space="0" w:color="auto"/>
              <w:left w:val="single" w:sz="4" w:space="0" w:color="auto"/>
              <w:bottom w:val="single" w:sz="4" w:space="0" w:color="auto"/>
              <w:right w:val="single" w:sz="4" w:space="0" w:color="auto"/>
            </w:tcBorders>
            <w:vAlign w:val="center"/>
            <w:hideMark/>
          </w:tcPr>
          <w:p w14:paraId="45B02F45"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2126,0</w:t>
            </w:r>
          </w:p>
        </w:tc>
        <w:tc>
          <w:tcPr>
            <w:tcW w:w="846" w:type="dxa"/>
            <w:tcBorders>
              <w:top w:val="single" w:sz="4" w:space="0" w:color="auto"/>
              <w:left w:val="single" w:sz="4" w:space="0" w:color="auto"/>
              <w:bottom w:val="single" w:sz="4" w:space="0" w:color="auto"/>
              <w:right w:val="single" w:sz="4" w:space="0" w:color="auto"/>
            </w:tcBorders>
            <w:vAlign w:val="center"/>
            <w:hideMark/>
          </w:tcPr>
          <w:p w14:paraId="13123F6A"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3,4</w:t>
            </w:r>
          </w:p>
        </w:tc>
      </w:tr>
      <w:tr w:rsidR="00F37DCB" w14:paraId="7F4D809F"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24E55498"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Освіта</w:t>
            </w:r>
          </w:p>
        </w:tc>
        <w:tc>
          <w:tcPr>
            <w:tcW w:w="893" w:type="dxa"/>
            <w:tcBorders>
              <w:top w:val="single" w:sz="4" w:space="0" w:color="auto"/>
              <w:left w:val="single" w:sz="4" w:space="0" w:color="auto"/>
              <w:bottom w:val="single" w:sz="4" w:space="0" w:color="auto"/>
              <w:right w:val="single" w:sz="4" w:space="0" w:color="auto"/>
            </w:tcBorders>
            <w:vAlign w:val="center"/>
            <w:hideMark/>
          </w:tcPr>
          <w:p w14:paraId="0CEB02F8"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P</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EDD9CF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95,7</w:t>
            </w:r>
          </w:p>
        </w:tc>
        <w:tc>
          <w:tcPr>
            <w:tcW w:w="744" w:type="dxa"/>
            <w:tcBorders>
              <w:top w:val="single" w:sz="4" w:space="0" w:color="auto"/>
              <w:left w:val="single" w:sz="4" w:space="0" w:color="auto"/>
              <w:bottom w:val="single" w:sz="4" w:space="0" w:color="auto"/>
              <w:right w:val="single" w:sz="4" w:space="0" w:color="auto"/>
            </w:tcBorders>
            <w:vAlign w:val="center"/>
            <w:hideMark/>
          </w:tcPr>
          <w:p w14:paraId="06DB846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0,3</w:t>
            </w:r>
          </w:p>
        </w:tc>
        <w:tc>
          <w:tcPr>
            <w:tcW w:w="957" w:type="dxa"/>
            <w:tcBorders>
              <w:top w:val="single" w:sz="4" w:space="0" w:color="auto"/>
              <w:left w:val="single" w:sz="4" w:space="0" w:color="auto"/>
              <w:bottom w:val="single" w:sz="4" w:space="0" w:color="auto"/>
              <w:right w:val="single" w:sz="4" w:space="0" w:color="auto"/>
            </w:tcBorders>
            <w:vAlign w:val="center"/>
            <w:hideMark/>
          </w:tcPr>
          <w:p w14:paraId="2E7320A3"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126,4</w:t>
            </w:r>
          </w:p>
        </w:tc>
        <w:tc>
          <w:tcPr>
            <w:tcW w:w="795" w:type="dxa"/>
            <w:tcBorders>
              <w:top w:val="single" w:sz="4" w:space="0" w:color="auto"/>
              <w:left w:val="single" w:sz="4" w:space="0" w:color="auto"/>
              <w:bottom w:val="single" w:sz="4" w:space="0" w:color="auto"/>
              <w:right w:val="single" w:sz="4" w:space="0" w:color="auto"/>
            </w:tcBorders>
            <w:vAlign w:val="center"/>
            <w:hideMark/>
          </w:tcPr>
          <w:p w14:paraId="11B7D00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0,2</w:t>
            </w:r>
          </w:p>
        </w:tc>
        <w:tc>
          <w:tcPr>
            <w:tcW w:w="906" w:type="dxa"/>
            <w:tcBorders>
              <w:top w:val="single" w:sz="4" w:space="0" w:color="auto"/>
              <w:left w:val="single" w:sz="4" w:space="0" w:color="auto"/>
              <w:bottom w:val="single" w:sz="4" w:space="0" w:color="auto"/>
              <w:right w:val="single" w:sz="4" w:space="0" w:color="auto"/>
            </w:tcBorders>
            <w:vAlign w:val="center"/>
            <w:hideMark/>
          </w:tcPr>
          <w:p w14:paraId="53B55D76"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321,6</w:t>
            </w:r>
          </w:p>
        </w:tc>
        <w:tc>
          <w:tcPr>
            <w:tcW w:w="846" w:type="dxa"/>
            <w:tcBorders>
              <w:top w:val="single" w:sz="4" w:space="0" w:color="auto"/>
              <w:left w:val="single" w:sz="4" w:space="0" w:color="auto"/>
              <w:bottom w:val="single" w:sz="4" w:space="0" w:color="auto"/>
              <w:right w:val="single" w:sz="4" w:space="0" w:color="auto"/>
            </w:tcBorders>
            <w:vAlign w:val="center"/>
            <w:hideMark/>
          </w:tcPr>
          <w:p w14:paraId="6FCF506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0,5</w:t>
            </w:r>
          </w:p>
        </w:tc>
      </w:tr>
      <w:tr w:rsidR="00F37DCB" w14:paraId="32B646B1"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5B4C4CEB"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Охорона здоров’я та надання соціальної допомоги</w:t>
            </w:r>
          </w:p>
        </w:tc>
        <w:tc>
          <w:tcPr>
            <w:tcW w:w="893" w:type="dxa"/>
            <w:tcBorders>
              <w:top w:val="single" w:sz="4" w:space="0" w:color="auto"/>
              <w:left w:val="single" w:sz="4" w:space="0" w:color="auto"/>
              <w:bottom w:val="single" w:sz="4" w:space="0" w:color="auto"/>
              <w:right w:val="single" w:sz="4" w:space="0" w:color="auto"/>
            </w:tcBorders>
            <w:vAlign w:val="center"/>
            <w:hideMark/>
          </w:tcPr>
          <w:p w14:paraId="192FC8A3"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Q</w:t>
            </w:r>
          </w:p>
        </w:tc>
        <w:tc>
          <w:tcPr>
            <w:tcW w:w="1007" w:type="dxa"/>
            <w:tcBorders>
              <w:top w:val="single" w:sz="4" w:space="0" w:color="auto"/>
              <w:left w:val="single" w:sz="4" w:space="0" w:color="auto"/>
              <w:bottom w:val="single" w:sz="4" w:space="0" w:color="auto"/>
              <w:right w:val="single" w:sz="4" w:space="0" w:color="auto"/>
            </w:tcBorders>
            <w:vAlign w:val="center"/>
            <w:hideMark/>
          </w:tcPr>
          <w:p w14:paraId="5930D2F4"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549,4</w:t>
            </w:r>
          </w:p>
        </w:tc>
        <w:tc>
          <w:tcPr>
            <w:tcW w:w="744" w:type="dxa"/>
            <w:tcBorders>
              <w:top w:val="single" w:sz="4" w:space="0" w:color="auto"/>
              <w:left w:val="single" w:sz="4" w:space="0" w:color="auto"/>
              <w:bottom w:val="single" w:sz="4" w:space="0" w:color="auto"/>
              <w:right w:val="single" w:sz="4" w:space="0" w:color="auto"/>
            </w:tcBorders>
            <w:vAlign w:val="center"/>
            <w:hideMark/>
          </w:tcPr>
          <w:p w14:paraId="4119CE41"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1,8</w:t>
            </w:r>
          </w:p>
        </w:tc>
        <w:tc>
          <w:tcPr>
            <w:tcW w:w="957" w:type="dxa"/>
            <w:tcBorders>
              <w:top w:val="single" w:sz="4" w:space="0" w:color="auto"/>
              <w:left w:val="single" w:sz="4" w:space="0" w:color="auto"/>
              <w:bottom w:val="single" w:sz="4" w:space="0" w:color="auto"/>
              <w:right w:val="single" w:sz="4" w:space="0" w:color="auto"/>
            </w:tcBorders>
            <w:vAlign w:val="center"/>
            <w:hideMark/>
          </w:tcPr>
          <w:p w14:paraId="160A77DF"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1046,8</w:t>
            </w:r>
          </w:p>
        </w:tc>
        <w:tc>
          <w:tcPr>
            <w:tcW w:w="795" w:type="dxa"/>
            <w:tcBorders>
              <w:top w:val="single" w:sz="4" w:space="0" w:color="auto"/>
              <w:left w:val="single" w:sz="4" w:space="0" w:color="auto"/>
              <w:bottom w:val="single" w:sz="4" w:space="0" w:color="auto"/>
              <w:right w:val="single" w:sz="4" w:space="0" w:color="auto"/>
            </w:tcBorders>
            <w:vAlign w:val="center"/>
            <w:hideMark/>
          </w:tcPr>
          <w:p w14:paraId="2AA55AD6"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2,0</w:t>
            </w:r>
          </w:p>
        </w:tc>
        <w:tc>
          <w:tcPr>
            <w:tcW w:w="906" w:type="dxa"/>
            <w:tcBorders>
              <w:top w:val="single" w:sz="4" w:space="0" w:color="auto"/>
              <w:left w:val="single" w:sz="4" w:space="0" w:color="auto"/>
              <w:bottom w:val="single" w:sz="4" w:space="0" w:color="auto"/>
              <w:right w:val="single" w:sz="4" w:space="0" w:color="auto"/>
            </w:tcBorders>
            <w:vAlign w:val="center"/>
            <w:hideMark/>
          </w:tcPr>
          <w:p w14:paraId="249A9FC2"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711,6</w:t>
            </w:r>
          </w:p>
        </w:tc>
        <w:tc>
          <w:tcPr>
            <w:tcW w:w="846" w:type="dxa"/>
            <w:tcBorders>
              <w:top w:val="single" w:sz="4" w:space="0" w:color="auto"/>
              <w:left w:val="single" w:sz="4" w:space="0" w:color="auto"/>
              <w:bottom w:val="single" w:sz="4" w:space="0" w:color="auto"/>
              <w:right w:val="single" w:sz="4" w:space="0" w:color="auto"/>
            </w:tcBorders>
            <w:vAlign w:val="center"/>
            <w:hideMark/>
          </w:tcPr>
          <w:p w14:paraId="5AEF8B0D"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1,1</w:t>
            </w:r>
          </w:p>
        </w:tc>
      </w:tr>
      <w:tr w:rsidR="00F37DCB" w14:paraId="5D69C94E"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15C2CD65"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Мистецтво, спорт, розваги та відпочинок</w:t>
            </w:r>
          </w:p>
        </w:tc>
        <w:tc>
          <w:tcPr>
            <w:tcW w:w="893" w:type="dxa"/>
            <w:tcBorders>
              <w:top w:val="single" w:sz="4" w:space="0" w:color="auto"/>
              <w:left w:val="single" w:sz="4" w:space="0" w:color="auto"/>
              <w:bottom w:val="single" w:sz="4" w:space="0" w:color="auto"/>
              <w:right w:val="single" w:sz="4" w:space="0" w:color="auto"/>
            </w:tcBorders>
            <w:vAlign w:val="center"/>
            <w:hideMark/>
          </w:tcPr>
          <w:p w14:paraId="6D4E4E0A"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R</w:t>
            </w:r>
          </w:p>
        </w:tc>
        <w:tc>
          <w:tcPr>
            <w:tcW w:w="1007" w:type="dxa"/>
            <w:tcBorders>
              <w:top w:val="single" w:sz="4" w:space="0" w:color="auto"/>
              <w:left w:val="single" w:sz="4" w:space="0" w:color="auto"/>
              <w:bottom w:val="single" w:sz="4" w:space="0" w:color="auto"/>
              <w:right w:val="single" w:sz="4" w:space="0" w:color="auto"/>
            </w:tcBorders>
            <w:vAlign w:val="center"/>
            <w:hideMark/>
          </w:tcPr>
          <w:p w14:paraId="7014D83B"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772,4</w:t>
            </w:r>
          </w:p>
        </w:tc>
        <w:tc>
          <w:tcPr>
            <w:tcW w:w="744" w:type="dxa"/>
            <w:tcBorders>
              <w:top w:val="single" w:sz="4" w:space="0" w:color="auto"/>
              <w:left w:val="single" w:sz="4" w:space="0" w:color="auto"/>
              <w:bottom w:val="single" w:sz="4" w:space="0" w:color="auto"/>
              <w:right w:val="single" w:sz="4" w:space="0" w:color="auto"/>
            </w:tcBorders>
            <w:vAlign w:val="center"/>
            <w:hideMark/>
          </w:tcPr>
          <w:p w14:paraId="6AB84059"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2,5</w:t>
            </w:r>
          </w:p>
        </w:tc>
        <w:tc>
          <w:tcPr>
            <w:tcW w:w="957" w:type="dxa"/>
            <w:tcBorders>
              <w:top w:val="single" w:sz="4" w:space="0" w:color="auto"/>
              <w:left w:val="single" w:sz="4" w:space="0" w:color="auto"/>
              <w:bottom w:val="single" w:sz="4" w:space="0" w:color="auto"/>
              <w:right w:val="single" w:sz="4" w:space="0" w:color="auto"/>
            </w:tcBorders>
            <w:vAlign w:val="center"/>
            <w:hideMark/>
          </w:tcPr>
          <w:p w14:paraId="39898C58"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808,2</w:t>
            </w:r>
          </w:p>
        </w:tc>
        <w:tc>
          <w:tcPr>
            <w:tcW w:w="795" w:type="dxa"/>
            <w:tcBorders>
              <w:top w:val="single" w:sz="4" w:space="0" w:color="auto"/>
              <w:left w:val="single" w:sz="4" w:space="0" w:color="auto"/>
              <w:bottom w:val="single" w:sz="4" w:space="0" w:color="auto"/>
              <w:right w:val="single" w:sz="4" w:space="0" w:color="auto"/>
            </w:tcBorders>
            <w:vAlign w:val="center"/>
            <w:hideMark/>
          </w:tcPr>
          <w:p w14:paraId="6CD9E90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1,6</w:t>
            </w:r>
          </w:p>
        </w:tc>
        <w:tc>
          <w:tcPr>
            <w:tcW w:w="906" w:type="dxa"/>
            <w:tcBorders>
              <w:top w:val="single" w:sz="4" w:space="0" w:color="auto"/>
              <w:left w:val="single" w:sz="4" w:space="0" w:color="auto"/>
              <w:bottom w:val="single" w:sz="4" w:space="0" w:color="auto"/>
              <w:right w:val="single" w:sz="4" w:space="0" w:color="auto"/>
            </w:tcBorders>
            <w:vAlign w:val="center"/>
            <w:hideMark/>
          </w:tcPr>
          <w:p w14:paraId="7ECDA24E"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1248,5</w:t>
            </w:r>
          </w:p>
        </w:tc>
        <w:tc>
          <w:tcPr>
            <w:tcW w:w="846" w:type="dxa"/>
            <w:tcBorders>
              <w:top w:val="single" w:sz="4" w:space="0" w:color="auto"/>
              <w:left w:val="single" w:sz="4" w:space="0" w:color="auto"/>
              <w:bottom w:val="single" w:sz="4" w:space="0" w:color="auto"/>
              <w:right w:val="single" w:sz="4" w:space="0" w:color="auto"/>
            </w:tcBorders>
            <w:vAlign w:val="center"/>
            <w:hideMark/>
          </w:tcPr>
          <w:p w14:paraId="31D898C7"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2,0</w:t>
            </w:r>
          </w:p>
        </w:tc>
      </w:tr>
      <w:tr w:rsidR="00F37DCB" w14:paraId="7DDCF714" w14:textId="77777777" w:rsidTr="00442B57">
        <w:tc>
          <w:tcPr>
            <w:tcW w:w="3482" w:type="dxa"/>
            <w:tcBorders>
              <w:top w:val="single" w:sz="4" w:space="0" w:color="auto"/>
              <w:left w:val="single" w:sz="4" w:space="0" w:color="auto"/>
              <w:bottom w:val="single" w:sz="4" w:space="0" w:color="auto"/>
              <w:right w:val="single" w:sz="4" w:space="0" w:color="auto"/>
            </w:tcBorders>
            <w:vAlign w:val="center"/>
            <w:hideMark/>
          </w:tcPr>
          <w:p w14:paraId="3E5CAC53"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sz w:val="24"/>
                <w:szCs w:val="24"/>
              </w:rPr>
              <w:t>Надання інших видів послуг</w:t>
            </w:r>
          </w:p>
        </w:tc>
        <w:tc>
          <w:tcPr>
            <w:tcW w:w="893" w:type="dxa"/>
            <w:tcBorders>
              <w:top w:val="single" w:sz="4" w:space="0" w:color="auto"/>
              <w:left w:val="single" w:sz="4" w:space="0" w:color="auto"/>
              <w:bottom w:val="single" w:sz="4" w:space="0" w:color="auto"/>
              <w:right w:val="single" w:sz="4" w:space="0" w:color="auto"/>
            </w:tcBorders>
            <w:vAlign w:val="center"/>
            <w:hideMark/>
          </w:tcPr>
          <w:p w14:paraId="044BB0B7" w14:textId="77777777" w:rsidR="00442B57" w:rsidRPr="00442B57" w:rsidRDefault="00000000" w:rsidP="00442B57">
            <w:pPr>
              <w:ind w:left="-57" w:right="-57"/>
              <w:jc w:val="center"/>
              <w:rPr>
                <w:rFonts w:ascii="Times New Roman" w:hAnsi="Times New Roman"/>
                <w:sz w:val="24"/>
                <w:szCs w:val="24"/>
              </w:rPr>
            </w:pPr>
            <w:r w:rsidRPr="00442B57">
              <w:rPr>
                <w:rFonts w:ascii="Times New Roman" w:hAnsi="Times New Roman"/>
                <w:sz w:val="24"/>
                <w:szCs w:val="24"/>
              </w:rPr>
              <w:t>S</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6C717AC"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2,2</w:t>
            </w:r>
          </w:p>
        </w:tc>
        <w:tc>
          <w:tcPr>
            <w:tcW w:w="744" w:type="dxa"/>
            <w:tcBorders>
              <w:top w:val="single" w:sz="4" w:space="0" w:color="auto"/>
              <w:left w:val="single" w:sz="4" w:space="0" w:color="auto"/>
              <w:bottom w:val="single" w:sz="4" w:space="0" w:color="auto"/>
              <w:right w:val="single" w:sz="4" w:space="0" w:color="auto"/>
            </w:tcBorders>
            <w:vAlign w:val="center"/>
            <w:hideMark/>
          </w:tcPr>
          <w:p w14:paraId="7EE40E5A"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0,0</w:t>
            </w:r>
          </w:p>
        </w:tc>
        <w:tc>
          <w:tcPr>
            <w:tcW w:w="957" w:type="dxa"/>
            <w:tcBorders>
              <w:top w:val="single" w:sz="4" w:space="0" w:color="auto"/>
              <w:left w:val="single" w:sz="4" w:space="0" w:color="auto"/>
              <w:bottom w:val="single" w:sz="4" w:space="0" w:color="auto"/>
              <w:right w:val="single" w:sz="4" w:space="0" w:color="auto"/>
            </w:tcBorders>
            <w:vAlign w:val="center"/>
            <w:hideMark/>
          </w:tcPr>
          <w:p w14:paraId="0E078FFB"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6,2</w:t>
            </w:r>
          </w:p>
        </w:tc>
        <w:tc>
          <w:tcPr>
            <w:tcW w:w="795" w:type="dxa"/>
            <w:tcBorders>
              <w:top w:val="single" w:sz="4" w:space="0" w:color="auto"/>
              <w:left w:val="single" w:sz="4" w:space="0" w:color="auto"/>
              <w:bottom w:val="single" w:sz="4" w:space="0" w:color="auto"/>
              <w:right w:val="single" w:sz="4" w:space="0" w:color="auto"/>
            </w:tcBorders>
            <w:vAlign w:val="center"/>
            <w:hideMark/>
          </w:tcPr>
          <w:p w14:paraId="532B3845"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0,0</w:t>
            </w:r>
          </w:p>
        </w:tc>
        <w:tc>
          <w:tcPr>
            <w:tcW w:w="906" w:type="dxa"/>
            <w:tcBorders>
              <w:top w:val="single" w:sz="4" w:space="0" w:color="auto"/>
              <w:left w:val="single" w:sz="4" w:space="0" w:color="auto"/>
              <w:bottom w:val="single" w:sz="4" w:space="0" w:color="auto"/>
              <w:right w:val="single" w:sz="4" w:space="0" w:color="auto"/>
            </w:tcBorders>
            <w:vAlign w:val="center"/>
            <w:hideMark/>
          </w:tcPr>
          <w:p w14:paraId="3C1A8FB9"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12,4</w:t>
            </w:r>
          </w:p>
        </w:tc>
        <w:tc>
          <w:tcPr>
            <w:tcW w:w="846" w:type="dxa"/>
            <w:tcBorders>
              <w:top w:val="single" w:sz="4" w:space="0" w:color="auto"/>
              <w:left w:val="single" w:sz="4" w:space="0" w:color="auto"/>
              <w:bottom w:val="single" w:sz="4" w:space="0" w:color="auto"/>
              <w:right w:val="single" w:sz="4" w:space="0" w:color="auto"/>
            </w:tcBorders>
            <w:vAlign w:val="center"/>
            <w:hideMark/>
          </w:tcPr>
          <w:p w14:paraId="6208922F" w14:textId="77777777" w:rsidR="00442B57" w:rsidRPr="00442B57" w:rsidRDefault="00000000" w:rsidP="00442B57">
            <w:pPr>
              <w:ind w:left="-57" w:right="-57"/>
              <w:jc w:val="right"/>
              <w:rPr>
                <w:rFonts w:ascii="Times New Roman" w:hAnsi="Times New Roman"/>
                <w:sz w:val="24"/>
                <w:szCs w:val="24"/>
              </w:rPr>
            </w:pPr>
            <w:r w:rsidRPr="00442B57">
              <w:rPr>
                <w:rFonts w:ascii="Times New Roman" w:hAnsi="Times New Roman"/>
                <w:color w:val="000000"/>
                <w:sz w:val="24"/>
                <w:szCs w:val="24"/>
              </w:rPr>
              <w:t>0,0</w:t>
            </w:r>
          </w:p>
        </w:tc>
      </w:tr>
      <w:tr w:rsidR="00F37DCB" w14:paraId="3F8F0DDB" w14:textId="77777777" w:rsidTr="00442B57">
        <w:trPr>
          <w:trHeight w:val="58"/>
        </w:trPr>
        <w:tc>
          <w:tcPr>
            <w:tcW w:w="4375" w:type="dxa"/>
            <w:gridSpan w:val="2"/>
            <w:tcBorders>
              <w:top w:val="single" w:sz="4" w:space="0" w:color="auto"/>
              <w:left w:val="single" w:sz="4" w:space="0" w:color="auto"/>
              <w:bottom w:val="single" w:sz="4" w:space="0" w:color="auto"/>
              <w:right w:val="single" w:sz="4" w:space="0" w:color="auto"/>
            </w:tcBorders>
            <w:hideMark/>
          </w:tcPr>
          <w:p w14:paraId="20FFAA96" w14:textId="77777777" w:rsidR="00442B57" w:rsidRPr="00442B57" w:rsidRDefault="00000000" w:rsidP="00442B57">
            <w:pPr>
              <w:ind w:left="-57" w:right="-57"/>
              <w:rPr>
                <w:rFonts w:ascii="Times New Roman" w:hAnsi="Times New Roman"/>
                <w:sz w:val="24"/>
                <w:szCs w:val="24"/>
              </w:rPr>
            </w:pPr>
            <w:r w:rsidRPr="00442B57">
              <w:rPr>
                <w:rFonts w:ascii="Times New Roman" w:hAnsi="Times New Roman"/>
                <w:b/>
                <w:bCs/>
                <w:sz w:val="24"/>
                <w:szCs w:val="24"/>
              </w:rPr>
              <w:t>Усього</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B3FFAC3" w14:textId="77777777" w:rsidR="00442B57" w:rsidRPr="00442B57" w:rsidRDefault="00000000" w:rsidP="00442B57">
            <w:pPr>
              <w:ind w:left="-57" w:right="-57"/>
              <w:jc w:val="right"/>
              <w:rPr>
                <w:rFonts w:ascii="Times New Roman" w:hAnsi="Times New Roman"/>
                <w:b/>
                <w:bCs/>
                <w:sz w:val="24"/>
                <w:szCs w:val="24"/>
              </w:rPr>
            </w:pPr>
            <w:r w:rsidRPr="00442B57">
              <w:rPr>
                <w:rFonts w:ascii="Times New Roman" w:hAnsi="Times New Roman"/>
                <w:b/>
                <w:bCs/>
                <w:color w:val="000000"/>
                <w:sz w:val="24"/>
                <w:szCs w:val="24"/>
              </w:rPr>
              <w:t>31168,6</w:t>
            </w:r>
          </w:p>
        </w:tc>
        <w:tc>
          <w:tcPr>
            <w:tcW w:w="744" w:type="dxa"/>
            <w:tcBorders>
              <w:top w:val="single" w:sz="4" w:space="0" w:color="auto"/>
              <w:left w:val="single" w:sz="4" w:space="0" w:color="auto"/>
              <w:bottom w:val="single" w:sz="4" w:space="0" w:color="auto"/>
              <w:right w:val="single" w:sz="4" w:space="0" w:color="auto"/>
            </w:tcBorders>
            <w:vAlign w:val="center"/>
            <w:hideMark/>
          </w:tcPr>
          <w:p w14:paraId="3083BC25" w14:textId="77777777" w:rsidR="00442B57" w:rsidRPr="00442B57" w:rsidRDefault="00000000" w:rsidP="00442B57">
            <w:pPr>
              <w:ind w:left="-57" w:right="-57"/>
              <w:jc w:val="right"/>
              <w:rPr>
                <w:rFonts w:ascii="Times New Roman" w:hAnsi="Times New Roman"/>
                <w:b/>
                <w:bCs/>
                <w:sz w:val="24"/>
                <w:szCs w:val="24"/>
              </w:rPr>
            </w:pPr>
            <w:r w:rsidRPr="00442B57">
              <w:rPr>
                <w:rFonts w:ascii="Times New Roman" w:hAnsi="Times New Roman"/>
                <w:b/>
                <w:bCs/>
                <w:color w:val="000000"/>
                <w:sz w:val="24"/>
                <w:szCs w:val="24"/>
              </w:rPr>
              <w:t>100,0</w:t>
            </w:r>
          </w:p>
        </w:tc>
        <w:tc>
          <w:tcPr>
            <w:tcW w:w="957" w:type="dxa"/>
            <w:tcBorders>
              <w:top w:val="single" w:sz="4" w:space="0" w:color="auto"/>
              <w:left w:val="single" w:sz="4" w:space="0" w:color="auto"/>
              <w:bottom w:val="single" w:sz="4" w:space="0" w:color="auto"/>
              <w:right w:val="single" w:sz="4" w:space="0" w:color="auto"/>
            </w:tcBorders>
            <w:vAlign w:val="center"/>
            <w:hideMark/>
          </w:tcPr>
          <w:p w14:paraId="48D59ED9" w14:textId="77777777" w:rsidR="00442B57" w:rsidRPr="00442B57" w:rsidRDefault="00000000" w:rsidP="00442B57">
            <w:pPr>
              <w:ind w:left="-57" w:right="-57"/>
              <w:jc w:val="right"/>
              <w:rPr>
                <w:rFonts w:ascii="Times New Roman" w:hAnsi="Times New Roman"/>
                <w:b/>
                <w:bCs/>
                <w:sz w:val="24"/>
                <w:szCs w:val="24"/>
              </w:rPr>
            </w:pPr>
            <w:r w:rsidRPr="00442B57">
              <w:rPr>
                <w:rFonts w:ascii="Times New Roman" w:hAnsi="Times New Roman"/>
                <w:b/>
                <w:bCs/>
                <w:color w:val="000000"/>
                <w:sz w:val="24"/>
                <w:szCs w:val="24"/>
              </w:rPr>
              <w:t>51184,4</w:t>
            </w:r>
          </w:p>
        </w:tc>
        <w:tc>
          <w:tcPr>
            <w:tcW w:w="795" w:type="dxa"/>
            <w:tcBorders>
              <w:top w:val="single" w:sz="4" w:space="0" w:color="auto"/>
              <w:left w:val="single" w:sz="4" w:space="0" w:color="auto"/>
              <w:bottom w:val="single" w:sz="4" w:space="0" w:color="auto"/>
              <w:right w:val="single" w:sz="4" w:space="0" w:color="auto"/>
            </w:tcBorders>
            <w:vAlign w:val="center"/>
            <w:hideMark/>
          </w:tcPr>
          <w:p w14:paraId="463BC8A4" w14:textId="77777777" w:rsidR="00442B57" w:rsidRPr="00442B57" w:rsidRDefault="00000000" w:rsidP="00442B57">
            <w:pPr>
              <w:ind w:left="-57" w:right="-57"/>
              <w:jc w:val="right"/>
              <w:rPr>
                <w:rFonts w:ascii="Times New Roman" w:hAnsi="Times New Roman"/>
                <w:b/>
                <w:bCs/>
                <w:sz w:val="24"/>
                <w:szCs w:val="24"/>
              </w:rPr>
            </w:pPr>
            <w:r w:rsidRPr="00442B57">
              <w:rPr>
                <w:rFonts w:ascii="Times New Roman" w:hAnsi="Times New Roman"/>
                <w:b/>
                <w:bCs/>
                <w:color w:val="000000"/>
                <w:sz w:val="24"/>
                <w:szCs w:val="24"/>
              </w:rPr>
              <w:t>100,0</w:t>
            </w:r>
          </w:p>
        </w:tc>
        <w:tc>
          <w:tcPr>
            <w:tcW w:w="906" w:type="dxa"/>
            <w:tcBorders>
              <w:top w:val="single" w:sz="4" w:space="0" w:color="auto"/>
              <w:left w:val="single" w:sz="4" w:space="0" w:color="auto"/>
              <w:bottom w:val="single" w:sz="4" w:space="0" w:color="auto"/>
              <w:right w:val="single" w:sz="4" w:space="0" w:color="auto"/>
            </w:tcBorders>
            <w:vAlign w:val="center"/>
            <w:hideMark/>
          </w:tcPr>
          <w:p w14:paraId="7E8D254C" w14:textId="77777777" w:rsidR="00442B57" w:rsidRPr="00442B57" w:rsidRDefault="00000000" w:rsidP="00442B57">
            <w:pPr>
              <w:ind w:left="-57" w:right="-57"/>
              <w:jc w:val="right"/>
              <w:rPr>
                <w:rFonts w:ascii="Times New Roman" w:hAnsi="Times New Roman"/>
                <w:b/>
                <w:bCs/>
                <w:sz w:val="24"/>
                <w:szCs w:val="24"/>
              </w:rPr>
            </w:pPr>
            <w:r w:rsidRPr="00442B57">
              <w:rPr>
                <w:rFonts w:ascii="Times New Roman" w:hAnsi="Times New Roman"/>
                <w:b/>
                <w:bCs/>
                <w:color w:val="000000"/>
                <w:sz w:val="24"/>
                <w:szCs w:val="24"/>
              </w:rPr>
              <w:t>62599,6</w:t>
            </w:r>
          </w:p>
        </w:tc>
        <w:tc>
          <w:tcPr>
            <w:tcW w:w="846" w:type="dxa"/>
            <w:tcBorders>
              <w:top w:val="single" w:sz="4" w:space="0" w:color="auto"/>
              <w:left w:val="single" w:sz="4" w:space="0" w:color="auto"/>
              <w:bottom w:val="single" w:sz="4" w:space="0" w:color="auto"/>
              <w:right w:val="single" w:sz="4" w:space="0" w:color="auto"/>
            </w:tcBorders>
            <w:vAlign w:val="center"/>
            <w:hideMark/>
          </w:tcPr>
          <w:p w14:paraId="07DCE021" w14:textId="77777777" w:rsidR="00442B57" w:rsidRPr="00442B57" w:rsidRDefault="00000000" w:rsidP="00442B57">
            <w:pPr>
              <w:ind w:left="-57" w:right="-57"/>
              <w:jc w:val="right"/>
              <w:rPr>
                <w:rFonts w:ascii="Times New Roman" w:hAnsi="Times New Roman"/>
                <w:b/>
                <w:bCs/>
                <w:sz w:val="24"/>
                <w:szCs w:val="24"/>
              </w:rPr>
            </w:pPr>
            <w:r w:rsidRPr="00442B57">
              <w:rPr>
                <w:rFonts w:ascii="Times New Roman" w:hAnsi="Times New Roman"/>
                <w:b/>
                <w:bCs/>
                <w:color w:val="000000"/>
                <w:sz w:val="24"/>
                <w:szCs w:val="24"/>
              </w:rPr>
              <w:t>100,0</w:t>
            </w:r>
          </w:p>
        </w:tc>
      </w:tr>
    </w:tbl>
    <w:p w14:paraId="6E13696A" w14:textId="77777777" w:rsidR="00442B57" w:rsidRDefault="00000000" w:rsidP="00442B57">
      <w:pPr>
        <w:spacing w:after="0" w:line="240" w:lineRule="auto"/>
        <w:ind w:firstLine="567"/>
        <w:jc w:val="both"/>
        <w:rPr>
          <w:rFonts w:ascii="Times New Roman" w:eastAsia="Calibri" w:hAnsi="Times New Roman" w:cs="Times New Roman"/>
          <w:color w:val="809EC2"/>
          <w:kern w:val="2"/>
          <w:sz w:val="24"/>
          <w:szCs w:val="28"/>
          <w:lang w:eastAsia="en-US"/>
          <w14:ligatures w14:val="standardContextual"/>
        </w:rPr>
      </w:pPr>
      <w:r w:rsidRPr="00442B57">
        <w:rPr>
          <w:rFonts w:ascii="Times New Roman" w:eastAsia="Calibri" w:hAnsi="Times New Roman" w:cs="Times New Roman"/>
          <w:i/>
          <w:iCs/>
          <w:kern w:val="2"/>
          <w:sz w:val="24"/>
          <w:szCs w:val="28"/>
          <w:lang w:eastAsia="en-US"/>
          <w14:ligatures w14:val="standardContextual"/>
        </w:rPr>
        <w:lastRenderedPageBreak/>
        <w:t>Джерело:</w:t>
      </w:r>
      <w:r w:rsidRPr="00442B57">
        <w:rPr>
          <w:rFonts w:ascii="Times New Roman" w:eastAsia="Calibri" w:hAnsi="Times New Roman" w:cs="Times New Roman"/>
          <w:kern w:val="2"/>
          <w:sz w:val="24"/>
          <w:szCs w:val="28"/>
          <w:lang w:eastAsia="en-US"/>
          <w14:ligatures w14:val="standardContextual"/>
        </w:rPr>
        <w:t xml:space="preserve"> Головне управління статистики у Київській області – Капітальні інвестиції.</w:t>
      </w:r>
      <w:r>
        <w:rPr>
          <w:rFonts w:ascii="Times New Roman" w:eastAsia="Calibri" w:hAnsi="Times New Roman" w:cs="Times New Roman"/>
          <w:kern w:val="2"/>
          <w:sz w:val="24"/>
          <w:szCs w:val="28"/>
          <w:lang w:eastAsia="en-US"/>
          <w14:ligatures w14:val="standardContextual"/>
        </w:rPr>
        <w:t xml:space="preserve"> </w:t>
      </w:r>
      <w:hyperlink r:id="rId14" w:history="1">
        <w:r w:rsidR="00442B57" w:rsidRPr="00884EEE">
          <w:rPr>
            <w:rStyle w:val="a8"/>
            <w:rFonts w:ascii="Times New Roman" w:eastAsia="Calibri" w:hAnsi="Times New Roman" w:cs="Times New Roman"/>
            <w:kern w:val="2"/>
            <w:sz w:val="24"/>
            <w:szCs w:val="28"/>
            <w:lang w:eastAsia="en-US"/>
            <w14:ligatures w14:val="standardContextual"/>
          </w:rPr>
          <w:t>http://kyivobl.ukrstat.gov.ua/p.php3?c=1109&amp;lang=1</w:t>
        </w:r>
      </w:hyperlink>
      <w:r w:rsidRPr="00442B57">
        <w:rPr>
          <w:rFonts w:ascii="Times New Roman" w:eastAsia="Calibri" w:hAnsi="Times New Roman" w:cs="Times New Roman"/>
          <w:color w:val="809EC2"/>
          <w:kern w:val="2"/>
          <w:sz w:val="24"/>
          <w:szCs w:val="28"/>
          <w:lang w:eastAsia="en-US"/>
          <w14:ligatures w14:val="standardContextual"/>
        </w:rPr>
        <w:t xml:space="preserve"> </w:t>
      </w:r>
    </w:p>
    <w:p w14:paraId="79C0060F" w14:textId="77777777" w:rsidR="00E27A66" w:rsidRPr="00442B57" w:rsidRDefault="00E27A66" w:rsidP="00442B57">
      <w:pPr>
        <w:spacing w:after="0" w:line="240" w:lineRule="auto"/>
        <w:ind w:firstLine="567"/>
        <w:jc w:val="both"/>
        <w:rPr>
          <w:rFonts w:ascii="Times New Roman" w:eastAsia="Calibri" w:hAnsi="Times New Roman" w:cs="Times New Roman"/>
          <w:kern w:val="2"/>
          <w:sz w:val="24"/>
          <w:szCs w:val="28"/>
          <w:lang w:eastAsia="en-US"/>
          <w14:ligatures w14:val="standardContextual"/>
        </w:rPr>
      </w:pPr>
    </w:p>
    <w:p w14:paraId="56B565B5" w14:textId="77777777" w:rsidR="00442B57" w:rsidRPr="00442B57" w:rsidRDefault="00000000" w:rsidP="00442B5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Вказана тенденція є результатом системної промислової політики регіональної влади, що зосереджена на:</w:t>
      </w:r>
    </w:p>
    <w:p w14:paraId="080BBF21" w14:textId="77777777" w:rsidR="00442B57" w:rsidRPr="00442B57" w:rsidRDefault="00000000" w:rsidP="00442B5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збереженні та розвитку виробничого потенціалу регіону,</w:t>
      </w:r>
    </w:p>
    <w:p w14:paraId="45AFF775" w14:textId="77777777" w:rsidR="00442B57" w:rsidRPr="00442B57" w:rsidRDefault="00000000" w:rsidP="00442B5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адаптації структури виробництва до вимог воєнного часу,</w:t>
      </w:r>
    </w:p>
    <w:p w14:paraId="0AB50C43" w14:textId="77777777" w:rsidR="00442B57" w:rsidRPr="00442B57" w:rsidRDefault="00000000" w:rsidP="00442B5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розміщенні та відновленні роботи релокованих підприємств,</w:t>
      </w:r>
    </w:p>
    <w:p w14:paraId="5EA42820" w14:textId="77777777" w:rsidR="00442B57" w:rsidRPr="00442B57" w:rsidRDefault="00000000" w:rsidP="00442B5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розширенні мережі індустріальних парків — ключових майданчиків для залучення інвестицій та створення нових робочих місць.</w:t>
      </w:r>
    </w:p>
    <w:p w14:paraId="5AA43FE5" w14:textId="77777777" w:rsidR="00442B57" w:rsidRDefault="00000000" w:rsidP="00442B5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442B57">
        <w:rPr>
          <w:rFonts w:ascii="Times New Roman" w:eastAsia="Calibri" w:hAnsi="Times New Roman" w:cs="Times New Roman"/>
          <w:kern w:val="2"/>
          <w:sz w:val="28"/>
          <w:szCs w:val="28"/>
          <w:lang w:eastAsia="en-US"/>
          <w14:ligatures w14:val="standardContextual"/>
        </w:rPr>
        <w:t xml:space="preserve">Від початку повномасштабного вторгнення і до травня 2025 р. на територію Київщини за урядовою програмою релокації підприємств перебазувалися 77 компаній, які створили понад 1500 якісних робочих місць. Важливим інструментом релокації промислових підприємств на територію Київської області виступає створення індустріальних парків. На початок 2025 року в Україні було зареєстровано 100 індустріальних парків, з яких 13 у Київській області, що робить її другим регіоном в країні за кількістю індустріальних парків після Львівщини. </w:t>
      </w:r>
    </w:p>
    <w:p w14:paraId="6A342016" w14:textId="77777777" w:rsidR="00E27A66" w:rsidRPr="00442B57" w:rsidRDefault="00E27A66" w:rsidP="00442B5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CBFDB68" w14:textId="77777777" w:rsidR="00442B57" w:rsidRDefault="00000000" w:rsidP="00442B57">
      <w:pPr>
        <w:spacing w:after="0" w:line="240" w:lineRule="auto"/>
        <w:jc w:val="center"/>
        <w:rPr>
          <w:rFonts w:ascii="Times New Roman" w:eastAsia="Calibri" w:hAnsi="Times New Roman" w:cs="Times New Roman"/>
          <w:b/>
          <w:bCs/>
          <w:caps/>
          <w:kern w:val="2"/>
          <w:sz w:val="28"/>
          <w:szCs w:val="28"/>
          <w:lang w:eastAsia="en-US"/>
          <w14:ligatures w14:val="standardContextual"/>
        </w:rPr>
      </w:pPr>
      <w:r w:rsidRPr="00442B57">
        <w:rPr>
          <w:rFonts w:ascii="Times New Roman" w:eastAsia="Calibri" w:hAnsi="Times New Roman" w:cs="Times New Roman"/>
          <w:b/>
          <w:bCs/>
          <w:caps/>
          <w:kern w:val="2"/>
          <w:sz w:val="28"/>
          <w:szCs w:val="28"/>
          <w:lang w:eastAsia="en-US"/>
          <w14:ligatures w14:val="standardContextual"/>
        </w:rPr>
        <w:t>Броварська міська територіальна громада</w:t>
      </w:r>
    </w:p>
    <w:p w14:paraId="175128CF" w14:textId="77777777" w:rsidR="00E27A66" w:rsidRPr="00442B57" w:rsidRDefault="00E27A66" w:rsidP="00442B57">
      <w:pPr>
        <w:spacing w:after="0" w:line="240" w:lineRule="auto"/>
        <w:jc w:val="center"/>
        <w:rPr>
          <w:rFonts w:ascii="Times New Roman" w:eastAsia="Calibri" w:hAnsi="Times New Roman" w:cs="Times New Roman"/>
          <w:color w:val="0070C0"/>
          <w:kern w:val="2"/>
          <w:sz w:val="28"/>
          <w:szCs w:val="28"/>
          <w:lang w:eastAsia="en-US"/>
          <w14:ligatures w14:val="standardContextual"/>
        </w:rPr>
      </w:pPr>
    </w:p>
    <w:p w14:paraId="1F9742C6" w14:textId="77777777" w:rsidR="00442B57" w:rsidRPr="00442B57" w:rsidRDefault="00000000" w:rsidP="00442B57">
      <w:pPr>
        <w:spacing w:after="0" w:line="240" w:lineRule="auto"/>
        <w:ind w:firstLine="567"/>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Броварська міська територіальна громада складається з 4 населених пунктів, з яких місто Бровари і 3 села (Княжичі, Требухів, Сотницьке), та має загальну чисельність населення 116,4</w:t>
      </w:r>
      <w:r>
        <w:rPr>
          <w:rFonts w:ascii="Times New Roman" w:eastAsia="Calibri" w:hAnsi="Times New Roman" w:cs="Times New Roman"/>
          <w:sz w:val="28"/>
          <w:szCs w:val="28"/>
          <w:lang w:eastAsia="en-US"/>
        </w:rPr>
        <w:t xml:space="preserve"> </w:t>
      </w:r>
      <w:r w:rsidRPr="00442B57">
        <w:rPr>
          <w:rFonts w:ascii="Times New Roman" w:eastAsia="Calibri" w:hAnsi="Times New Roman" w:cs="Times New Roman"/>
          <w:sz w:val="28"/>
          <w:szCs w:val="28"/>
          <w:lang w:eastAsia="en-US"/>
        </w:rPr>
        <w:t>тис. осіб, з яких 105,6 тис. мешкають у Броварах. Площа територіальної громади становить 125,2 км2.</w:t>
      </w:r>
    </w:p>
    <w:p w14:paraId="08E97AE7" w14:textId="77777777" w:rsidR="00442B57" w:rsidRPr="00442B57" w:rsidRDefault="00000000" w:rsidP="00442B57">
      <w:pPr>
        <w:spacing w:after="0" w:line="240" w:lineRule="auto"/>
        <w:ind w:firstLine="567"/>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Основу промислового комплексу територіальної громади складають підприємства переробної промисловості. У структурі цієї промисловості домінують:</w:t>
      </w:r>
    </w:p>
    <w:p w14:paraId="001CA2A6" w14:textId="77777777" w:rsidR="00442B57" w:rsidRDefault="00000000" w:rsidP="00442B57">
      <w:pPr>
        <w:pStyle w:val="aa"/>
        <w:numPr>
          <w:ilvl w:val="0"/>
          <w:numId w:val="7"/>
        </w:num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виробництво гумових і пластмасових виробів (33,4%);</w:t>
      </w:r>
    </w:p>
    <w:p w14:paraId="65986CA8" w14:textId="77777777" w:rsidR="00442B57" w:rsidRDefault="00000000" w:rsidP="00442B57">
      <w:pPr>
        <w:pStyle w:val="aa"/>
        <w:numPr>
          <w:ilvl w:val="0"/>
          <w:numId w:val="7"/>
        </w:num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виробництво харчових продуктів, напоїв і тютюнових виробів (14,8%);</w:t>
      </w:r>
    </w:p>
    <w:p w14:paraId="238D4546" w14:textId="77777777" w:rsidR="00442B57" w:rsidRDefault="00000000" w:rsidP="00442B57">
      <w:pPr>
        <w:pStyle w:val="aa"/>
        <w:numPr>
          <w:ilvl w:val="0"/>
          <w:numId w:val="7"/>
        </w:num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текстильне виробництво, виробництво одягу (14,8%);</w:t>
      </w:r>
    </w:p>
    <w:p w14:paraId="7DA740EE" w14:textId="77777777" w:rsidR="00442B57" w:rsidRDefault="00000000" w:rsidP="00442B57">
      <w:pPr>
        <w:pStyle w:val="aa"/>
        <w:numPr>
          <w:ilvl w:val="0"/>
          <w:numId w:val="7"/>
        </w:num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металургійне виробництво і виробництво готових металевих виробів (14,8%);</w:t>
      </w:r>
    </w:p>
    <w:p w14:paraId="1472D4A3" w14:textId="77777777" w:rsidR="00442B57" w:rsidRDefault="00000000" w:rsidP="00442B57">
      <w:pPr>
        <w:pStyle w:val="aa"/>
        <w:numPr>
          <w:ilvl w:val="0"/>
          <w:numId w:val="7"/>
        </w:num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машинобудування (11,1%);</w:t>
      </w:r>
    </w:p>
    <w:p w14:paraId="14543388" w14:textId="77777777" w:rsidR="00442B57" w:rsidRPr="00442B57" w:rsidRDefault="00000000" w:rsidP="00442B57">
      <w:pPr>
        <w:pStyle w:val="aa"/>
        <w:numPr>
          <w:ilvl w:val="0"/>
          <w:numId w:val="7"/>
        </w:num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виробництво хімічних речовин і фармацевтичних продуктів</w:t>
      </w:r>
      <w:r w:rsidR="006602C1">
        <w:rPr>
          <w:rFonts w:ascii="Times New Roman" w:eastAsia="Calibri" w:hAnsi="Times New Roman" w:cs="Times New Roman"/>
          <w:sz w:val="28"/>
          <w:szCs w:val="28"/>
          <w:lang w:eastAsia="en-US"/>
        </w:rPr>
        <w:t xml:space="preserve"> </w:t>
      </w:r>
      <m:oMath>
        <m:sSup>
          <m:sSupPr>
            <m:ctrlPr>
              <w:rPr>
                <w:rFonts w:ascii="Cambria Math" w:eastAsia="Calibri" w:hAnsi="Cambria Math" w:cs="Times New Roman"/>
                <w:i/>
                <w:sz w:val="28"/>
                <w:szCs w:val="28"/>
                <w:lang w:eastAsia="en-US"/>
              </w:rPr>
            </m:ctrlPr>
          </m:sSupPr>
          <m:e>
            <m:r>
              <w:rPr>
                <w:rFonts w:ascii="Cambria Math" w:eastAsia="Calibri" w:hAnsi="Cambria Math" w:cs="Times New Roman"/>
                <w:sz w:val="28"/>
                <w:szCs w:val="28"/>
                <w:lang w:eastAsia="en-US"/>
              </w:rPr>
              <m:t>(7,4%)</m:t>
            </m:r>
          </m:e>
          <m:sup>
            <m:r>
              <w:rPr>
                <w:rFonts w:ascii="Cambria Math" w:eastAsia="Calibri" w:hAnsi="Cambria Math" w:cs="Times New Roman"/>
                <w:sz w:val="28"/>
                <w:szCs w:val="28"/>
                <w:lang w:eastAsia="en-US"/>
              </w:rPr>
              <m:t>1</m:t>
            </m:r>
          </m:sup>
        </m:sSup>
      </m:oMath>
      <w:r w:rsidRPr="00442B57">
        <w:rPr>
          <w:rFonts w:ascii="Times New Roman" w:eastAsia="Calibri" w:hAnsi="Times New Roman" w:cs="Times New Roman"/>
          <w:sz w:val="28"/>
          <w:szCs w:val="28"/>
          <w:lang w:eastAsia="en-US"/>
        </w:rPr>
        <w:t xml:space="preserve"> .</w:t>
      </w:r>
    </w:p>
    <w:p w14:paraId="7D49925D" w14:textId="77777777" w:rsidR="00442B57" w:rsidRPr="00442B57" w:rsidRDefault="00000000" w:rsidP="00442B57">
      <w:pPr>
        <w:spacing w:after="0" w:line="240" w:lineRule="auto"/>
        <w:ind w:firstLine="567"/>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Найпотужнішими виробничими підприємствами громади залишаються:</w:t>
      </w:r>
    </w:p>
    <w:p w14:paraId="0A80EF34" w14:textId="77777777" w:rsidR="00442B57" w:rsidRPr="00442B57" w:rsidRDefault="00000000" w:rsidP="00442B57">
      <w:p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w:t>
      </w:r>
      <w:r w:rsidRPr="00442B57">
        <w:rPr>
          <w:rFonts w:ascii="Times New Roman" w:eastAsia="Calibri" w:hAnsi="Times New Roman" w:cs="Times New Roman"/>
          <w:sz w:val="28"/>
          <w:szCs w:val="28"/>
          <w:lang w:eastAsia="en-US"/>
        </w:rPr>
        <w:tab/>
        <w:t>ТОВ «Спецбудмаш» – виробляє комунальну, дорожню, будівельну і спеціальну техніку; забезпечує роботою понад 400 висококваліфікованих працівників;</w:t>
      </w:r>
    </w:p>
    <w:p w14:paraId="0F654348" w14:textId="77777777" w:rsidR="00442B57" w:rsidRDefault="00000000" w:rsidP="00442B57">
      <w:p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w:t>
      </w:r>
      <w:r w:rsidRPr="00442B57">
        <w:rPr>
          <w:rFonts w:ascii="Times New Roman" w:eastAsia="Calibri" w:hAnsi="Times New Roman" w:cs="Times New Roman"/>
          <w:sz w:val="28"/>
          <w:szCs w:val="28"/>
          <w:lang w:eastAsia="en-US"/>
        </w:rPr>
        <w:tab/>
        <w:t>ТОВ «Орієнтир-Буделемент» – виробляє газобетонні блоки, зокрема найбільший у Європі виробник автоклавного газобетону;</w:t>
      </w:r>
    </w:p>
    <w:p w14:paraId="3AD2ED22" w14:textId="77777777" w:rsidR="00E27A66" w:rsidRDefault="00E27A66" w:rsidP="00442B57">
      <w:pPr>
        <w:spacing w:after="0" w:line="240" w:lineRule="auto"/>
        <w:jc w:val="both"/>
        <w:rPr>
          <w:rFonts w:ascii="Times New Roman" w:eastAsia="Calibri" w:hAnsi="Times New Roman" w:cs="Times New Roman"/>
          <w:sz w:val="28"/>
          <w:szCs w:val="28"/>
          <w:lang w:eastAsia="en-US"/>
        </w:rPr>
      </w:pPr>
    </w:p>
    <w:p w14:paraId="48E0123C" w14:textId="77777777" w:rsidR="006602C1" w:rsidRDefault="00000000" w:rsidP="00442B5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_____________________</w:t>
      </w:r>
    </w:p>
    <w:p w14:paraId="57285C51" w14:textId="77777777" w:rsidR="006602C1" w:rsidRPr="006602C1" w:rsidRDefault="00000000" w:rsidP="006602C1">
      <w:pPr>
        <w:spacing w:after="0" w:line="240" w:lineRule="auto"/>
        <w:rPr>
          <w:rFonts w:ascii="Times New Roman" w:eastAsia="Calibri" w:hAnsi="Times New Roman" w:cs="Times New Roman"/>
          <w:kern w:val="2"/>
          <w:lang w:val="ru-RU" w:eastAsia="en-US"/>
          <w14:ligatures w14:val="standardContextual"/>
        </w:rPr>
      </w:pPr>
      <w:r w:rsidRPr="006602C1">
        <w:rPr>
          <w:rFonts w:ascii="Times New Roman" w:eastAsia="Calibri" w:hAnsi="Times New Roman" w:cs="Times New Roman"/>
          <w:kern w:val="2"/>
          <w:vertAlign w:val="superscript"/>
          <w:lang w:eastAsia="en-US"/>
          <w14:ligatures w14:val="standardContextual"/>
        </w:rPr>
        <w:footnoteRef/>
      </w:r>
      <w:r w:rsidRPr="006602C1">
        <w:rPr>
          <w:rFonts w:ascii="Times New Roman" w:eastAsia="Calibri" w:hAnsi="Times New Roman" w:cs="Times New Roman"/>
          <w:kern w:val="2"/>
          <w:lang w:eastAsia="en-US"/>
          <w14:ligatures w14:val="standardContextual"/>
        </w:rPr>
        <w:t xml:space="preserve"> Інвестиційний паспорт Броварської громади (2023)</w:t>
      </w:r>
      <w:r w:rsidRPr="006602C1">
        <w:rPr>
          <w:rFonts w:ascii="Times New Roman" w:eastAsia="Calibri" w:hAnsi="Times New Roman" w:cs="Times New Roman"/>
          <w:kern w:val="2"/>
          <w:lang w:val="ru-RU" w:eastAsia="en-US"/>
          <w14:ligatures w14:val="standardContextual"/>
        </w:rPr>
        <w:t>.</w:t>
      </w:r>
    </w:p>
    <w:p w14:paraId="426A6512" w14:textId="77777777" w:rsidR="00E27A66" w:rsidRPr="00E27A66" w:rsidRDefault="006602C1" w:rsidP="006602C1">
      <w:pPr>
        <w:spacing w:after="0" w:line="240" w:lineRule="auto"/>
        <w:jc w:val="both"/>
        <w:rPr>
          <w:rFonts w:ascii="Times New Roman" w:eastAsia="Calibri" w:hAnsi="Times New Roman" w:cs="Times New Roman"/>
          <w:lang w:val="ru-RU" w:eastAsia="en-US"/>
        </w:rPr>
      </w:pPr>
      <w:hyperlink r:id="rId15" w:history="1">
        <w:r w:rsidRPr="006602C1">
          <w:rPr>
            <w:rFonts w:ascii="Times New Roman" w:eastAsia="Calibri" w:hAnsi="Times New Roman" w:cs="Times New Roman"/>
            <w:color w:val="8E58B6"/>
            <w:u w:val="single"/>
            <w:lang w:eastAsia="en-US"/>
          </w:rPr>
          <w:t>https://profix.brovary-rada.gov.ua/storage/app/media/Про%20місто/Інвестиційний%20паспорт.</w:t>
        </w:r>
        <w:r w:rsidRPr="006602C1">
          <w:rPr>
            <w:rFonts w:ascii="Times New Roman" w:eastAsia="Calibri" w:hAnsi="Times New Roman" w:cs="Times New Roman"/>
            <w:color w:val="8E58B6"/>
            <w:u w:val="single"/>
            <w:lang w:val="en-US" w:eastAsia="en-US"/>
          </w:rPr>
          <w:t>pdf</w:t>
        </w:r>
      </w:hyperlink>
      <w:r w:rsidRPr="006602C1">
        <w:rPr>
          <w:rFonts w:ascii="Times New Roman" w:eastAsia="Calibri" w:hAnsi="Times New Roman" w:cs="Times New Roman"/>
          <w:lang w:val="ru-RU" w:eastAsia="en-US"/>
        </w:rPr>
        <w:t xml:space="preserve">  </w:t>
      </w:r>
    </w:p>
    <w:p w14:paraId="06B42E9F" w14:textId="77777777" w:rsidR="00442B57" w:rsidRPr="00442B57" w:rsidRDefault="00000000" w:rsidP="00442B57">
      <w:p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lastRenderedPageBreak/>
        <w:t>•</w:t>
      </w:r>
      <w:r w:rsidRPr="00442B57">
        <w:rPr>
          <w:rFonts w:ascii="Times New Roman" w:eastAsia="Calibri" w:hAnsi="Times New Roman" w:cs="Times New Roman"/>
          <w:sz w:val="28"/>
          <w:szCs w:val="28"/>
          <w:lang w:eastAsia="en-US"/>
        </w:rPr>
        <w:tab/>
        <w:t>ТОВ «PERI-Україна» – виробник опалубки та будівельних риштувань;</w:t>
      </w:r>
    </w:p>
    <w:p w14:paraId="496D3D63" w14:textId="77777777" w:rsidR="00442B57" w:rsidRPr="00442B57" w:rsidRDefault="00000000" w:rsidP="00442B57">
      <w:pPr>
        <w:spacing w:after="0" w:line="240" w:lineRule="auto"/>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w:t>
      </w:r>
      <w:r w:rsidRPr="00442B57">
        <w:rPr>
          <w:rFonts w:ascii="Times New Roman" w:eastAsia="Calibri" w:hAnsi="Times New Roman" w:cs="Times New Roman"/>
          <w:sz w:val="28"/>
          <w:szCs w:val="28"/>
          <w:lang w:eastAsia="en-US"/>
        </w:rPr>
        <w:tab/>
        <w:t>ТОВ «КИЇВГУМА» – здійснює виробництво понад 4 тис. найменувань продукції з гуми, латексу,  силікону, ПВХ, ТЕП.</w:t>
      </w:r>
    </w:p>
    <w:p w14:paraId="7ED8DE92" w14:textId="77777777" w:rsidR="00442B57" w:rsidRPr="00442B57" w:rsidRDefault="00000000" w:rsidP="00442B57">
      <w:pPr>
        <w:spacing w:after="0" w:line="240" w:lineRule="auto"/>
        <w:ind w:firstLine="567"/>
        <w:jc w:val="both"/>
        <w:rPr>
          <w:rFonts w:ascii="Times New Roman" w:eastAsia="Calibri" w:hAnsi="Times New Roman" w:cs="Times New Roman"/>
          <w:sz w:val="28"/>
          <w:szCs w:val="28"/>
          <w:lang w:eastAsia="en-US"/>
        </w:rPr>
      </w:pPr>
      <w:r w:rsidRPr="00442B57">
        <w:rPr>
          <w:rFonts w:ascii="Times New Roman" w:eastAsia="Calibri" w:hAnsi="Times New Roman" w:cs="Times New Roman"/>
          <w:sz w:val="28"/>
          <w:szCs w:val="28"/>
          <w:lang w:eastAsia="en-US"/>
        </w:rPr>
        <w:t xml:space="preserve">У межах територіальної громади функціонують 20 загальноосвітніх, 1 передвищий та 1 професійно-технічний заклад освіти. Зокрема, Державний професійно-технічний навчальний заклад «Броварський професійний ліцей» щороку випускає 235 фахівців у робітничій сфері: слюсар з ремонту колісних транспортних засобів, електрозварник, монтажник санітарно технічних систем і устаткування, маляр, штукатур, монтажник систем утеплення, кухар-кондитер тощо. </w:t>
      </w:r>
    </w:p>
    <w:p w14:paraId="60DF7E8C" w14:textId="77777777" w:rsidR="007C582E" w:rsidRPr="006602C1" w:rsidRDefault="00000000" w:rsidP="006602C1">
      <w:pPr>
        <w:spacing w:after="0" w:line="240" w:lineRule="auto"/>
        <w:ind w:firstLine="567"/>
        <w:jc w:val="both"/>
        <w:rPr>
          <w:rFonts w:ascii="Times New Roman" w:eastAsia="Calibri" w:hAnsi="Times New Roman" w:cs="Times New Roman"/>
          <w:color w:val="809EC2"/>
          <w:kern w:val="2"/>
          <w:sz w:val="28"/>
          <w:szCs w:val="28"/>
          <w:lang w:eastAsia="en-US"/>
          <w14:ligatures w14:val="standardContextual"/>
        </w:rPr>
      </w:pPr>
      <w:r w:rsidRPr="00442B57">
        <w:rPr>
          <w:rFonts w:ascii="Times New Roman" w:eastAsia="Calibri" w:hAnsi="Times New Roman" w:cs="Times New Roman"/>
          <w:sz w:val="28"/>
          <w:szCs w:val="28"/>
          <w:lang w:eastAsia="en-US"/>
        </w:rPr>
        <w:t xml:space="preserve">У першому півріччі 2023 року від роботодавців громади налічувалося 1263 вакансії, з яких 540 було укомплектовано за сприяння центру зайнятості. Кількість зареєстрованих безробітних склала 813 осіб, з них 46 були направлені на </w:t>
      </w:r>
      <w:r w:rsidRPr="006602C1">
        <w:rPr>
          <w:rFonts w:ascii="Times New Roman" w:eastAsia="Calibri" w:hAnsi="Times New Roman" w:cs="Times New Roman"/>
          <w:sz w:val="28"/>
          <w:szCs w:val="28"/>
          <w:lang w:eastAsia="en-US"/>
        </w:rPr>
        <w:t>стажування, професійне навчання і підвищення кваліфікації.</w:t>
      </w:r>
    </w:p>
    <w:p w14:paraId="7906B645" w14:textId="77777777" w:rsidR="006602C1" w:rsidRPr="006602C1" w:rsidRDefault="00000000" w:rsidP="006602C1">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8" w:name="_Toc194054628"/>
      <w:r w:rsidRPr="006602C1">
        <w:rPr>
          <w:rFonts w:ascii="Times New Roman" w:eastAsia="Times New Roman" w:hAnsi="Times New Roman" w:cs="Times New Roman"/>
          <w:b/>
          <w:kern w:val="2"/>
          <w:sz w:val="28"/>
          <w:szCs w:val="28"/>
          <w:lang w:eastAsia="en-US"/>
          <w14:ligatures w14:val="standardContextual"/>
        </w:rPr>
        <w:t>Строк, на який створюється індустріальний парк</w:t>
      </w:r>
      <w:bookmarkEnd w:id="8"/>
    </w:p>
    <w:p w14:paraId="118B671C"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Індустріальний парк «БУДШЛЯХМАШ» створюється на строк 34 роки із дати прийняття рішення ініціатором про створення індустріального парку.</w:t>
      </w:r>
    </w:p>
    <w:p w14:paraId="2BFF6255" w14:textId="77777777" w:rsidR="006602C1" w:rsidRPr="006602C1" w:rsidRDefault="00000000" w:rsidP="006602C1">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9" w:name="_Toc194054629"/>
      <w:r w:rsidRPr="006602C1">
        <w:rPr>
          <w:rFonts w:ascii="Times New Roman" w:eastAsia="Times New Roman" w:hAnsi="Times New Roman" w:cs="Times New Roman"/>
          <w:b/>
          <w:kern w:val="2"/>
          <w:sz w:val="28"/>
          <w:szCs w:val="28"/>
          <w:lang w:eastAsia="en-US"/>
          <w14:ligatures w14:val="standardContextual"/>
        </w:rPr>
        <w:t>Вимоги до учасників індустріального парку</w:t>
      </w:r>
      <w:bookmarkEnd w:id="9"/>
    </w:p>
    <w:p w14:paraId="7F6C2374"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Відповідно до пункту 8 частини 1 статті 1 Закону України «Про індустріальні парки», учасник 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w:t>
      </w:r>
    </w:p>
    <w:p w14:paraId="72990B67"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набув право на земельну ділянку та/або інший об’єкт (частину об’єкта) нерухомого майна у межах індустріального парку;</w:t>
      </w:r>
    </w:p>
    <w:p w14:paraId="74576EC4"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уклав з керуючою компанією договір про здійснення господарської діяльності у межах індустріального парку відповідно до концепції індустріального парку;</w:t>
      </w:r>
    </w:p>
    <w:p w14:paraId="59415B40"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здійснює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на території (в межах) індустріального парку.</w:t>
      </w:r>
    </w:p>
    <w:p w14:paraId="3B567E71"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Перелік об’єктів, які допускаються до розміщення в межах індустріального парку: </w:t>
      </w:r>
    </w:p>
    <w:p w14:paraId="003D86E0"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виробничі об’єкти;</w:t>
      </w:r>
    </w:p>
    <w:p w14:paraId="536C0056"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складські об’єкти;</w:t>
      </w:r>
    </w:p>
    <w:p w14:paraId="7155CF96"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інженерні будівлі та споруди; </w:t>
      </w:r>
    </w:p>
    <w:p w14:paraId="0409AEBF"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об’єкти логістичної інфраструктури;</w:t>
      </w:r>
    </w:p>
    <w:p w14:paraId="0281959B"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офіси, фінансові установи, об’єкти маркетингу та реклами; </w:t>
      </w:r>
    </w:p>
    <w:p w14:paraId="405501F9"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наукові парки, акселератори, лабораторії з розвитку інноваційних технологій; </w:t>
      </w:r>
    </w:p>
    <w:p w14:paraId="18397CD0"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багатоцільові зали для презентації продукції та проведення офіційних заходів;</w:t>
      </w:r>
    </w:p>
    <w:p w14:paraId="7075E963" w14:textId="77777777" w:rsidR="006602C1" w:rsidRPr="006602C1" w:rsidRDefault="00000000" w:rsidP="006602C1">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об’єкти поводження з відходами.</w:t>
      </w:r>
    </w:p>
    <w:p w14:paraId="76877326"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Суб’єкт господарювання набуває статусу учасника при дотриманні наступних умов:</w:t>
      </w:r>
    </w:p>
    <w:p w14:paraId="45596021"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 xml:space="preserve">укладений договір із керуючою компанією про здійснення господарської діяльності в межах індустріального парку; </w:t>
      </w:r>
    </w:p>
    <w:p w14:paraId="10C9BE6A"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 xml:space="preserve">набуття права на земельну ділянку на підставах та в порядку, встановленому земельним законодавством України, та/або на інший об’єкт (частину об’єкта) нерухомого майна у межах індустріального парку; </w:t>
      </w:r>
    </w:p>
    <w:p w14:paraId="269A959E"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підприємство учасника індустріального парку обов’язково повинно бути зареєстровано на території (в межах) індустріального парку.</w:t>
      </w:r>
    </w:p>
    <w:p w14:paraId="136A8F37"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Основним критерієм відбору учасників індустріального парку є відповідність вимогам його функціонального призначення. Зокрема, пріоритет надаватиметься підприємствам, які:</w:t>
      </w:r>
    </w:p>
    <w:p w14:paraId="7A04E906"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працюють у секторі машинобудування та споріднених напрямках,</w:t>
      </w:r>
    </w:p>
    <w:p w14:paraId="296C864A" w14:textId="77777777" w:rsidR="006602C1" w:rsidRPr="006602C1" w:rsidRDefault="00000000" w:rsidP="006602C1">
      <w:pPr>
        <w:numPr>
          <w:ilvl w:val="0"/>
          <w:numId w:val="9"/>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впроваджують інноваційні рішення.</w:t>
      </w:r>
    </w:p>
    <w:p w14:paraId="43688925"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Перевага при розміщенні надаватиметься компаніям, що спеціалізуються на таких видах діяльності:</w:t>
      </w:r>
    </w:p>
    <w:p w14:paraId="1C621621" w14:textId="77777777" w:rsidR="006602C1" w:rsidRPr="006602C1" w:rsidRDefault="00000000" w:rsidP="006602C1">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виробництво машин і устаткування загального призначення;</w:t>
      </w:r>
    </w:p>
    <w:p w14:paraId="79F7A09D" w14:textId="77777777" w:rsidR="006602C1" w:rsidRPr="006602C1" w:rsidRDefault="00000000" w:rsidP="006602C1">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надання послуг з ремонту і технічного обслуговування машин і устаткування;</w:t>
      </w:r>
    </w:p>
    <w:p w14:paraId="2BD9A2D1" w14:textId="77777777" w:rsidR="006602C1" w:rsidRPr="006602C1" w:rsidRDefault="00000000" w:rsidP="006602C1">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виробництво автотранспортних засобів, кузовів, вузлів, деталей і приладдя до них;</w:t>
      </w:r>
    </w:p>
    <w:p w14:paraId="57480876" w14:textId="77777777" w:rsidR="006602C1" w:rsidRPr="006602C1" w:rsidRDefault="00000000" w:rsidP="006602C1">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транспортно-логістичні послуги;</w:t>
      </w:r>
    </w:p>
    <w:p w14:paraId="01797D39" w14:textId="77777777" w:rsidR="006602C1" w:rsidRPr="006602C1" w:rsidRDefault="00000000" w:rsidP="006602C1">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складське господарство;</w:t>
      </w:r>
    </w:p>
    <w:p w14:paraId="2CC5ABD4" w14:textId="77777777" w:rsidR="006602C1" w:rsidRPr="006602C1" w:rsidRDefault="00000000" w:rsidP="006602C1">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науково-технічна діяльність.</w:t>
      </w:r>
    </w:p>
    <w:p w14:paraId="365DBFBB"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Вимоги до учасників індустріального парку встановлюються договором про здійснення господарської діяльності у межах парку, що укладається учасниками з керуючою компанією відповідно до ст. 28 Закону України «Про індустріальні парки».</w:t>
      </w:r>
    </w:p>
    <w:p w14:paraId="45913480"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Крім основних вимог щодо функціонального призначення і спеціалізації індустріального парку, договори з учасниками передбачатимуть такі додаткові умови:</w:t>
      </w:r>
    </w:p>
    <w:p w14:paraId="6E97E046"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надання п’ятирічного плану розвитку підприємства з обґрунтуванням соціально-економічного ефекту від реалізації інвестиційного проєкту;</w:t>
      </w:r>
    </w:p>
    <w:p w14:paraId="5383CC19"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пріоритетне працевлаштування громадян України, зокрема мешканців Броварської міської територіальної громади і прилеглих районів;</w:t>
      </w:r>
    </w:p>
    <w:p w14:paraId="0239BFDD"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неухильне дотримання вимог українського законодавства у податковій, екологічній, трудовій та інших сферах;</w:t>
      </w:r>
    </w:p>
    <w:p w14:paraId="7C824085"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піврічна та річна звітність перед керуючою компанією про виконання умов договору;</w:t>
      </w:r>
    </w:p>
    <w:p w14:paraId="2BF23A36"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заборона на передачу прав та обов’язків за договором третім особам.</w:t>
      </w:r>
    </w:p>
    <w:p w14:paraId="06AFF8D2"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При відборі учасників пріоритет надаватиметься підприємствам, які дотримуються принципів екологічно відповідального виробництва, </w:t>
      </w:r>
      <w:r w:rsidRPr="006602C1">
        <w:rPr>
          <w:rFonts w:ascii="Times New Roman" w:eastAsia="Calibri" w:hAnsi="Times New Roman" w:cs="Times New Roman"/>
          <w:kern w:val="2"/>
          <w:sz w:val="28"/>
          <w:szCs w:val="28"/>
          <w:lang w:eastAsia="en-US"/>
          <w14:ligatures w14:val="standardContextual"/>
        </w:rPr>
        <w:lastRenderedPageBreak/>
        <w:t>забезпечують безпечні умови праці, активно впроваджують інновації та систематично працюють над підвищенням продуктивності та якості продукції.</w:t>
      </w:r>
    </w:p>
    <w:p w14:paraId="27E9438B"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Відповідно до частини 2 статті 7 Закону України «Про індустріальні парки» зі змінами, внесеними згідно із Законом України від 21.06.2022 р. №2330-IX, учасниками або іншими суб'єктами індустріального парку не можуть бути суб'єкти господарювання будь-якої форми власності, створені фізичними особами – громадянами держави, визнаної Верховною Радою України державою-агресором або державою- окупантом, або юридичними чи пов'язаними з ними особами, зареєстрованими у державі, визнаній Верховною Радою України державою-агресором або державою-окупантом, або щодо яких застосовано санкції відповідно до законодавства України або міжнародного права, є юридичними особами - власниками 10 відсотків і більше акцій (часток) та/або кінцевим бенефіціарним власником (контролером) яких є резидент держави, визнаної Верховною Радою України державою-агресором або державою-окупантом, чи держава, визнана Верховною Радою України державою-агресором або державою-окупантом, та/або суб'єктами господарювання, що пов'язані економічними зв'язками з державою- агресором у розумінні Податкового кодексу України.</w:t>
      </w:r>
    </w:p>
    <w:p w14:paraId="3AD0E843" w14:textId="77777777" w:rsidR="006602C1" w:rsidRDefault="00000000" w:rsidP="006602C1">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0" w:name="_Toc194054630"/>
      <w:r w:rsidRPr="006602C1">
        <w:rPr>
          <w:rFonts w:ascii="Times New Roman" w:eastAsia="Times New Roman" w:hAnsi="Times New Roman" w:cs="Times New Roman"/>
          <w:b/>
          <w:kern w:val="2"/>
          <w:sz w:val="28"/>
          <w:szCs w:val="28"/>
          <w:lang w:eastAsia="en-US"/>
          <w14:ligatures w14:val="standardContextual"/>
        </w:rPr>
        <w:t>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bookmarkEnd w:id="10"/>
    </w:p>
    <w:p w14:paraId="7B6B3817" w14:textId="77777777" w:rsidR="006602C1" w:rsidRPr="006602C1" w:rsidRDefault="006602C1" w:rsidP="006602C1">
      <w:pPr>
        <w:keepNext/>
        <w:keepLines/>
        <w:spacing w:before="160" w:after="80" w:line="240" w:lineRule="auto"/>
        <w:ind w:left="720"/>
        <w:outlineLvl w:val="2"/>
        <w:rPr>
          <w:rFonts w:ascii="Times New Roman" w:eastAsia="Times New Roman" w:hAnsi="Times New Roman" w:cs="Times New Roman"/>
          <w:b/>
          <w:kern w:val="2"/>
          <w:sz w:val="28"/>
          <w:szCs w:val="28"/>
          <w:lang w:eastAsia="en-US"/>
          <w14:ligatures w14:val="standardContextual"/>
        </w:rPr>
      </w:pPr>
    </w:p>
    <w:p w14:paraId="5B53BDD2"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Облаштування індустріального парку вимагає створення розвиненої інфраструктури, зокрема забезпечення електропостачанням, водопостачанням, водовідведенням та газопостачанням. Для цього необхідно попередньо оцінити рівень споживання цих ресурсів. Наведені нижче показники потреб у енергоносіях базуються на узагальнених даних і є орієнтовними, оскільки остаточні обсяги споживання залежатимуть від конкретних вимог майбутніх учасників парку.</w:t>
      </w:r>
    </w:p>
    <w:p w14:paraId="36A5F7AF"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Точні обсяги ресурсів будуть визначені на етапі розроблення проєктно-кошторисної документації та під час будівництва інженерних мереж та технічної інфраструктури парку.</w:t>
      </w:r>
    </w:p>
    <w:p w14:paraId="181BB89D"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Орієнтовні показники, подані нижче, розраховано на основі попередніх оцінок з урахуванням галузевої спеціалізації парку, а також враховано наявні запити потенційних учасників та досвід функціонування аналогічних підприємств в інших індустріальних парках.</w:t>
      </w:r>
    </w:p>
    <w:p w14:paraId="7A860FCF"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При оцінці орієнтовних сумарних потреб індустріального парку «БУДШЛЯХМАШ» у ресурсах використано наступний методологічний підхід:</w:t>
      </w:r>
    </w:p>
    <w:p w14:paraId="041981EC" w14:textId="77777777" w:rsidR="006602C1" w:rsidRPr="006602C1" w:rsidRDefault="00000000" w:rsidP="006602C1">
      <w:pPr>
        <w:tabs>
          <w:tab w:val="left" w:pos="851"/>
        </w:tabs>
        <w:spacing w:after="0" w:line="240" w:lineRule="auto"/>
        <w:ind w:firstLine="567"/>
        <w:contextualSpacing/>
        <w:jc w:val="center"/>
        <w:rPr>
          <w:rFonts w:ascii="Times New Roman" w:eastAsia="Times New Roman" w:hAnsi="Times New Roman" w:cs="Times New Roman"/>
          <w:sz w:val="28"/>
          <w:szCs w:val="28"/>
        </w:rPr>
      </w:pPr>
      <m:oMath>
        <m:sSub>
          <m:sSubPr>
            <m:ctrlPr>
              <w:rPr>
                <w:rFonts w:ascii="Cambria Math" w:eastAsia="Times New Roman" w:hAnsi="Cambria Math" w:cs="Times New Roman"/>
                <w:i/>
                <w:kern w:val="2"/>
                <w:sz w:val="28"/>
                <w:szCs w:val="28"/>
                <w:lang w:eastAsia="en-US"/>
                <w14:ligatures w14:val="standardContextual"/>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=S∙</m:t>
        </m:r>
        <m:sSub>
          <m:sSubPr>
            <m:ctrlPr>
              <w:rPr>
                <w:rFonts w:ascii="Cambria Math" w:eastAsia="Times New Roman" w:hAnsi="Cambria Math" w:cs="Times New Roman"/>
                <w:i/>
                <w:kern w:val="2"/>
                <w:sz w:val="28"/>
                <w:szCs w:val="28"/>
                <w:lang w:eastAsia="en-US"/>
                <w14:ligatures w14:val="standardContextual"/>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∙T∙P∙</m:t>
        </m:r>
        <m:sSub>
          <m:sSubPr>
            <m:ctrlPr>
              <w:rPr>
                <w:rFonts w:ascii="Cambria Math" w:eastAsia="Times New Roman" w:hAnsi="Cambria Math" w:cs="Times New Roman"/>
                <w:i/>
                <w:kern w:val="2"/>
                <w:sz w:val="28"/>
                <w:szCs w:val="28"/>
                <w:lang w:eastAsia="en-US"/>
                <w14:ligatures w14:val="standardContextual"/>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e</m:t>
            </m:r>
          </m:sub>
        </m:sSub>
      </m:oMath>
      <w:r w:rsidRPr="006602C1">
        <w:rPr>
          <w:rFonts w:ascii="Times New Roman" w:eastAsia="Times New Roman" w:hAnsi="Times New Roman" w:cs="Times New Roman"/>
          <w:sz w:val="28"/>
          <w:szCs w:val="28"/>
        </w:rPr>
        <w:t xml:space="preserve"> ,</w:t>
      </w:r>
    </w:p>
    <w:p w14:paraId="6199E8D0" w14:textId="77777777" w:rsidR="006602C1" w:rsidRPr="006602C1" w:rsidRDefault="00000000" w:rsidP="006602C1">
      <w:pPr>
        <w:tabs>
          <w:tab w:val="left" w:pos="851"/>
        </w:tabs>
        <w:spacing w:after="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де: Q</w:t>
      </w:r>
      <w:r w:rsidRPr="006602C1">
        <w:rPr>
          <w:rFonts w:ascii="Times New Roman" w:eastAsia="Times New Roman" w:hAnsi="Times New Roman" w:cs="Times New Roman"/>
          <w:sz w:val="28"/>
          <w:szCs w:val="28"/>
          <w:vertAlign w:val="subscript"/>
        </w:rPr>
        <w:t>i</w:t>
      </w:r>
      <w:r w:rsidRPr="006602C1">
        <w:rPr>
          <w:rFonts w:ascii="Times New Roman" w:eastAsia="Times New Roman" w:hAnsi="Times New Roman" w:cs="Times New Roman"/>
          <w:sz w:val="28"/>
          <w:szCs w:val="28"/>
        </w:rPr>
        <w:t xml:space="preserve"> – очікувана потреба індустріального парку в і-му ресурсі на рік;</w:t>
      </w:r>
    </w:p>
    <w:p w14:paraId="68856899" w14:textId="77777777" w:rsidR="006602C1" w:rsidRPr="006602C1" w:rsidRDefault="00000000" w:rsidP="006602C1">
      <w:pPr>
        <w:tabs>
          <w:tab w:val="left" w:pos="851"/>
        </w:tabs>
        <w:spacing w:after="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S – площа ділянки, га;</w:t>
      </w:r>
    </w:p>
    <w:p w14:paraId="610AAB25" w14:textId="77777777" w:rsidR="006602C1" w:rsidRPr="006602C1" w:rsidRDefault="00000000" w:rsidP="006602C1">
      <w:pPr>
        <w:tabs>
          <w:tab w:val="left" w:pos="851"/>
        </w:tabs>
        <w:spacing w:after="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К</w:t>
      </w:r>
      <w:r w:rsidRPr="006602C1">
        <w:rPr>
          <w:rFonts w:ascii="Times New Roman" w:eastAsia="Times New Roman" w:hAnsi="Times New Roman" w:cs="Times New Roman"/>
          <w:sz w:val="28"/>
          <w:szCs w:val="28"/>
          <w:vertAlign w:val="subscript"/>
        </w:rPr>
        <w:t>е</w:t>
      </w:r>
      <w:r w:rsidRPr="006602C1">
        <w:rPr>
          <w:rFonts w:ascii="Times New Roman" w:eastAsia="Times New Roman" w:hAnsi="Times New Roman" w:cs="Times New Roman"/>
          <w:sz w:val="28"/>
          <w:szCs w:val="28"/>
        </w:rPr>
        <w:t xml:space="preserve"> – коефіцієнт корекції гнучкості (витрати на непередбачувані потреби).</w:t>
      </w:r>
    </w:p>
    <w:p w14:paraId="7154840E" w14:textId="77777777" w:rsidR="006602C1" w:rsidRPr="006602C1" w:rsidRDefault="00000000" w:rsidP="006602C1">
      <w:pPr>
        <w:tabs>
          <w:tab w:val="left" w:pos="851"/>
        </w:tabs>
        <w:spacing w:after="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lastRenderedPageBreak/>
        <w:t>d</w:t>
      </w:r>
      <w:r w:rsidRPr="006602C1">
        <w:rPr>
          <w:rFonts w:ascii="Times New Roman" w:eastAsia="Times New Roman" w:hAnsi="Times New Roman" w:cs="Times New Roman"/>
          <w:sz w:val="28"/>
          <w:szCs w:val="28"/>
          <w:vertAlign w:val="subscript"/>
        </w:rPr>
        <w:t>і</w:t>
      </w:r>
      <w:r w:rsidRPr="006602C1">
        <w:rPr>
          <w:rFonts w:ascii="Times New Roman" w:eastAsia="Times New Roman" w:hAnsi="Times New Roman" w:cs="Times New Roman"/>
          <w:sz w:val="28"/>
          <w:szCs w:val="28"/>
        </w:rPr>
        <w:t xml:space="preserve"> – середнє очікуване споживання ресурсу на 1 га в годину;</w:t>
      </w:r>
    </w:p>
    <w:p w14:paraId="525AF037" w14:textId="77777777" w:rsidR="006602C1" w:rsidRPr="006602C1" w:rsidRDefault="00000000" w:rsidP="006602C1">
      <w:pPr>
        <w:tabs>
          <w:tab w:val="left" w:pos="851"/>
        </w:tabs>
        <w:spacing w:after="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Т – кількість робочих годин;</w:t>
      </w:r>
    </w:p>
    <w:p w14:paraId="05BE53D0" w14:textId="77777777" w:rsidR="006602C1" w:rsidRPr="006602C1" w:rsidRDefault="00000000" w:rsidP="006602C1">
      <w:pPr>
        <w:tabs>
          <w:tab w:val="left" w:pos="851"/>
        </w:tabs>
        <w:spacing w:after="12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Р – кількість робочих днів.</w:t>
      </w:r>
    </w:p>
    <w:p w14:paraId="71A20044" w14:textId="77777777" w:rsidR="00442B57" w:rsidRPr="006602C1" w:rsidRDefault="00442B57" w:rsidP="006602C1">
      <w:pPr>
        <w:spacing w:after="0" w:line="240" w:lineRule="auto"/>
        <w:rPr>
          <w:rFonts w:ascii="Times New Roman" w:hAnsi="Times New Roman" w:cs="Times New Roman"/>
          <w:b/>
          <w:sz w:val="28"/>
          <w:szCs w:val="28"/>
        </w:rPr>
      </w:pPr>
    </w:p>
    <w:p w14:paraId="6EF12943" w14:textId="77777777" w:rsidR="006602C1" w:rsidRPr="006602C1" w:rsidRDefault="00000000" w:rsidP="006602C1">
      <w:pPr>
        <w:spacing w:after="0" w:line="240" w:lineRule="auto"/>
        <w:jc w:val="center"/>
        <w:rPr>
          <w:rFonts w:ascii="Times New Roman" w:eastAsia="Calibri" w:hAnsi="Times New Roman" w:cs="Times New Roman"/>
          <w:b/>
          <w:bCs/>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Електропостачання</w:t>
      </w:r>
    </w:p>
    <w:p w14:paraId="34C8D338"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Електропостачання індустріального парку планується здійснювати від існуючих мереж середньої напруги (6–10 кВ) із подальшим розподілом електроенергії на рівні 380/220 В через трансформаторні підстанції. Для забезпечення стабільної роботи виробничих потужностей передбачено будівництво трансформаторної підстанції. Таке технічне рішення дозволить покрити всі потреби учасників парку, враховуючи, що кожне підприємство матиме індивідуальні вимоги до електроспоживання.</w:t>
      </w:r>
    </w:p>
    <w:p w14:paraId="175BEA21"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Обсяги споживання електроенергії можуть суттєво відрізнятися залежно від типу виробництва: від 200 кВт*год. встановленої потужності для малих і середніх підприємств до 920 кВт*год. для більших промислових об’єктів. Пікові навантаження також змінюватимуться залежно від специфіки діяльності та застосовуваних технологічних процесів.</w:t>
      </w:r>
    </w:p>
    <w:p w14:paraId="3C31C536"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Проєктування та підключення трансформаторних підстанцій здійснюватиметься згідно з технічними умовами, які надаватиме електропередавальна організація, і завдань на розробку проєктної документації. Виконання цих робіт передбачено на наступних етапах проєктування з урахуванням конкретних вимог кожного учасника парку.</w:t>
      </w:r>
    </w:p>
    <w:p w14:paraId="5C677E8F"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 попередніми розрахунками, орієнтовна потреба в електроенергії для всього індустріального парку становитиме близько 1 МВт. Крім того, для забезпечення безперебійної роботи критично важливих об’єктів передбачено резервне живлення потужністю не менше ніж 500 кВт.</w:t>
      </w:r>
    </w:p>
    <w:p w14:paraId="096F1AE8"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Додаткові питання, пов’язані з електропостачанням території ІП, включаючи оптимізацію навантажень, підвищення енергоефективності та впровадження альтернативних джерел енергії, будуть детально опрацьовані при розробленні проєктно-кошторисної документації. На цьому етапі також планується співпраця з енергопостачальними компаніями для узгодження технічних рішень, забезпечення надійного і безперебійного електропоста</w:t>
      </w:r>
      <w:r w:rsidRPr="006602C1">
        <w:rPr>
          <w:rFonts w:ascii="Times New Roman" w:eastAsia="Calibri" w:hAnsi="Times New Roman" w:cs="Times New Roman"/>
          <w:kern w:val="2"/>
          <w:sz w:val="28"/>
          <w:szCs w:val="28"/>
          <w:lang w:eastAsia="en-US"/>
          <w14:ligatures w14:val="standardContextual"/>
        </w:rPr>
        <w:softHyphen/>
        <w:t>чання. Це дозволить не лише задовольнити поточні потреби підприємств, але й створити умови для їх подальшого розвитку та масштабування виробництва.</w:t>
      </w:r>
    </w:p>
    <w:p w14:paraId="0667D96D" w14:textId="77777777" w:rsidR="006602C1" w:rsidRPr="006602C1" w:rsidRDefault="006602C1" w:rsidP="006602C1">
      <w:pPr>
        <w:spacing w:after="0" w:line="240" w:lineRule="auto"/>
        <w:jc w:val="both"/>
        <w:rPr>
          <w:rFonts w:ascii="Times New Roman" w:eastAsia="Calibri" w:hAnsi="Times New Roman" w:cs="Times New Roman"/>
          <w:kern w:val="2"/>
          <w:sz w:val="28"/>
          <w:szCs w:val="28"/>
          <w:lang w:val="ru-RU" w:eastAsia="en-US"/>
          <w14:ligatures w14:val="standardContextual"/>
        </w:rPr>
      </w:pPr>
    </w:p>
    <w:p w14:paraId="590CE557" w14:textId="77777777" w:rsidR="006602C1" w:rsidRPr="006602C1" w:rsidRDefault="00000000" w:rsidP="006602C1">
      <w:pPr>
        <w:spacing w:after="0" w:line="240" w:lineRule="auto"/>
        <w:jc w:val="center"/>
        <w:rPr>
          <w:rFonts w:ascii="Times New Roman" w:eastAsia="Calibri" w:hAnsi="Times New Roman" w:cs="Times New Roman"/>
          <w:b/>
          <w:bCs/>
          <w:color w:val="0070C0"/>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Водопостачання</w:t>
      </w:r>
    </w:p>
    <w:p w14:paraId="5EC72407" w14:textId="77777777" w:rsidR="006602C1" w:rsidRPr="006602C1" w:rsidRDefault="00000000" w:rsidP="006602C1">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6602C1">
        <w:rPr>
          <w:rFonts w:ascii="Times New Roman" w:eastAsia="Calibri" w:hAnsi="Times New Roman" w:cs="Times New Roman"/>
          <w:color w:val="000000"/>
          <w:kern w:val="2"/>
          <w:sz w:val="28"/>
          <w:szCs w:val="28"/>
          <w:lang w:eastAsia="en-US"/>
          <w14:ligatures w14:val="standardContextual"/>
        </w:rPr>
        <w:t xml:space="preserve">Потреба у питному водопостачанні та води на промислові потреби забезпечується через підключення до проєктованого водопроводу. Водопровідна мережа проєктується з металевих і поліетиленових водопровідних труб згідно з ДСТУ Б,В,2.7-151-2008. Діаметр проєктованої водопровідної мережі передбачається не менше 100 мм для можливості встановлення на них пожежних гідрантів. Максимальна відстань між гідрантами планується 100 м. Питна вода, що має подаватися у водопровідні мережі, за бактеріологічним та хімічним складом повинна відповідати вимогам </w:t>
      </w:r>
      <w:r w:rsidRPr="006602C1">
        <w:rPr>
          <w:rFonts w:ascii="Times New Roman" w:eastAsia="Calibri" w:hAnsi="Times New Roman" w:cs="Times New Roman"/>
          <w:color w:val="000000"/>
          <w:kern w:val="2"/>
          <w:sz w:val="28"/>
          <w:szCs w:val="28"/>
          <w:lang w:eastAsia="en-US"/>
          <w14:ligatures w14:val="standardContextual"/>
        </w:rPr>
        <w:lastRenderedPageBreak/>
        <w:t>СанПіН 2.2.4-171-10 «Гігієнічні вимоги до води питної, призначеної для споживання людиною».</w:t>
      </w:r>
    </w:p>
    <w:p w14:paraId="18BE1030"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color w:val="000000"/>
          <w:kern w:val="2"/>
          <w:sz w:val="28"/>
          <w:szCs w:val="28"/>
          <w:lang w:eastAsia="en-US"/>
          <w14:ligatures w14:val="standardContextual"/>
        </w:rPr>
        <w:t xml:space="preserve">Розрахункова потреба індустріального парку </w:t>
      </w:r>
      <w:r w:rsidRPr="006602C1">
        <w:rPr>
          <w:rFonts w:ascii="Times New Roman" w:eastAsia="Calibri" w:hAnsi="Times New Roman" w:cs="Times New Roman"/>
          <w:kern w:val="2"/>
          <w:sz w:val="28"/>
          <w:szCs w:val="28"/>
          <w:lang w:eastAsia="en-US"/>
          <w14:ligatures w14:val="standardContextual"/>
        </w:rPr>
        <w:t>«БУДШЛЯХМАШ» у технічній воді для промислових, господарських та інших потреб наведена у табл. 4.</w:t>
      </w:r>
    </w:p>
    <w:p w14:paraId="4E7FCDA4" w14:textId="77777777" w:rsidR="006602C1" w:rsidRPr="006602C1" w:rsidRDefault="00000000" w:rsidP="006602C1">
      <w:pPr>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Табл. 4.</w:t>
      </w:r>
      <w:r w:rsidRPr="006602C1">
        <w:rPr>
          <w:rFonts w:ascii="Times New Roman" w:eastAsia="Calibri" w:hAnsi="Times New Roman" w:cs="Times New Roman"/>
          <w:kern w:val="2"/>
          <w:sz w:val="28"/>
          <w:szCs w:val="28"/>
          <w:lang w:eastAsia="en-US"/>
          <w14:ligatures w14:val="standardContextual"/>
        </w:rPr>
        <w:t xml:space="preserve"> Розрахунок потреби </w:t>
      </w:r>
      <w:r w:rsidRPr="006602C1">
        <w:rPr>
          <w:rFonts w:ascii="Times New Roman" w:eastAsia="Calibri" w:hAnsi="Times New Roman" w:cs="Times New Roman"/>
          <w:color w:val="000000"/>
          <w:kern w:val="2"/>
          <w:sz w:val="28"/>
          <w:szCs w:val="28"/>
          <w:lang w:eastAsia="en-US"/>
          <w14:ligatures w14:val="standardContextual"/>
        </w:rPr>
        <w:t xml:space="preserve">ІП </w:t>
      </w:r>
      <w:r w:rsidRPr="006602C1">
        <w:rPr>
          <w:rFonts w:ascii="Times New Roman" w:eastAsia="Calibri" w:hAnsi="Times New Roman" w:cs="Times New Roman"/>
          <w:kern w:val="2"/>
          <w:sz w:val="28"/>
          <w:szCs w:val="28"/>
          <w:lang w:eastAsia="en-US"/>
          <w14:ligatures w14:val="standardContextual"/>
        </w:rPr>
        <w:t>«БУДШЛЯХМАШ» у водних ресурсах, м</w:t>
      </w:r>
      <w:r w:rsidRPr="006602C1">
        <w:rPr>
          <w:rFonts w:ascii="Times New Roman" w:eastAsia="Calibri" w:hAnsi="Times New Roman" w:cs="Times New Roman"/>
          <w:kern w:val="2"/>
          <w:sz w:val="28"/>
          <w:szCs w:val="28"/>
          <w:vertAlign w:val="superscript"/>
          <w:lang w:eastAsia="en-US"/>
          <w14:ligatures w14:val="standardContextual"/>
        </w:rPr>
        <w:t>3</w:t>
      </w:r>
      <w:r w:rsidRPr="006602C1">
        <w:rPr>
          <w:rFonts w:ascii="Times New Roman" w:eastAsia="Calibri" w:hAnsi="Times New Roman" w:cs="Times New Roman"/>
          <w:kern w:val="2"/>
          <w:sz w:val="28"/>
          <w:szCs w:val="28"/>
          <w:lang w:eastAsia="en-US"/>
          <w14:ligatures w14:val="standardContextual"/>
        </w:rPr>
        <w:t>/місяць</w:t>
      </w:r>
    </w:p>
    <w:tbl>
      <w:tblPr>
        <w:tblStyle w:val="6"/>
        <w:tblW w:w="9526" w:type="dxa"/>
        <w:tblLook w:val="04A0" w:firstRow="1" w:lastRow="0" w:firstColumn="1" w:lastColumn="0" w:noHBand="0" w:noVBand="1"/>
      </w:tblPr>
      <w:tblGrid>
        <w:gridCol w:w="1006"/>
        <w:gridCol w:w="2157"/>
        <w:gridCol w:w="1519"/>
        <w:gridCol w:w="1261"/>
        <w:gridCol w:w="1537"/>
        <w:gridCol w:w="2046"/>
      </w:tblGrid>
      <w:tr w:rsidR="00F37DCB" w14:paraId="40A933D0" w14:textId="77777777" w:rsidTr="006602C1">
        <w:tc>
          <w:tcPr>
            <w:tcW w:w="1006" w:type="dxa"/>
            <w:tcBorders>
              <w:top w:val="single" w:sz="4" w:space="0" w:color="auto"/>
              <w:left w:val="single" w:sz="4" w:space="0" w:color="auto"/>
              <w:bottom w:val="single" w:sz="4" w:space="0" w:color="auto"/>
              <w:right w:val="single" w:sz="4" w:space="0" w:color="auto"/>
            </w:tcBorders>
            <w:vAlign w:val="center"/>
            <w:hideMark/>
          </w:tcPr>
          <w:p w14:paraId="1800DC01"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Га</w:t>
            </w:r>
          </w:p>
          <w:p w14:paraId="7404DA84"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(S)</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93FF715"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Середнє очікуване споживання, л/хв/га (d</w:t>
            </w:r>
            <w:r w:rsidRPr="006602C1">
              <w:rPr>
                <w:rFonts w:ascii="Times New Roman" w:eastAsia="Times New Roman" w:hAnsi="Times New Roman"/>
                <w:sz w:val="24"/>
                <w:szCs w:val="28"/>
                <w:vertAlign w:val="subscript"/>
              </w:rPr>
              <w:t>і</w:t>
            </w:r>
            <w:r w:rsidRPr="006602C1">
              <w:rPr>
                <w:rFonts w:ascii="Times New Roman" w:eastAsia="Times New Roman" w:hAnsi="Times New Roman"/>
                <w:sz w:val="24"/>
                <w:szCs w:val="28"/>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25F6C7A8"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Кількість робочих годин (T)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7564895"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Кількість робочих днів (P)</w:t>
            </w:r>
          </w:p>
        </w:tc>
        <w:tc>
          <w:tcPr>
            <w:tcW w:w="1537" w:type="dxa"/>
            <w:tcBorders>
              <w:top w:val="single" w:sz="4" w:space="0" w:color="auto"/>
              <w:left w:val="single" w:sz="4" w:space="0" w:color="auto"/>
              <w:bottom w:val="single" w:sz="4" w:space="0" w:color="auto"/>
              <w:right w:val="single" w:sz="4" w:space="0" w:color="auto"/>
            </w:tcBorders>
            <w:vAlign w:val="center"/>
            <w:hideMark/>
          </w:tcPr>
          <w:p w14:paraId="142B39B9"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Коефіцієнт корекції гнучкості (K</w:t>
            </w:r>
            <w:r w:rsidRPr="006602C1">
              <w:rPr>
                <w:rFonts w:ascii="Times New Roman" w:eastAsia="Times New Roman" w:hAnsi="Times New Roman"/>
                <w:sz w:val="24"/>
                <w:szCs w:val="28"/>
                <w:vertAlign w:val="subscript"/>
              </w:rPr>
              <w:t>e</w:t>
            </w:r>
            <w:r w:rsidRPr="006602C1">
              <w:rPr>
                <w:rFonts w:ascii="Times New Roman" w:eastAsia="Times New Roman" w:hAnsi="Times New Roman"/>
                <w:sz w:val="24"/>
                <w:szCs w:val="28"/>
              </w:rPr>
              <w:t>)</w:t>
            </w:r>
          </w:p>
        </w:tc>
        <w:tc>
          <w:tcPr>
            <w:tcW w:w="2046" w:type="dxa"/>
            <w:tcBorders>
              <w:top w:val="single" w:sz="4" w:space="0" w:color="auto"/>
              <w:left w:val="single" w:sz="4" w:space="0" w:color="auto"/>
              <w:bottom w:val="single" w:sz="4" w:space="0" w:color="auto"/>
              <w:right w:val="single" w:sz="4" w:space="0" w:color="auto"/>
            </w:tcBorders>
            <w:vAlign w:val="center"/>
            <w:hideMark/>
          </w:tcPr>
          <w:p w14:paraId="59522D85"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Очікувана потреба парку у воді, м</w:t>
            </w:r>
            <w:r w:rsidRPr="006602C1">
              <w:rPr>
                <w:rFonts w:ascii="Times New Roman" w:eastAsia="Times New Roman" w:hAnsi="Times New Roman"/>
                <w:sz w:val="24"/>
                <w:szCs w:val="28"/>
                <w:vertAlign w:val="superscript"/>
              </w:rPr>
              <w:t>3</w:t>
            </w:r>
            <w:r w:rsidRPr="006602C1">
              <w:rPr>
                <w:rFonts w:ascii="Times New Roman" w:eastAsia="Times New Roman" w:hAnsi="Times New Roman"/>
                <w:sz w:val="24"/>
                <w:szCs w:val="28"/>
              </w:rPr>
              <w:t>/місяць (Q)</w:t>
            </w:r>
          </w:p>
        </w:tc>
      </w:tr>
      <w:tr w:rsidR="00F37DCB" w14:paraId="574A6F8A" w14:textId="77777777" w:rsidTr="006602C1">
        <w:trPr>
          <w:trHeight w:val="162"/>
        </w:trPr>
        <w:tc>
          <w:tcPr>
            <w:tcW w:w="1006" w:type="dxa"/>
            <w:tcBorders>
              <w:top w:val="single" w:sz="4" w:space="0" w:color="auto"/>
              <w:left w:val="single" w:sz="4" w:space="0" w:color="auto"/>
              <w:bottom w:val="single" w:sz="4" w:space="0" w:color="auto"/>
              <w:right w:val="single" w:sz="4" w:space="0" w:color="auto"/>
            </w:tcBorders>
            <w:hideMark/>
          </w:tcPr>
          <w:p w14:paraId="36358D00"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11,4173</w:t>
            </w:r>
          </w:p>
        </w:tc>
        <w:tc>
          <w:tcPr>
            <w:tcW w:w="2157" w:type="dxa"/>
            <w:tcBorders>
              <w:top w:val="single" w:sz="4" w:space="0" w:color="auto"/>
              <w:left w:val="single" w:sz="4" w:space="0" w:color="auto"/>
              <w:bottom w:val="single" w:sz="4" w:space="0" w:color="auto"/>
              <w:right w:val="single" w:sz="4" w:space="0" w:color="auto"/>
            </w:tcBorders>
            <w:hideMark/>
          </w:tcPr>
          <w:p w14:paraId="3F6F1C0E"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6,66</w:t>
            </w:r>
          </w:p>
        </w:tc>
        <w:tc>
          <w:tcPr>
            <w:tcW w:w="1519" w:type="dxa"/>
            <w:tcBorders>
              <w:top w:val="single" w:sz="4" w:space="0" w:color="auto"/>
              <w:left w:val="single" w:sz="4" w:space="0" w:color="auto"/>
              <w:bottom w:val="single" w:sz="4" w:space="0" w:color="auto"/>
              <w:right w:val="single" w:sz="4" w:space="0" w:color="auto"/>
            </w:tcBorders>
            <w:hideMark/>
          </w:tcPr>
          <w:p w14:paraId="249423DF"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8</w:t>
            </w:r>
          </w:p>
        </w:tc>
        <w:tc>
          <w:tcPr>
            <w:tcW w:w="1261" w:type="dxa"/>
            <w:tcBorders>
              <w:top w:val="single" w:sz="4" w:space="0" w:color="auto"/>
              <w:left w:val="single" w:sz="4" w:space="0" w:color="auto"/>
              <w:bottom w:val="single" w:sz="4" w:space="0" w:color="auto"/>
              <w:right w:val="single" w:sz="4" w:space="0" w:color="auto"/>
            </w:tcBorders>
            <w:hideMark/>
          </w:tcPr>
          <w:p w14:paraId="6230F33B"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25</w:t>
            </w:r>
          </w:p>
        </w:tc>
        <w:tc>
          <w:tcPr>
            <w:tcW w:w="1537" w:type="dxa"/>
            <w:tcBorders>
              <w:top w:val="single" w:sz="4" w:space="0" w:color="auto"/>
              <w:left w:val="single" w:sz="4" w:space="0" w:color="auto"/>
              <w:bottom w:val="single" w:sz="4" w:space="0" w:color="auto"/>
              <w:right w:val="single" w:sz="4" w:space="0" w:color="auto"/>
            </w:tcBorders>
            <w:hideMark/>
          </w:tcPr>
          <w:p w14:paraId="0AF01ABE"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1,1</w:t>
            </w:r>
          </w:p>
        </w:tc>
        <w:tc>
          <w:tcPr>
            <w:tcW w:w="2046" w:type="dxa"/>
            <w:tcBorders>
              <w:top w:val="single" w:sz="4" w:space="0" w:color="auto"/>
              <w:left w:val="single" w:sz="4" w:space="0" w:color="auto"/>
              <w:bottom w:val="single" w:sz="4" w:space="0" w:color="auto"/>
              <w:right w:val="single" w:sz="4" w:space="0" w:color="auto"/>
            </w:tcBorders>
            <w:hideMark/>
          </w:tcPr>
          <w:p w14:paraId="383EAB9D" w14:textId="77777777" w:rsidR="006602C1" w:rsidRPr="006602C1" w:rsidRDefault="00000000" w:rsidP="006602C1">
            <w:pPr>
              <w:tabs>
                <w:tab w:val="left" w:pos="851"/>
              </w:tabs>
              <w:contextualSpacing/>
              <w:jc w:val="center"/>
              <w:rPr>
                <w:rFonts w:ascii="Times New Roman" w:eastAsia="Times New Roman" w:hAnsi="Times New Roman"/>
                <w:b/>
                <w:bCs/>
                <w:sz w:val="24"/>
                <w:szCs w:val="28"/>
              </w:rPr>
            </w:pPr>
            <w:r w:rsidRPr="006602C1">
              <w:rPr>
                <w:rFonts w:ascii="Times New Roman" w:eastAsia="Times New Roman" w:hAnsi="Times New Roman"/>
                <w:b/>
                <w:bCs/>
                <w:sz w:val="24"/>
                <w:szCs w:val="28"/>
              </w:rPr>
              <w:t>1003,72</w:t>
            </w:r>
          </w:p>
        </w:tc>
      </w:tr>
    </w:tbl>
    <w:p w14:paraId="5DA5E23D" w14:textId="77777777" w:rsidR="006602C1" w:rsidRPr="006602C1" w:rsidRDefault="006602C1" w:rsidP="006602C1">
      <w:pPr>
        <w:tabs>
          <w:tab w:val="left" w:pos="851"/>
        </w:tabs>
        <w:spacing w:after="0" w:line="240" w:lineRule="auto"/>
        <w:ind w:firstLine="567"/>
        <w:contextualSpacing/>
        <w:jc w:val="both"/>
        <w:rPr>
          <w:rFonts w:ascii="Times New Roman" w:eastAsia="Times New Roman" w:hAnsi="Times New Roman" w:cs="Times New Roman"/>
          <w:kern w:val="2"/>
          <w:sz w:val="28"/>
          <w:szCs w:val="28"/>
          <w:lang w:eastAsia="en-US"/>
          <w14:ligatures w14:val="standardContextual"/>
        </w:rPr>
      </w:pPr>
    </w:p>
    <w:p w14:paraId="3FE52796" w14:textId="77777777" w:rsidR="006602C1" w:rsidRPr="006602C1" w:rsidRDefault="00000000" w:rsidP="006602C1">
      <w:pPr>
        <w:tabs>
          <w:tab w:val="left" w:pos="851"/>
        </w:tabs>
        <w:spacing w:after="0" w:line="240" w:lineRule="auto"/>
        <w:ind w:firstLine="567"/>
        <w:contextualSpacing/>
        <w:jc w:val="both"/>
        <w:rPr>
          <w:rFonts w:ascii="Times New Roman" w:eastAsia="Times New Roman" w:hAnsi="Times New Roman" w:cs="Times New Roman"/>
          <w:sz w:val="28"/>
          <w:szCs w:val="28"/>
        </w:rPr>
      </w:pPr>
      <w:r w:rsidRPr="006602C1">
        <w:rPr>
          <w:rFonts w:ascii="Times New Roman" w:eastAsia="Times New Roman" w:hAnsi="Times New Roman" w:cs="Times New Roman"/>
          <w:sz w:val="28"/>
          <w:szCs w:val="28"/>
        </w:rPr>
        <w:t>Отже, розрахункова потреба проєктованих споживачів у технічній воді становить близько 1000 м</w:t>
      </w:r>
      <w:r w:rsidRPr="006602C1">
        <w:rPr>
          <w:rFonts w:ascii="Times New Roman" w:eastAsia="Times New Roman" w:hAnsi="Times New Roman" w:cs="Times New Roman"/>
          <w:sz w:val="28"/>
          <w:szCs w:val="28"/>
          <w:vertAlign w:val="superscript"/>
        </w:rPr>
        <w:t>3</w:t>
      </w:r>
      <w:r w:rsidRPr="006602C1">
        <w:rPr>
          <w:rFonts w:ascii="Times New Roman" w:eastAsia="Times New Roman" w:hAnsi="Times New Roman" w:cs="Times New Roman"/>
          <w:sz w:val="28"/>
          <w:szCs w:val="28"/>
        </w:rPr>
        <w:t>/місяць, з яких:</w:t>
      </w:r>
    </w:p>
    <w:p w14:paraId="552C6EC5"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промислові та господарські потреби складають 1000,0 м3/місяць;</w:t>
      </w:r>
    </w:p>
    <w:p w14:paraId="24A26E22"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безповоротні витрати, полив вулиць і зелених насаджень – 3,72 м</w:t>
      </w:r>
      <w:r w:rsidRPr="006602C1">
        <w:rPr>
          <w:rFonts w:ascii="Times New Roman" w:eastAsia="Calibri" w:hAnsi="Times New Roman" w:cs="Times New Roman"/>
          <w:kern w:val="2"/>
          <w:sz w:val="28"/>
          <w:szCs w:val="28"/>
          <w:vertAlign w:val="superscript"/>
          <w:lang w:eastAsia="en-US"/>
          <w14:ligatures w14:val="standardContextual"/>
        </w:rPr>
        <w:t>3</w:t>
      </w:r>
      <w:r w:rsidRPr="006602C1">
        <w:rPr>
          <w:rFonts w:ascii="Times New Roman" w:eastAsia="Calibri" w:hAnsi="Times New Roman" w:cs="Times New Roman"/>
          <w:kern w:val="2"/>
          <w:sz w:val="28"/>
          <w:szCs w:val="28"/>
          <w:lang w:eastAsia="en-US"/>
          <w14:ligatures w14:val="standardContextual"/>
        </w:rPr>
        <w:t>/ місяць.</w:t>
      </w:r>
    </w:p>
    <w:p w14:paraId="0667DDC8" w14:textId="77777777" w:rsidR="006602C1" w:rsidRPr="006602C1" w:rsidRDefault="006602C1" w:rsidP="006602C1">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p>
    <w:p w14:paraId="59B3E373" w14:textId="77777777" w:rsidR="006602C1" w:rsidRPr="006602C1" w:rsidRDefault="00000000" w:rsidP="006602C1">
      <w:pPr>
        <w:spacing w:after="0" w:line="240" w:lineRule="auto"/>
        <w:jc w:val="center"/>
        <w:rPr>
          <w:rFonts w:ascii="Times New Roman" w:eastAsia="Calibri" w:hAnsi="Times New Roman" w:cs="Times New Roman"/>
          <w:b/>
          <w:bCs/>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Водовідведення і каналізація</w:t>
      </w:r>
    </w:p>
    <w:p w14:paraId="6529898B" w14:textId="77777777" w:rsidR="006602C1" w:rsidRPr="006602C1" w:rsidRDefault="00000000" w:rsidP="006602C1">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6602C1">
        <w:rPr>
          <w:rFonts w:ascii="Times New Roman" w:eastAsia="Calibri" w:hAnsi="Times New Roman" w:cs="Times New Roman"/>
          <w:color w:val="000000"/>
          <w:kern w:val="2"/>
          <w:sz w:val="28"/>
          <w:szCs w:val="28"/>
          <w:lang w:eastAsia="en-US"/>
          <w14:ligatures w14:val="standardContextual"/>
        </w:rPr>
        <w:t>Розрахункова кількість стічних вод приймається, виходячи з промислових витрат води у машинобудівному виробництві та оцінених безповоротних витрат (табл. 5).</w:t>
      </w:r>
    </w:p>
    <w:p w14:paraId="058E8060" w14:textId="77777777" w:rsidR="006602C1" w:rsidRPr="006602C1" w:rsidRDefault="00000000" w:rsidP="006602C1">
      <w:pPr>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Табл. 5.</w:t>
      </w:r>
      <w:r w:rsidRPr="006602C1">
        <w:rPr>
          <w:rFonts w:ascii="Times New Roman" w:eastAsia="Calibri" w:hAnsi="Times New Roman" w:cs="Times New Roman"/>
          <w:kern w:val="2"/>
          <w:sz w:val="28"/>
          <w:szCs w:val="28"/>
          <w:lang w:eastAsia="en-US"/>
          <w14:ligatures w14:val="standardContextual"/>
        </w:rPr>
        <w:t xml:space="preserve"> Розрахунок потреби </w:t>
      </w:r>
      <w:r w:rsidRPr="006602C1">
        <w:rPr>
          <w:rFonts w:ascii="Times New Roman" w:eastAsia="Calibri" w:hAnsi="Times New Roman" w:cs="Times New Roman"/>
          <w:color w:val="000000"/>
          <w:kern w:val="2"/>
          <w:sz w:val="28"/>
          <w:szCs w:val="28"/>
          <w:lang w:eastAsia="en-US"/>
          <w14:ligatures w14:val="standardContextual"/>
        </w:rPr>
        <w:t xml:space="preserve">ІП </w:t>
      </w:r>
      <w:r w:rsidRPr="006602C1">
        <w:rPr>
          <w:rFonts w:ascii="Times New Roman" w:eastAsia="Calibri" w:hAnsi="Times New Roman" w:cs="Times New Roman"/>
          <w:kern w:val="2"/>
          <w:sz w:val="28"/>
          <w:szCs w:val="28"/>
          <w:lang w:eastAsia="en-US"/>
          <w14:ligatures w14:val="standardContextual"/>
        </w:rPr>
        <w:t>«БУДШЛЯХМАШ» у водовідведенні, м</w:t>
      </w:r>
      <w:r w:rsidRPr="006602C1">
        <w:rPr>
          <w:rFonts w:ascii="Times New Roman" w:eastAsia="Calibri" w:hAnsi="Times New Roman" w:cs="Times New Roman"/>
          <w:kern w:val="2"/>
          <w:sz w:val="28"/>
          <w:szCs w:val="28"/>
          <w:vertAlign w:val="superscript"/>
          <w:lang w:eastAsia="en-US"/>
          <w14:ligatures w14:val="standardContextual"/>
        </w:rPr>
        <w:t>3</w:t>
      </w:r>
      <w:r w:rsidRPr="006602C1">
        <w:rPr>
          <w:rFonts w:ascii="Times New Roman" w:eastAsia="Calibri" w:hAnsi="Times New Roman" w:cs="Times New Roman"/>
          <w:kern w:val="2"/>
          <w:sz w:val="28"/>
          <w:szCs w:val="28"/>
          <w:lang w:eastAsia="en-US"/>
          <w14:ligatures w14:val="standardContextual"/>
        </w:rPr>
        <w:t>/місяць</w:t>
      </w:r>
    </w:p>
    <w:tbl>
      <w:tblPr>
        <w:tblStyle w:val="6"/>
        <w:tblW w:w="9526" w:type="dxa"/>
        <w:tblLook w:val="04A0" w:firstRow="1" w:lastRow="0" w:firstColumn="1" w:lastColumn="0" w:noHBand="0" w:noVBand="1"/>
      </w:tblPr>
      <w:tblGrid>
        <w:gridCol w:w="1007"/>
        <w:gridCol w:w="1965"/>
        <w:gridCol w:w="1134"/>
        <w:gridCol w:w="1134"/>
        <w:gridCol w:w="1559"/>
        <w:gridCol w:w="2727"/>
      </w:tblGrid>
      <w:tr w:rsidR="00F37DCB" w14:paraId="2FFC0E55" w14:textId="77777777" w:rsidTr="006602C1">
        <w:tc>
          <w:tcPr>
            <w:tcW w:w="1007" w:type="dxa"/>
            <w:tcBorders>
              <w:top w:val="single" w:sz="4" w:space="0" w:color="auto"/>
              <w:left w:val="single" w:sz="4" w:space="0" w:color="auto"/>
              <w:bottom w:val="single" w:sz="4" w:space="0" w:color="auto"/>
              <w:right w:val="single" w:sz="4" w:space="0" w:color="auto"/>
            </w:tcBorders>
            <w:vAlign w:val="center"/>
            <w:hideMark/>
          </w:tcPr>
          <w:p w14:paraId="46DFA569"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Га</w:t>
            </w:r>
          </w:p>
          <w:p w14:paraId="0CD99260"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(S)</w:t>
            </w:r>
          </w:p>
        </w:tc>
        <w:tc>
          <w:tcPr>
            <w:tcW w:w="1965" w:type="dxa"/>
            <w:tcBorders>
              <w:top w:val="single" w:sz="4" w:space="0" w:color="auto"/>
              <w:left w:val="single" w:sz="4" w:space="0" w:color="auto"/>
              <w:bottom w:val="single" w:sz="4" w:space="0" w:color="auto"/>
              <w:right w:val="single" w:sz="4" w:space="0" w:color="auto"/>
            </w:tcBorders>
            <w:vAlign w:val="center"/>
            <w:hideMark/>
          </w:tcPr>
          <w:p w14:paraId="11D12F90"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Середнє очікуване відведення, л/хв/га (d</w:t>
            </w:r>
            <w:r w:rsidRPr="006602C1">
              <w:rPr>
                <w:rFonts w:ascii="Times New Roman" w:eastAsia="Times New Roman" w:hAnsi="Times New Roman"/>
                <w:sz w:val="24"/>
                <w:szCs w:val="28"/>
                <w:vertAlign w:val="subscript"/>
              </w:rPr>
              <w:t>і</w:t>
            </w:r>
            <w:r w:rsidRPr="006602C1">
              <w:rPr>
                <w:rFonts w:ascii="Times New Roman" w:eastAsia="Times New Roman" w:hAnsi="Times New Roman"/>
                <w:sz w:val="24"/>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1A741E"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Кількість робочих годин (T)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E55D59"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Кількість робочих днів (P)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3AC686"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Коефіцієнт корекції гнучкості (K</w:t>
            </w:r>
            <w:r w:rsidRPr="006602C1">
              <w:rPr>
                <w:rFonts w:ascii="Times New Roman" w:eastAsia="Times New Roman" w:hAnsi="Times New Roman"/>
                <w:sz w:val="24"/>
                <w:szCs w:val="28"/>
                <w:vertAlign w:val="subscript"/>
              </w:rPr>
              <w:t>e</w:t>
            </w:r>
            <w:r w:rsidRPr="006602C1">
              <w:rPr>
                <w:rFonts w:ascii="Times New Roman" w:eastAsia="Times New Roman" w:hAnsi="Times New Roman"/>
                <w:sz w:val="24"/>
                <w:szCs w:val="28"/>
              </w:rPr>
              <w:t>)</w:t>
            </w:r>
          </w:p>
        </w:tc>
        <w:tc>
          <w:tcPr>
            <w:tcW w:w="2727" w:type="dxa"/>
            <w:tcBorders>
              <w:top w:val="single" w:sz="4" w:space="0" w:color="auto"/>
              <w:left w:val="single" w:sz="4" w:space="0" w:color="auto"/>
              <w:bottom w:val="single" w:sz="4" w:space="0" w:color="auto"/>
              <w:right w:val="single" w:sz="4" w:space="0" w:color="auto"/>
            </w:tcBorders>
            <w:vAlign w:val="center"/>
            <w:hideMark/>
          </w:tcPr>
          <w:p w14:paraId="39DEB615"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Очікувана потреба індустріального парку у водовідведенні, м</w:t>
            </w:r>
            <w:r w:rsidRPr="006602C1">
              <w:rPr>
                <w:rFonts w:ascii="Times New Roman" w:eastAsia="Times New Roman" w:hAnsi="Times New Roman"/>
                <w:sz w:val="24"/>
                <w:szCs w:val="28"/>
                <w:vertAlign w:val="superscript"/>
              </w:rPr>
              <w:t>3</w:t>
            </w:r>
            <w:r w:rsidRPr="006602C1">
              <w:rPr>
                <w:rFonts w:ascii="Times New Roman" w:eastAsia="Times New Roman" w:hAnsi="Times New Roman"/>
                <w:sz w:val="24"/>
                <w:szCs w:val="28"/>
              </w:rPr>
              <w:t>/добу (Q)</w:t>
            </w:r>
          </w:p>
        </w:tc>
      </w:tr>
      <w:tr w:rsidR="00F37DCB" w14:paraId="5A45555A" w14:textId="77777777" w:rsidTr="006602C1">
        <w:trPr>
          <w:trHeight w:val="162"/>
        </w:trPr>
        <w:tc>
          <w:tcPr>
            <w:tcW w:w="1007" w:type="dxa"/>
            <w:tcBorders>
              <w:top w:val="single" w:sz="4" w:space="0" w:color="auto"/>
              <w:left w:val="single" w:sz="4" w:space="0" w:color="auto"/>
              <w:bottom w:val="single" w:sz="4" w:space="0" w:color="auto"/>
              <w:right w:val="single" w:sz="4" w:space="0" w:color="auto"/>
            </w:tcBorders>
            <w:hideMark/>
          </w:tcPr>
          <w:p w14:paraId="73BEB063"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11,4173</w:t>
            </w:r>
          </w:p>
        </w:tc>
        <w:tc>
          <w:tcPr>
            <w:tcW w:w="1965" w:type="dxa"/>
            <w:tcBorders>
              <w:top w:val="single" w:sz="4" w:space="0" w:color="auto"/>
              <w:left w:val="single" w:sz="4" w:space="0" w:color="auto"/>
              <w:bottom w:val="single" w:sz="4" w:space="0" w:color="auto"/>
              <w:right w:val="single" w:sz="4" w:space="0" w:color="auto"/>
            </w:tcBorders>
            <w:hideMark/>
          </w:tcPr>
          <w:p w14:paraId="7581BA2D"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6,66</w:t>
            </w:r>
          </w:p>
        </w:tc>
        <w:tc>
          <w:tcPr>
            <w:tcW w:w="1134" w:type="dxa"/>
            <w:tcBorders>
              <w:top w:val="single" w:sz="4" w:space="0" w:color="auto"/>
              <w:left w:val="single" w:sz="4" w:space="0" w:color="auto"/>
              <w:bottom w:val="single" w:sz="4" w:space="0" w:color="auto"/>
              <w:right w:val="single" w:sz="4" w:space="0" w:color="auto"/>
            </w:tcBorders>
            <w:hideMark/>
          </w:tcPr>
          <w:p w14:paraId="0CD04610"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8</w:t>
            </w:r>
          </w:p>
        </w:tc>
        <w:tc>
          <w:tcPr>
            <w:tcW w:w="1134" w:type="dxa"/>
            <w:tcBorders>
              <w:top w:val="single" w:sz="4" w:space="0" w:color="auto"/>
              <w:left w:val="single" w:sz="4" w:space="0" w:color="auto"/>
              <w:bottom w:val="single" w:sz="4" w:space="0" w:color="auto"/>
              <w:right w:val="single" w:sz="4" w:space="0" w:color="auto"/>
            </w:tcBorders>
            <w:hideMark/>
          </w:tcPr>
          <w:p w14:paraId="2D1C9514"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25</w:t>
            </w:r>
          </w:p>
        </w:tc>
        <w:tc>
          <w:tcPr>
            <w:tcW w:w="1559" w:type="dxa"/>
            <w:tcBorders>
              <w:top w:val="single" w:sz="4" w:space="0" w:color="auto"/>
              <w:left w:val="single" w:sz="4" w:space="0" w:color="auto"/>
              <w:bottom w:val="single" w:sz="4" w:space="0" w:color="auto"/>
              <w:right w:val="single" w:sz="4" w:space="0" w:color="auto"/>
            </w:tcBorders>
            <w:hideMark/>
          </w:tcPr>
          <w:p w14:paraId="3C8FDBC2"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1,1</w:t>
            </w:r>
          </w:p>
        </w:tc>
        <w:tc>
          <w:tcPr>
            <w:tcW w:w="2727" w:type="dxa"/>
            <w:tcBorders>
              <w:top w:val="single" w:sz="4" w:space="0" w:color="auto"/>
              <w:left w:val="single" w:sz="4" w:space="0" w:color="auto"/>
              <w:bottom w:val="single" w:sz="4" w:space="0" w:color="auto"/>
              <w:right w:val="single" w:sz="4" w:space="0" w:color="auto"/>
            </w:tcBorders>
            <w:hideMark/>
          </w:tcPr>
          <w:p w14:paraId="75EE83DB" w14:textId="77777777" w:rsidR="006602C1" w:rsidRPr="006602C1" w:rsidRDefault="00000000" w:rsidP="006602C1">
            <w:pPr>
              <w:tabs>
                <w:tab w:val="left" w:pos="851"/>
              </w:tabs>
              <w:contextualSpacing/>
              <w:jc w:val="center"/>
              <w:rPr>
                <w:rFonts w:ascii="Times New Roman" w:eastAsia="Times New Roman" w:hAnsi="Times New Roman"/>
                <w:b/>
                <w:bCs/>
                <w:sz w:val="24"/>
                <w:szCs w:val="28"/>
              </w:rPr>
            </w:pPr>
            <w:r w:rsidRPr="006602C1">
              <w:rPr>
                <w:rFonts w:ascii="Times New Roman" w:eastAsia="Times New Roman" w:hAnsi="Times New Roman"/>
                <w:b/>
                <w:bCs/>
                <w:sz w:val="24"/>
                <w:szCs w:val="28"/>
              </w:rPr>
              <w:t>1003,72</w:t>
            </w:r>
          </w:p>
        </w:tc>
      </w:tr>
    </w:tbl>
    <w:p w14:paraId="30E85402" w14:textId="77777777" w:rsidR="006602C1" w:rsidRPr="006602C1" w:rsidRDefault="006602C1" w:rsidP="006602C1">
      <w:pPr>
        <w:spacing w:after="0" w:line="240" w:lineRule="auto"/>
        <w:jc w:val="both"/>
        <w:rPr>
          <w:rFonts w:ascii="Times New Roman" w:eastAsia="Calibri" w:hAnsi="Times New Roman" w:cs="Times New Roman"/>
          <w:color w:val="000000"/>
          <w:kern w:val="2"/>
          <w:sz w:val="28"/>
          <w:szCs w:val="28"/>
          <w:lang w:eastAsia="en-US"/>
          <w14:ligatures w14:val="standardContextual"/>
        </w:rPr>
      </w:pPr>
    </w:p>
    <w:p w14:paraId="5BEBA34C" w14:textId="77777777" w:rsidR="006602C1" w:rsidRPr="006602C1" w:rsidRDefault="00000000" w:rsidP="006602C1">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6602C1">
        <w:rPr>
          <w:rFonts w:ascii="Times New Roman" w:eastAsia="Calibri" w:hAnsi="Times New Roman" w:cs="Times New Roman"/>
          <w:color w:val="000000"/>
          <w:kern w:val="2"/>
          <w:sz w:val="28"/>
          <w:szCs w:val="28"/>
          <w:lang w:eastAsia="en-US"/>
          <w14:ligatures w14:val="standardContextual"/>
        </w:rPr>
        <w:t>Для знезараження побутових стічних вод передбачається станція біологічного очищення стічних вод типу «Biotal 2BT B-200». Санітарно-захисна зона для установки складає 20 м від забудови. Відведення очищеної води після очисних споруд здійснюється у резервуар очищеної води для повторного використання: для поливу та технічної води.</w:t>
      </w:r>
    </w:p>
    <w:p w14:paraId="79E47AE4" w14:textId="77777777" w:rsidR="006602C1" w:rsidRPr="006602C1" w:rsidRDefault="00000000" w:rsidP="006602C1">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6602C1">
        <w:rPr>
          <w:rFonts w:ascii="Times New Roman" w:eastAsia="Calibri" w:hAnsi="Times New Roman" w:cs="Times New Roman"/>
          <w:color w:val="000000"/>
          <w:kern w:val="2"/>
          <w:sz w:val="28"/>
          <w:szCs w:val="28"/>
          <w:lang w:eastAsia="en-US"/>
          <w14:ligatures w14:val="standardContextual"/>
        </w:rPr>
        <w:t>Поверхневі води з асфальтованих ділянок, стоянок транспортних засобів, дахів будівель та споруд після відповідного очищення від залишків паливно-мастильних матеріалів повинні скидатись в закритий накопичувач для технічних потреб або на понижені ділянки рельєфу. Відведення дощових вод через дощові лотки та фільтруючі модулі з подальшим скиданням до власних очисних споруд дощової каналізації.</w:t>
      </w:r>
    </w:p>
    <w:p w14:paraId="4D4B6654" w14:textId="77777777" w:rsidR="006602C1" w:rsidRDefault="00000000" w:rsidP="006602C1">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6602C1">
        <w:rPr>
          <w:rFonts w:ascii="Times New Roman" w:eastAsia="Calibri" w:hAnsi="Times New Roman" w:cs="Times New Roman"/>
          <w:color w:val="000000"/>
          <w:kern w:val="2"/>
          <w:sz w:val="28"/>
          <w:szCs w:val="28"/>
          <w:lang w:eastAsia="en-US"/>
          <w14:ligatures w14:val="standardContextual"/>
        </w:rPr>
        <w:t>Детальні технічні характеристики проєктованої каналізаційної мережі, а також мережі стоку відпрацьованих промислових вод розроблятимуться на наступних стадіях проєктування індустріального парку.</w:t>
      </w:r>
    </w:p>
    <w:p w14:paraId="60A174C3" w14:textId="77777777" w:rsidR="006602C1" w:rsidRDefault="006602C1" w:rsidP="006602C1">
      <w:pPr>
        <w:spacing w:after="0" w:line="240" w:lineRule="auto"/>
        <w:jc w:val="center"/>
        <w:rPr>
          <w:rFonts w:ascii="Times New Roman" w:eastAsia="Calibri" w:hAnsi="Times New Roman" w:cs="Times New Roman"/>
          <w:b/>
          <w:bCs/>
          <w:kern w:val="2"/>
          <w:sz w:val="28"/>
          <w:szCs w:val="28"/>
          <w:lang w:eastAsia="en-US"/>
          <w14:ligatures w14:val="standardContextual"/>
        </w:rPr>
      </w:pPr>
    </w:p>
    <w:p w14:paraId="2D094B49" w14:textId="77777777" w:rsidR="006602C1" w:rsidRPr="006602C1" w:rsidRDefault="00000000" w:rsidP="006602C1">
      <w:pPr>
        <w:spacing w:after="0" w:line="240" w:lineRule="auto"/>
        <w:jc w:val="center"/>
        <w:rPr>
          <w:rFonts w:ascii="Times New Roman" w:eastAsia="Calibri" w:hAnsi="Times New Roman" w:cs="Times New Roman"/>
          <w:b/>
          <w:bCs/>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lastRenderedPageBreak/>
        <w:t>Газопостачання</w:t>
      </w:r>
    </w:p>
    <w:p w14:paraId="5899FF51"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 час підготовки концепції на території індустріального парку газопостачання відсутнє. Поруч із земельною ділянкою проходить газопровід середнього тиску, підключений до ГРС «Велика Димерка» та перебуваючий на балансі АТ «Київоблгаз». Для забезпечення потреб індустріального парку передбачається будівництво газорозподільного пункту (ГРП) з подальшим приєднанням до зазначеного газопроводу відповідно до технічних умов оператора ГРМ. Проєктування та будівництво ГРП здійснюватиметься на наступних етапах проєктування з урахуванням прогнозних навантажень та перспективного розвитку парку. Розрахункова потреба індустріального парку «БУДШЛЯХМАШ» у забезпеченні природним газом розрахована у табл. 6.</w:t>
      </w:r>
    </w:p>
    <w:p w14:paraId="26E4B16D" w14:textId="77777777" w:rsidR="006602C1" w:rsidRPr="006602C1" w:rsidRDefault="00000000" w:rsidP="006602C1">
      <w:pPr>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Табл. 6.</w:t>
      </w:r>
      <w:r w:rsidRPr="006602C1">
        <w:rPr>
          <w:rFonts w:ascii="Times New Roman" w:eastAsia="Calibri" w:hAnsi="Times New Roman" w:cs="Times New Roman"/>
          <w:kern w:val="2"/>
          <w:sz w:val="28"/>
          <w:szCs w:val="28"/>
          <w:lang w:eastAsia="en-US"/>
          <w14:ligatures w14:val="standardContextual"/>
        </w:rPr>
        <w:t xml:space="preserve"> Розрахунок потреби ІП «БУДШЛЯХМАШ» у газопостачанні, м</w:t>
      </w:r>
      <w:r w:rsidRPr="006602C1">
        <w:rPr>
          <w:rFonts w:ascii="Times New Roman" w:eastAsia="Calibri" w:hAnsi="Times New Roman" w:cs="Times New Roman"/>
          <w:kern w:val="2"/>
          <w:sz w:val="28"/>
          <w:szCs w:val="28"/>
          <w:vertAlign w:val="superscript"/>
          <w:lang w:eastAsia="en-US"/>
          <w14:ligatures w14:val="standardContextual"/>
        </w:rPr>
        <w:t>3</w:t>
      </w:r>
      <w:r w:rsidRPr="006602C1">
        <w:rPr>
          <w:rFonts w:ascii="Times New Roman" w:eastAsia="Calibri" w:hAnsi="Times New Roman" w:cs="Times New Roman"/>
          <w:kern w:val="2"/>
          <w:sz w:val="28"/>
          <w:szCs w:val="28"/>
          <w:lang w:eastAsia="en-US"/>
          <w14:ligatures w14:val="standardContextual"/>
        </w:rPr>
        <w:t>/год.</w:t>
      </w:r>
    </w:p>
    <w:tbl>
      <w:tblPr>
        <w:tblStyle w:val="7"/>
        <w:tblW w:w="9526" w:type="dxa"/>
        <w:tblLook w:val="04A0" w:firstRow="1" w:lastRow="0" w:firstColumn="1" w:lastColumn="0" w:noHBand="0" w:noVBand="1"/>
      </w:tblPr>
      <w:tblGrid>
        <w:gridCol w:w="1006"/>
        <w:gridCol w:w="2157"/>
        <w:gridCol w:w="1519"/>
        <w:gridCol w:w="1261"/>
        <w:gridCol w:w="1537"/>
        <w:gridCol w:w="2046"/>
      </w:tblGrid>
      <w:tr w:rsidR="00F37DCB" w14:paraId="09CA7EE5" w14:textId="77777777" w:rsidTr="006602C1">
        <w:tc>
          <w:tcPr>
            <w:tcW w:w="1006" w:type="dxa"/>
            <w:tcBorders>
              <w:top w:val="single" w:sz="4" w:space="0" w:color="auto"/>
              <w:left w:val="single" w:sz="4" w:space="0" w:color="auto"/>
              <w:bottom w:val="single" w:sz="4" w:space="0" w:color="auto"/>
              <w:right w:val="single" w:sz="4" w:space="0" w:color="auto"/>
            </w:tcBorders>
            <w:vAlign w:val="center"/>
            <w:hideMark/>
          </w:tcPr>
          <w:p w14:paraId="2E7764C3"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Га</w:t>
            </w:r>
          </w:p>
          <w:p w14:paraId="35614F3A"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(S)</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1293B5C"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Середнє очікуване споживання, л/хв/га (d</w:t>
            </w:r>
            <w:r w:rsidRPr="006602C1">
              <w:rPr>
                <w:rFonts w:ascii="Times New Roman" w:eastAsia="Times New Roman" w:hAnsi="Times New Roman"/>
                <w:sz w:val="24"/>
                <w:szCs w:val="28"/>
                <w:vertAlign w:val="subscript"/>
              </w:rPr>
              <w:t>і</w:t>
            </w:r>
            <w:r w:rsidRPr="006602C1">
              <w:rPr>
                <w:rFonts w:ascii="Times New Roman" w:eastAsia="Times New Roman" w:hAnsi="Times New Roman"/>
                <w:sz w:val="24"/>
                <w:szCs w:val="28"/>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55D729B6"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Кількість робочих годин (T)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A681D89"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Кількість робочих днів (P)</w:t>
            </w:r>
          </w:p>
        </w:tc>
        <w:tc>
          <w:tcPr>
            <w:tcW w:w="1537" w:type="dxa"/>
            <w:tcBorders>
              <w:top w:val="single" w:sz="4" w:space="0" w:color="auto"/>
              <w:left w:val="single" w:sz="4" w:space="0" w:color="auto"/>
              <w:bottom w:val="single" w:sz="4" w:space="0" w:color="auto"/>
              <w:right w:val="single" w:sz="4" w:space="0" w:color="auto"/>
            </w:tcBorders>
            <w:vAlign w:val="center"/>
            <w:hideMark/>
          </w:tcPr>
          <w:p w14:paraId="4741D242"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Коефіцієнт корекції гнучкості (K</w:t>
            </w:r>
            <w:r w:rsidRPr="006602C1">
              <w:rPr>
                <w:rFonts w:ascii="Times New Roman" w:eastAsia="Times New Roman" w:hAnsi="Times New Roman"/>
                <w:sz w:val="24"/>
                <w:szCs w:val="28"/>
                <w:vertAlign w:val="subscript"/>
              </w:rPr>
              <w:t>e</w:t>
            </w:r>
            <w:r w:rsidRPr="006602C1">
              <w:rPr>
                <w:rFonts w:ascii="Times New Roman" w:eastAsia="Times New Roman" w:hAnsi="Times New Roman"/>
                <w:sz w:val="24"/>
                <w:szCs w:val="28"/>
              </w:rPr>
              <w:t>)</w:t>
            </w:r>
          </w:p>
        </w:tc>
        <w:tc>
          <w:tcPr>
            <w:tcW w:w="2046" w:type="dxa"/>
            <w:tcBorders>
              <w:top w:val="single" w:sz="4" w:space="0" w:color="auto"/>
              <w:left w:val="single" w:sz="4" w:space="0" w:color="auto"/>
              <w:bottom w:val="single" w:sz="4" w:space="0" w:color="auto"/>
              <w:right w:val="single" w:sz="4" w:space="0" w:color="auto"/>
            </w:tcBorders>
            <w:vAlign w:val="center"/>
            <w:hideMark/>
          </w:tcPr>
          <w:p w14:paraId="432BFE60" w14:textId="77777777" w:rsidR="006602C1" w:rsidRPr="006602C1" w:rsidRDefault="00000000" w:rsidP="006602C1">
            <w:pPr>
              <w:tabs>
                <w:tab w:val="left" w:pos="851"/>
              </w:tabs>
              <w:ind w:left="-57" w:right="-57"/>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Очікувана потреба парку у воді, м</w:t>
            </w:r>
            <w:r w:rsidRPr="006602C1">
              <w:rPr>
                <w:rFonts w:ascii="Times New Roman" w:eastAsia="Times New Roman" w:hAnsi="Times New Roman"/>
                <w:sz w:val="24"/>
                <w:szCs w:val="28"/>
                <w:vertAlign w:val="superscript"/>
              </w:rPr>
              <w:t>3</w:t>
            </w:r>
            <w:r w:rsidRPr="006602C1">
              <w:rPr>
                <w:rFonts w:ascii="Times New Roman" w:eastAsia="Times New Roman" w:hAnsi="Times New Roman"/>
                <w:sz w:val="24"/>
                <w:szCs w:val="28"/>
              </w:rPr>
              <w:t>/год. (Q)</w:t>
            </w:r>
          </w:p>
        </w:tc>
      </w:tr>
      <w:tr w:rsidR="00F37DCB" w14:paraId="5C43EC56" w14:textId="77777777" w:rsidTr="006602C1">
        <w:trPr>
          <w:trHeight w:val="162"/>
        </w:trPr>
        <w:tc>
          <w:tcPr>
            <w:tcW w:w="1006" w:type="dxa"/>
            <w:tcBorders>
              <w:top w:val="single" w:sz="4" w:space="0" w:color="auto"/>
              <w:left w:val="single" w:sz="4" w:space="0" w:color="auto"/>
              <w:bottom w:val="single" w:sz="4" w:space="0" w:color="auto"/>
              <w:right w:val="single" w:sz="4" w:space="0" w:color="auto"/>
            </w:tcBorders>
            <w:hideMark/>
          </w:tcPr>
          <w:p w14:paraId="3872DEC0"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11,4173</w:t>
            </w:r>
          </w:p>
        </w:tc>
        <w:tc>
          <w:tcPr>
            <w:tcW w:w="2157" w:type="dxa"/>
            <w:tcBorders>
              <w:top w:val="single" w:sz="4" w:space="0" w:color="auto"/>
              <w:left w:val="single" w:sz="4" w:space="0" w:color="auto"/>
              <w:bottom w:val="single" w:sz="4" w:space="0" w:color="auto"/>
              <w:right w:val="single" w:sz="4" w:space="0" w:color="auto"/>
            </w:tcBorders>
            <w:hideMark/>
          </w:tcPr>
          <w:p w14:paraId="29D83123"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380,0</w:t>
            </w:r>
          </w:p>
        </w:tc>
        <w:tc>
          <w:tcPr>
            <w:tcW w:w="1519" w:type="dxa"/>
            <w:tcBorders>
              <w:top w:val="single" w:sz="4" w:space="0" w:color="auto"/>
              <w:left w:val="single" w:sz="4" w:space="0" w:color="auto"/>
              <w:bottom w:val="single" w:sz="4" w:space="0" w:color="auto"/>
              <w:right w:val="single" w:sz="4" w:space="0" w:color="auto"/>
            </w:tcBorders>
            <w:hideMark/>
          </w:tcPr>
          <w:p w14:paraId="65E1C6D5"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Symbol" w:eastAsia="Times New Roman" w:hAnsi="Symbol"/>
                <w:sz w:val="24"/>
                <w:szCs w:val="28"/>
              </w:rPr>
              <w:sym w:font="Symbol" w:char="F0BE"/>
            </w:r>
          </w:p>
        </w:tc>
        <w:tc>
          <w:tcPr>
            <w:tcW w:w="1261" w:type="dxa"/>
            <w:tcBorders>
              <w:top w:val="single" w:sz="4" w:space="0" w:color="auto"/>
              <w:left w:val="single" w:sz="4" w:space="0" w:color="auto"/>
              <w:bottom w:val="single" w:sz="4" w:space="0" w:color="auto"/>
              <w:right w:val="single" w:sz="4" w:space="0" w:color="auto"/>
            </w:tcBorders>
            <w:hideMark/>
          </w:tcPr>
          <w:p w14:paraId="2195BF49"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Symbol" w:eastAsia="Times New Roman" w:hAnsi="Symbol"/>
                <w:sz w:val="24"/>
                <w:szCs w:val="28"/>
              </w:rPr>
              <w:sym w:font="Symbol" w:char="F0BE"/>
            </w:r>
          </w:p>
        </w:tc>
        <w:tc>
          <w:tcPr>
            <w:tcW w:w="1537" w:type="dxa"/>
            <w:tcBorders>
              <w:top w:val="single" w:sz="4" w:space="0" w:color="auto"/>
              <w:left w:val="single" w:sz="4" w:space="0" w:color="auto"/>
              <w:bottom w:val="single" w:sz="4" w:space="0" w:color="auto"/>
              <w:right w:val="single" w:sz="4" w:space="0" w:color="auto"/>
            </w:tcBorders>
            <w:hideMark/>
          </w:tcPr>
          <w:p w14:paraId="08D80833" w14:textId="77777777" w:rsidR="006602C1" w:rsidRPr="006602C1" w:rsidRDefault="00000000" w:rsidP="006602C1">
            <w:pPr>
              <w:tabs>
                <w:tab w:val="left" w:pos="851"/>
              </w:tabs>
              <w:contextualSpacing/>
              <w:jc w:val="center"/>
              <w:rPr>
                <w:rFonts w:ascii="Times New Roman" w:eastAsia="Times New Roman" w:hAnsi="Times New Roman"/>
                <w:sz w:val="24"/>
                <w:szCs w:val="28"/>
              </w:rPr>
            </w:pPr>
            <w:r w:rsidRPr="006602C1">
              <w:rPr>
                <w:rFonts w:ascii="Times New Roman" w:eastAsia="Times New Roman" w:hAnsi="Times New Roman"/>
                <w:sz w:val="24"/>
                <w:szCs w:val="28"/>
              </w:rPr>
              <w:t>1,153</w:t>
            </w:r>
          </w:p>
        </w:tc>
        <w:tc>
          <w:tcPr>
            <w:tcW w:w="2046" w:type="dxa"/>
            <w:tcBorders>
              <w:top w:val="single" w:sz="4" w:space="0" w:color="auto"/>
              <w:left w:val="single" w:sz="4" w:space="0" w:color="auto"/>
              <w:bottom w:val="single" w:sz="4" w:space="0" w:color="auto"/>
              <w:right w:val="single" w:sz="4" w:space="0" w:color="auto"/>
            </w:tcBorders>
            <w:hideMark/>
          </w:tcPr>
          <w:p w14:paraId="62BF343D" w14:textId="77777777" w:rsidR="006602C1" w:rsidRPr="006602C1" w:rsidRDefault="00000000" w:rsidP="006602C1">
            <w:pPr>
              <w:tabs>
                <w:tab w:val="left" w:pos="851"/>
              </w:tabs>
              <w:contextualSpacing/>
              <w:jc w:val="center"/>
              <w:rPr>
                <w:rFonts w:ascii="Times New Roman" w:eastAsia="Times New Roman" w:hAnsi="Times New Roman"/>
                <w:b/>
                <w:bCs/>
                <w:sz w:val="24"/>
                <w:szCs w:val="28"/>
              </w:rPr>
            </w:pPr>
            <w:r w:rsidRPr="006602C1">
              <w:rPr>
                <w:rFonts w:ascii="Times New Roman" w:eastAsia="Times New Roman" w:hAnsi="Times New Roman"/>
                <w:b/>
                <w:bCs/>
                <w:sz w:val="24"/>
                <w:szCs w:val="28"/>
              </w:rPr>
              <w:t>300,1</w:t>
            </w:r>
          </w:p>
        </w:tc>
      </w:tr>
    </w:tbl>
    <w:p w14:paraId="34CE99D3" w14:textId="77777777" w:rsidR="006602C1" w:rsidRPr="006602C1" w:rsidRDefault="006602C1" w:rsidP="006602C1">
      <w:pPr>
        <w:spacing w:after="0" w:line="240" w:lineRule="auto"/>
        <w:jc w:val="both"/>
        <w:rPr>
          <w:rFonts w:ascii="Times New Roman" w:eastAsia="Calibri" w:hAnsi="Times New Roman" w:cs="Times New Roman"/>
          <w:kern w:val="2"/>
          <w:sz w:val="28"/>
          <w:szCs w:val="28"/>
          <w:lang w:eastAsia="en-US"/>
          <w14:ligatures w14:val="standardContextual"/>
        </w:rPr>
      </w:pPr>
    </w:p>
    <w:p w14:paraId="74F013C8"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Зазначена потужність дасть можливість задовольнити передусім промислові потреби учасників індустріального парку, а також потреби в опаленні об’єктів нерухомого майна, які належать учасникам індустріального парку, за умови повного заповнення та розвитку парку. За умови приєднання учасника із технологічними потребами, що будуть перевищувати наявні потужності, можливе подальше збільшення потужності газопостачання.</w:t>
      </w:r>
    </w:p>
    <w:p w14:paraId="3933E195"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 метою оптимізації використання природного газу в системі енергозабезпечення індустріального парку передбачається:</w:t>
      </w:r>
    </w:p>
    <w:p w14:paraId="1661E9C6"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використання альтернативних систем енергозабезпечення на основі відновлювальних джерел енергії; </w:t>
      </w:r>
    </w:p>
    <w:p w14:paraId="4551FFD6"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впровадження енергозберігаючих технологій; </w:t>
      </w:r>
    </w:p>
    <w:p w14:paraId="75D0835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використання енергозберігаючих матеріалів; </w:t>
      </w:r>
    </w:p>
    <w:p w14:paraId="5B4B8F33"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використання енергозберігаючих світильників і ламп; </w:t>
      </w:r>
    </w:p>
    <w:p w14:paraId="7CC17542"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використання енергозберігаючих побутових приладів, які мають маркування від «А» до «А++».</w:t>
      </w:r>
    </w:p>
    <w:p w14:paraId="24BC6E19" w14:textId="77777777" w:rsidR="00E27A66" w:rsidRPr="006602C1" w:rsidRDefault="00E27A66" w:rsidP="00E27A66">
      <w:pPr>
        <w:tabs>
          <w:tab w:val="num" w:pos="1276"/>
        </w:tabs>
        <w:spacing w:after="0" w:line="240" w:lineRule="auto"/>
        <w:ind w:left="851"/>
        <w:jc w:val="both"/>
        <w:rPr>
          <w:rFonts w:ascii="Times New Roman" w:eastAsia="Calibri" w:hAnsi="Times New Roman" w:cs="Times New Roman"/>
          <w:kern w:val="2"/>
          <w:sz w:val="28"/>
          <w:szCs w:val="28"/>
          <w:lang w:eastAsia="en-US"/>
          <w14:ligatures w14:val="standardContextual"/>
        </w:rPr>
      </w:pPr>
    </w:p>
    <w:p w14:paraId="6BD87824" w14:textId="77777777" w:rsidR="006602C1" w:rsidRPr="006602C1" w:rsidRDefault="00000000" w:rsidP="006602C1">
      <w:pPr>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Теплопостачання</w:t>
      </w:r>
    </w:p>
    <w:p w14:paraId="6A85ECB8" w14:textId="77777777" w:rsidR="006602C1" w:rsidRPr="006602C1" w:rsidRDefault="00000000" w:rsidP="006602C1">
      <w:pPr>
        <w:widowControl w:val="0"/>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Для забезпечення теплопостачання індустріального парку планується будівництво власної котельні, яка функціонуватиме на газі або твердому паливі. Ця котельня призначена для задоволення потреб в опаленні та гарячому водопостачанні як виробничих, так і побутових об’єктів парку. Вибір потужності котельні та оптимального виду палива буде визначено на наступних етапах проєктування парку з урахуванням техніко-економічного обґрунтування та екологічних вимог. </w:t>
      </w:r>
    </w:p>
    <w:p w14:paraId="2ED7418F"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Особлива увага приділятиметься впровадженню енергоефективних рішень, зокрема використанню альтернативних джерел енергії, а також застосуванню </w:t>
      </w:r>
      <w:r w:rsidRPr="006602C1">
        <w:rPr>
          <w:rFonts w:ascii="Times New Roman" w:eastAsia="Calibri" w:hAnsi="Times New Roman" w:cs="Times New Roman"/>
          <w:kern w:val="2"/>
          <w:sz w:val="28"/>
          <w:szCs w:val="28"/>
          <w:lang w:eastAsia="en-US"/>
          <w14:ligatures w14:val="standardContextual"/>
        </w:rPr>
        <w:lastRenderedPageBreak/>
        <w:t>сучасних будівельних матеріалів з покращеними теплоізоляційними властивостями. Це дозволить мінімізувати витрати паливно-енергетичних ресурсів і підвищити енергоефективність системи теплопоста</w:t>
      </w:r>
      <w:r w:rsidRPr="006602C1">
        <w:rPr>
          <w:rFonts w:ascii="Times New Roman" w:eastAsia="Calibri" w:hAnsi="Times New Roman" w:cs="Times New Roman"/>
          <w:kern w:val="2"/>
          <w:sz w:val="28"/>
          <w:szCs w:val="28"/>
          <w:lang w:eastAsia="en-US"/>
          <w14:ligatures w14:val="standardContextual"/>
        </w:rPr>
        <w:softHyphen/>
        <w:t>чання в цілому. Додатково планується встановити когенераційне обладнання – комплекс установок, що одночасно виробляє електричну та теплову енергію, що дозволяє максимально ефективно використовувати паливо та знижувати витрати на енергопостачання. Зазначене обладнання працює за принципом рекуперації тепла, яке зазвичай розсіюється при роботі стандартних електрогенераторів.</w:t>
      </w:r>
    </w:p>
    <w:p w14:paraId="12FAE850" w14:textId="77777777" w:rsidR="006602C1" w:rsidRPr="006602C1" w:rsidRDefault="006602C1" w:rsidP="006602C1">
      <w:pPr>
        <w:spacing w:after="0" w:line="240" w:lineRule="auto"/>
        <w:jc w:val="both"/>
        <w:rPr>
          <w:rFonts w:ascii="Times New Roman" w:eastAsia="Calibri" w:hAnsi="Times New Roman" w:cs="Times New Roman"/>
          <w:kern w:val="2"/>
          <w:sz w:val="28"/>
          <w:szCs w:val="28"/>
          <w:lang w:eastAsia="en-US"/>
          <w14:ligatures w14:val="standardContextual"/>
        </w:rPr>
      </w:pPr>
    </w:p>
    <w:p w14:paraId="3EAF04FA" w14:textId="77777777" w:rsidR="006602C1" w:rsidRPr="006602C1" w:rsidRDefault="00000000" w:rsidP="006602C1">
      <w:pPr>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Поводження з відходами</w:t>
      </w:r>
    </w:p>
    <w:p w14:paraId="5B5EC256"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Для забезпечення належного санітарного стану території індустріального парку буде організована система збору та вивезення твердих побутових відходів. На території парку передбачено облаштування спеціальних майданчиків для герметичних контейнерів, призна</w:t>
      </w:r>
      <w:r w:rsidRPr="006602C1">
        <w:rPr>
          <w:rFonts w:ascii="Times New Roman" w:eastAsia="Calibri" w:hAnsi="Times New Roman" w:cs="Times New Roman"/>
          <w:kern w:val="2"/>
          <w:sz w:val="28"/>
          <w:szCs w:val="28"/>
          <w:lang w:eastAsia="en-US"/>
          <w14:ligatures w14:val="standardContextual"/>
        </w:rPr>
        <w:softHyphen/>
        <w:t>чених для збирання відходів. Крім того, з метою ефективного управління відходами і сприяння їхній переробці, планується встановлення окремих контейнерів для роздільного збору скла, пластмаси, паперу, металевих банок та харчових відходів. Це дозволить зменшити наванта</w:t>
      </w:r>
      <w:r w:rsidRPr="006602C1">
        <w:rPr>
          <w:rFonts w:ascii="Times New Roman" w:eastAsia="Calibri" w:hAnsi="Times New Roman" w:cs="Times New Roman"/>
          <w:kern w:val="2"/>
          <w:sz w:val="28"/>
          <w:szCs w:val="28"/>
          <w:lang w:eastAsia="en-US"/>
          <w14:ligatures w14:val="standardContextual"/>
        </w:rPr>
        <w:softHyphen/>
        <w:t>ження на полігони шляхом вилучення вторинної сировини для подальшої переробки на спеціалізованих підприємствах.</w:t>
      </w:r>
    </w:p>
    <w:p w14:paraId="5D523D13"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Вивезення та утилізація побутових відходів здійснюватиметься на основі укладених договорів з ліцензованими комунальними службами. Усі операції, пов'язані зі збиранням, зберіганням, транспортуванням та утилізацією відходів, будуть проводитися з дотриманням вимог екологічної безпеки та чинного законодавства України, що гарантуватиме мінімізацію негативного впливу на навколишнє середовище.</w:t>
      </w:r>
    </w:p>
    <w:p w14:paraId="36FDE7F5" w14:textId="77777777" w:rsidR="006602C1" w:rsidRPr="006602C1" w:rsidRDefault="00000000" w:rsidP="006602C1">
      <w:pPr>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Благоустрій</w:t>
      </w:r>
    </w:p>
    <w:p w14:paraId="45B8649D"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Ландшафтне планування індустріального парку передбачає раціональне зонування території з урахуванням санітарно-гігієнічних норм та потреб працівників. Особлива увага приділятиметься створенню захисних зелених зон та зон відпочинку, які сприятимуть відновленню сил персоналу. Для озеленення будуть підібрані види рослин з підвищеною стійкістю до промислового забруднення, а також з високими шумо-, пило- та газозахисними властивостями. Такі насадження не лише покращать мікроклімат, але й виконуватимуть функцію природного бар’єру між різними функціональними зонами парку.</w:t>
      </w:r>
    </w:p>
    <w:p w14:paraId="4DF8C73B" w14:textId="77777777" w:rsidR="006602C1" w:rsidRPr="006602C1" w:rsidRDefault="00000000" w:rsidP="006602C1">
      <w:pPr>
        <w:widowControl w:val="0"/>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При проєктуванні ландшафту планується використання місцевих містоформуючих видів рослин, які найкраще адаптовані до місцевих умов і стійкі до негативних впливів. Композиційні рішення включатимуть масиви, смуги, групи, рядові та поодинокі посадки, а також вертикальне озеленення та квіткові композиції. Масиви дерев і чагарників формуватимуться за принципом вільного планування, а однопородні та змішані групи насаджень будуть розмі</w:t>
      </w:r>
      <w:r w:rsidRPr="006602C1">
        <w:rPr>
          <w:rFonts w:ascii="Times New Roman" w:eastAsia="Calibri" w:hAnsi="Times New Roman" w:cs="Times New Roman"/>
          <w:kern w:val="2"/>
          <w:sz w:val="28"/>
          <w:szCs w:val="28"/>
          <w:lang w:eastAsia="en-US"/>
          <w14:ligatures w14:val="standardContextual"/>
        </w:rPr>
        <w:softHyphen/>
        <w:t>щу</w:t>
      </w:r>
      <w:r w:rsidRPr="006602C1">
        <w:rPr>
          <w:rFonts w:ascii="Times New Roman" w:eastAsia="Calibri" w:hAnsi="Times New Roman" w:cs="Times New Roman"/>
          <w:kern w:val="2"/>
          <w:sz w:val="28"/>
          <w:szCs w:val="28"/>
          <w:lang w:eastAsia="en-US"/>
          <w14:ligatures w14:val="standardContextual"/>
        </w:rPr>
        <w:softHyphen/>
        <w:t>ватися в зонах відпочинку з урахуванням оптимальної відстані для візуального сприйняття.</w:t>
      </w:r>
    </w:p>
    <w:p w14:paraId="5C00075C"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Загальна площа озеленення парку сягатиме майже 2,98 га, що забезпечить комфортне середовище для праці та відпочинку, а також сприятиме екологічній збалансовано</w:t>
      </w:r>
      <w:r w:rsidRPr="006602C1">
        <w:rPr>
          <w:rFonts w:ascii="Times New Roman" w:eastAsia="Calibri" w:hAnsi="Times New Roman" w:cs="Times New Roman"/>
          <w:kern w:val="2"/>
          <w:sz w:val="28"/>
          <w:szCs w:val="28"/>
          <w:lang w:eastAsia="en-US"/>
          <w14:ligatures w14:val="standardContextual"/>
        </w:rPr>
        <w:softHyphen/>
        <w:t>сті території.</w:t>
      </w:r>
    </w:p>
    <w:p w14:paraId="082747F7"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Комплексний благоустрій території індустріального парку включатиме створення комфортних умов для праці та відпочинку. Зокрема, передбачено:</w:t>
      </w:r>
    </w:p>
    <w:p w14:paraId="660085A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організацію зелених зон і територій для відпочинку працівників та відвідувачів;</w:t>
      </w:r>
    </w:p>
    <w:p w14:paraId="3D1436FA"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влаштування твердого покриття — асфальтобетону, бруківки — на проїздах, тротуарах, автостоянках, пішохідних доріжках та майданчиках для відпочинку;</w:t>
      </w:r>
    </w:p>
    <w:p w14:paraId="4B8DF075"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встановлення малих архітектурних форм: лавочок, урн для сміття, велопарковок, інформаційних табло та інших елементів благоустрою;</w:t>
      </w:r>
    </w:p>
    <w:p w14:paraId="1F4E97F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огородження території парку;</w:t>
      </w:r>
    </w:p>
    <w:p w14:paraId="2528A1F1"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облаштування зовнішнього освітлення для забезпечення безпеки та комфорту в темний час доби.</w:t>
      </w:r>
    </w:p>
    <w:p w14:paraId="22D971C5"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Основна зона відпочинку, що включатиме лавочки, пішохідні доріжки та декоративне озеленення, розташовуватиметься поблизу адміністративно-побутового комплексу, їдальні та тимчасової стоянки для легкового транспорту працівників. Це дозволить створити зручне і функціональне середовище для персоналу та гостей парку.</w:t>
      </w:r>
    </w:p>
    <w:p w14:paraId="0AEE5688" w14:textId="77777777" w:rsidR="00E27A66" w:rsidRPr="00E27A66" w:rsidRDefault="00000000" w:rsidP="00E27A66">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1" w:name="_Toc194054631"/>
      <w:r w:rsidRPr="006602C1">
        <w:rPr>
          <w:rFonts w:ascii="Times New Roman" w:eastAsia="Times New Roman" w:hAnsi="Times New Roman" w:cs="Times New Roman"/>
          <w:b/>
          <w:kern w:val="2"/>
          <w:sz w:val="28"/>
          <w:szCs w:val="28"/>
          <w:lang w:eastAsia="en-US"/>
          <w14:ligatures w14:val="standardContextual"/>
        </w:rPr>
        <w:t>План розвитку індустріального парку</w:t>
      </w:r>
      <w:bookmarkEnd w:id="11"/>
    </w:p>
    <w:p w14:paraId="747A4937"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Реалізація проєкту індустріального парку «БУДШЛЯХМАШ» відбуватиметься в три ключові етапи:</w:t>
      </w:r>
    </w:p>
    <w:p w14:paraId="1257AA76"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Підготовчий етап — включає розробку проєктної документації, узгодження з контролюючими органами, отримання необхідних дозволів та підготовку території до будівництва.</w:t>
      </w:r>
    </w:p>
    <w:p w14:paraId="48331E80"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Облаштування та наповнення індустріального парку — передбачає будівництво інфраструктури, підключення комунікацій, створення умов для розміщення підприємств та залучення резидентів.</w:t>
      </w:r>
    </w:p>
    <w:p w14:paraId="6C25DFBA"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Запуск роботи індустріального парку — охоплює введення об’єктів в експлуатацію, початку діяльності підприємств та забезпечення їх повноцінного функціонування.</w:t>
      </w:r>
    </w:p>
    <w:p w14:paraId="0404CA80" w14:textId="77777777" w:rsid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Кожен етап спрямований на ефективне впровадження проєкту та досягнення його стратегічних цілей.</w:t>
      </w:r>
    </w:p>
    <w:p w14:paraId="46D94194" w14:textId="77777777" w:rsidR="00E27A66" w:rsidRPr="006602C1" w:rsidRDefault="00E27A66"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17B5A3A2"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Підготовчий етап</w:t>
      </w:r>
      <w:r w:rsidRPr="006602C1">
        <w:rPr>
          <w:rFonts w:ascii="Times New Roman" w:eastAsia="Calibri" w:hAnsi="Times New Roman" w:cs="Times New Roman"/>
          <w:kern w:val="2"/>
          <w:sz w:val="28"/>
          <w:szCs w:val="28"/>
          <w:lang w:eastAsia="en-US"/>
          <w14:ligatures w14:val="standardContextual"/>
        </w:rPr>
        <w:t xml:space="preserve"> проєкту індустріального парку «БУДШЛЯХМАШ» триватиме близько одного року. Його основне завдання — проведення організаційно-правових заходів та підготовка документації, необхідної для офіційної реєстрації парку.</w:t>
      </w:r>
    </w:p>
    <w:p w14:paraId="2E5341AA"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 цьому етапі планується:</w:t>
      </w:r>
    </w:p>
    <w:p w14:paraId="4B0AD8FE"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розробка та затвердження концепції індустріального парку;</w:t>
      </w:r>
    </w:p>
    <w:p w14:paraId="7A3377FD"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підготовка юридичної документації на земельну ділянку, за необхідністю розроблення детального плану території та оформлення відповідної землевпорядної документації;</w:t>
      </w:r>
    </w:p>
    <w:p w14:paraId="238F1E72"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включення парку до Реєстру індустріальних (промислових) парків Міністерства економіки, довкілля та сільського господарства України;</w:t>
      </w:r>
    </w:p>
    <w:p w14:paraId="448FC6DE"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відбір керуючої компанії, укладення з нею необхідних документів по управлінню парком;</w:t>
      </w:r>
    </w:p>
    <w:p w14:paraId="5ACD091D"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підготовка фінансово-економічного обґрунтування для залучення інвестицій в індустріальний парк.</w:t>
      </w:r>
    </w:p>
    <w:p w14:paraId="06E38EE8" w14:textId="77777777" w:rsidR="00E27A66" w:rsidRPr="006602C1" w:rsidRDefault="00E27A66" w:rsidP="00E27A66">
      <w:pPr>
        <w:tabs>
          <w:tab w:val="num" w:pos="1276"/>
        </w:tabs>
        <w:spacing w:after="0" w:line="240" w:lineRule="auto"/>
        <w:ind w:left="851"/>
        <w:jc w:val="both"/>
        <w:rPr>
          <w:rFonts w:ascii="Times New Roman" w:eastAsia="Calibri" w:hAnsi="Times New Roman" w:cs="Times New Roman"/>
          <w:kern w:val="2"/>
          <w:sz w:val="28"/>
          <w:szCs w:val="28"/>
          <w:lang w:eastAsia="en-US"/>
          <w14:ligatures w14:val="standardContextual"/>
        </w:rPr>
      </w:pPr>
    </w:p>
    <w:p w14:paraId="62EE06F0"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На етапі </w:t>
      </w:r>
      <w:r w:rsidRPr="006602C1">
        <w:rPr>
          <w:rFonts w:ascii="Times New Roman" w:eastAsia="Calibri" w:hAnsi="Times New Roman" w:cs="Times New Roman"/>
          <w:b/>
          <w:bCs/>
          <w:kern w:val="2"/>
          <w:sz w:val="28"/>
          <w:szCs w:val="28"/>
          <w:lang w:eastAsia="en-US"/>
          <w14:ligatures w14:val="standardContextual"/>
        </w:rPr>
        <w:t>облаштування та наповнення індустріального парку</w:t>
      </w:r>
      <w:r w:rsidRPr="006602C1">
        <w:rPr>
          <w:rFonts w:ascii="Times New Roman" w:eastAsia="Calibri" w:hAnsi="Times New Roman" w:cs="Times New Roman"/>
          <w:kern w:val="2"/>
          <w:sz w:val="28"/>
          <w:szCs w:val="28"/>
          <w:lang w:eastAsia="en-US"/>
          <w14:ligatures w14:val="standardContextual"/>
        </w:rPr>
        <w:t xml:space="preserve"> основним завданням стане залучення потенційних учасників та створення інфраструктури для їх господарської діяльності. Цей процес включатиме:</w:t>
      </w:r>
    </w:p>
    <w:p w14:paraId="608D08EA"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роботу з інвесторами та партнерами: проведення переговорів з потенційними учасниками, надання інформації за їхніми запитами, укладення угод про участь у парку;</w:t>
      </w:r>
    </w:p>
    <w:p w14:paraId="1D9BF025"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передачу земельних ділянок: надання учасникам та іншим суб’єктам парку землі в суборенду для будівництва та обслуговування виробничих і допоміжних об’єктів.</w:t>
      </w:r>
    </w:p>
    <w:p w14:paraId="02588DF1"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проєктування та будівництво інфраструктури: підготовка технічної та кошторисної документації, отримання технічних умов і дозволів на будівництво логістичної та інженерно-технічної інфраструктури, а також безпосереднє облаштування території парку;</w:t>
      </w:r>
    </w:p>
    <w:p w14:paraId="1A4A0981"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вибір підрядників та фінансування: конкурсний відбір генерального підрядника та забезпечення фінансування робіт з розбудови інфраструктури;</w:t>
      </w:r>
    </w:p>
    <w:p w14:paraId="255B6120"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сприяння учасникам у будівництві: допомога в оформленні технічної документації та отриманні дозволів на зведення виробничих будівель.</w:t>
      </w:r>
    </w:p>
    <w:p w14:paraId="3DA9C924"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Керуюча компанія та Ініціатор індустріального парку братимуть активну участь у проєктуванні та розвитку парку, пропонуючи учасникам два варіанти співпраці:</w:t>
      </w:r>
    </w:p>
    <w:p w14:paraId="35962C9E"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самостійне інвестування у будівництво власних виробничих потужностей;</w:t>
      </w:r>
    </w:p>
    <w:p w14:paraId="5D3A6843"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оренда або придбання готових приміщень, зведених ініціатором або керуючою компанією.</w:t>
      </w:r>
    </w:p>
    <w:p w14:paraId="24BEBB64" w14:textId="77777777" w:rsid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Метою етапу є створення оптимальних умов для розвитку бізнесу, забезпечення учасників усім необхідним для ефективного функціонування та росту.</w:t>
      </w:r>
    </w:p>
    <w:p w14:paraId="4427B821" w14:textId="77777777" w:rsidR="00E27A66" w:rsidRPr="006602C1" w:rsidRDefault="00E27A66"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2CFAACC"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Етап запуску індустріального парку</w:t>
      </w:r>
      <w:r w:rsidRPr="006602C1">
        <w:rPr>
          <w:rFonts w:ascii="Times New Roman" w:eastAsia="Calibri" w:hAnsi="Times New Roman" w:cs="Times New Roman"/>
          <w:kern w:val="2"/>
          <w:sz w:val="28"/>
          <w:szCs w:val="28"/>
          <w:lang w:eastAsia="en-US"/>
          <w14:ligatures w14:val="standardContextual"/>
        </w:rPr>
        <w:t xml:space="preserve"> передбачає початок повноцінної роботи його учасників у сфері переробної промисловості. На цьому етапі планується:</w:t>
      </w:r>
    </w:p>
    <w:p w14:paraId="33D821A9"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розміщення та введення в експлуатацію виробничих потужностей учасниками парку;</w:t>
      </w:r>
    </w:p>
    <w:p w14:paraId="05902A2A"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супровід та подальший розвиток інфраструктури, а також підтримка бізнес-процесів резидентів.</w:t>
      </w:r>
    </w:p>
    <w:p w14:paraId="06AE319A"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Повноцінний запуск індустріального парку заплановано у 2029 році. До цього часу передбачено:</w:t>
      </w:r>
    </w:p>
    <w:p w14:paraId="63B1981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завершити комплектування парку учасниками відповідно до його функціонального призначення (галузевої спеціалізації) ;</w:t>
      </w:r>
    </w:p>
    <w:p w14:paraId="2F249E92"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залучити необхідне приватне та державне фінансування відповідно до укладених меморандумів з потенційними учасниками й уповноваженим державним органом, що реалізує державну політику щодо створення і функціонування індустріальних парків на території України;</w:t>
      </w:r>
    </w:p>
    <w:p w14:paraId="2AE41651"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виконати всі проєктні роботи;</w:t>
      </w:r>
    </w:p>
    <w:p w14:paraId="0B38DBA6"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звести та ввести в експлуатацію ключові об’єкти інфраструктури.</w:t>
      </w:r>
    </w:p>
    <w:p w14:paraId="1F4F27F4" w14:textId="77777777" w:rsid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Орієнтовний графік реалізації проєкту подано в таблиці 7.</w:t>
      </w:r>
    </w:p>
    <w:p w14:paraId="3ABC7B68" w14:textId="77777777" w:rsidR="00E27A66" w:rsidRPr="006602C1" w:rsidRDefault="00E27A66"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BD70E5C" w14:textId="77777777" w:rsidR="006602C1" w:rsidRPr="006602C1" w:rsidRDefault="00000000" w:rsidP="00E27A66">
      <w:pPr>
        <w:spacing w:after="0" w:line="240" w:lineRule="auto"/>
        <w:jc w:val="center"/>
        <w:rPr>
          <w:rFonts w:ascii="Times New Roman" w:eastAsia="Calibri" w:hAnsi="Times New Roman" w:cs="Times New Roman"/>
          <w:kern w:val="2"/>
          <w:sz w:val="28"/>
          <w:szCs w:val="24"/>
          <w:lang w:eastAsia="en-US"/>
          <w14:ligatures w14:val="standardContextual"/>
        </w:rPr>
      </w:pPr>
      <w:r w:rsidRPr="006602C1">
        <w:rPr>
          <w:rFonts w:ascii="Times New Roman" w:eastAsia="Calibri" w:hAnsi="Times New Roman" w:cs="Times New Roman"/>
          <w:b/>
          <w:bCs/>
          <w:kern w:val="2"/>
          <w:sz w:val="28"/>
          <w:szCs w:val="24"/>
          <w:lang w:eastAsia="en-US"/>
          <w14:ligatures w14:val="standardContextual"/>
        </w:rPr>
        <w:t>Табл. 7</w:t>
      </w:r>
      <w:r w:rsidRPr="006602C1">
        <w:rPr>
          <w:rFonts w:ascii="Times New Roman" w:eastAsia="Calibri" w:hAnsi="Times New Roman" w:cs="Times New Roman"/>
          <w:kern w:val="2"/>
          <w:sz w:val="28"/>
          <w:szCs w:val="24"/>
          <w:lang w:eastAsia="en-US"/>
          <w14:ligatures w14:val="standardContextual"/>
        </w:rPr>
        <w:t>. Попередній графік реалізації проєкту індустріального парку</w:t>
      </w:r>
    </w:p>
    <w:tbl>
      <w:tblPr>
        <w:tblStyle w:val="8"/>
        <w:tblW w:w="0" w:type="auto"/>
        <w:tblLook w:val="04A0" w:firstRow="1" w:lastRow="0" w:firstColumn="1" w:lastColumn="0" w:noHBand="0" w:noVBand="1"/>
      </w:tblPr>
      <w:tblGrid>
        <w:gridCol w:w="3884"/>
        <w:gridCol w:w="2092"/>
        <w:gridCol w:w="2107"/>
        <w:gridCol w:w="1405"/>
      </w:tblGrid>
      <w:tr w:rsidR="00F37DCB" w14:paraId="01AFABB7" w14:textId="77777777" w:rsidTr="006602C1">
        <w:trPr>
          <w:trHeight w:val="537"/>
        </w:trPr>
        <w:tc>
          <w:tcPr>
            <w:tcW w:w="3884"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44EC780" w14:textId="77777777" w:rsidR="006602C1" w:rsidRPr="006602C1" w:rsidRDefault="00000000" w:rsidP="006602C1">
            <w:pPr>
              <w:tabs>
                <w:tab w:val="left" w:pos="851"/>
              </w:tabs>
              <w:spacing w:line="216" w:lineRule="auto"/>
              <w:jc w:val="center"/>
              <w:rPr>
                <w:rFonts w:ascii="Times New Roman" w:hAnsi="Times New Roman"/>
                <w:b/>
                <w:bCs/>
                <w:sz w:val="24"/>
                <w:szCs w:val="24"/>
              </w:rPr>
            </w:pPr>
            <w:r w:rsidRPr="006602C1">
              <w:rPr>
                <w:rFonts w:ascii="Times New Roman" w:hAnsi="Times New Roman"/>
                <w:b/>
                <w:bCs/>
                <w:sz w:val="24"/>
                <w:szCs w:val="24"/>
              </w:rPr>
              <w:t>Етапи проєкту</w:t>
            </w:r>
          </w:p>
        </w:tc>
        <w:tc>
          <w:tcPr>
            <w:tcW w:w="209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D483884" w14:textId="77777777" w:rsidR="006602C1" w:rsidRPr="006602C1" w:rsidRDefault="00000000" w:rsidP="006602C1">
            <w:pPr>
              <w:tabs>
                <w:tab w:val="left" w:pos="851"/>
              </w:tabs>
              <w:spacing w:line="216" w:lineRule="auto"/>
              <w:jc w:val="center"/>
              <w:rPr>
                <w:rFonts w:ascii="Times New Roman" w:hAnsi="Times New Roman"/>
                <w:b/>
                <w:bCs/>
                <w:sz w:val="24"/>
                <w:szCs w:val="24"/>
              </w:rPr>
            </w:pPr>
            <w:r w:rsidRPr="006602C1">
              <w:rPr>
                <w:rFonts w:ascii="Times New Roman" w:hAnsi="Times New Roman"/>
                <w:b/>
                <w:bCs/>
                <w:sz w:val="24"/>
                <w:szCs w:val="24"/>
              </w:rPr>
              <w:t>Початок</w:t>
            </w:r>
          </w:p>
        </w:tc>
        <w:tc>
          <w:tcPr>
            <w:tcW w:w="2107"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6ACF093" w14:textId="77777777" w:rsidR="006602C1" w:rsidRPr="006602C1" w:rsidRDefault="00000000" w:rsidP="006602C1">
            <w:pPr>
              <w:tabs>
                <w:tab w:val="left" w:pos="851"/>
              </w:tabs>
              <w:spacing w:line="216" w:lineRule="auto"/>
              <w:jc w:val="center"/>
              <w:rPr>
                <w:rFonts w:ascii="Times New Roman" w:hAnsi="Times New Roman"/>
                <w:b/>
                <w:bCs/>
                <w:sz w:val="24"/>
                <w:szCs w:val="24"/>
              </w:rPr>
            </w:pPr>
            <w:r w:rsidRPr="006602C1">
              <w:rPr>
                <w:rFonts w:ascii="Times New Roman" w:hAnsi="Times New Roman"/>
                <w:b/>
                <w:bCs/>
                <w:sz w:val="24"/>
                <w:szCs w:val="24"/>
              </w:rPr>
              <w:t>Завершення</w:t>
            </w:r>
          </w:p>
        </w:tc>
        <w:tc>
          <w:tcPr>
            <w:tcW w:w="1405" w:type="dxa"/>
            <w:tcBorders>
              <w:top w:val="single" w:sz="4" w:space="0" w:color="auto"/>
              <w:left w:val="single" w:sz="4" w:space="0" w:color="auto"/>
              <w:bottom w:val="single" w:sz="4" w:space="0" w:color="auto"/>
              <w:right w:val="single" w:sz="4" w:space="0" w:color="auto"/>
            </w:tcBorders>
            <w:shd w:val="clear" w:color="auto" w:fill="809EC2"/>
            <w:hideMark/>
          </w:tcPr>
          <w:p w14:paraId="13962254" w14:textId="77777777" w:rsidR="006602C1" w:rsidRPr="006602C1" w:rsidRDefault="00000000" w:rsidP="006602C1">
            <w:pPr>
              <w:tabs>
                <w:tab w:val="left" w:pos="851"/>
              </w:tabs>
              <w:spacing w:line="216" w:lineRule="auto"/>
              <w:jc w:val="center"/>
              <w:rPr>
                <w:rFonts w:ascii="Times New Roman" w:hAnsi="Times New Roman"/>
                <w:b/>
                <w:bCs/>
                <w:sz w:val="24"/>
                <w:szCs w:val="24"/>
              </w:rPr>
            </w:pPr>
            <w:r w:rsidRPr="006602C1">
              <w:rPr>
                <w:rFonts w:ascii="Times New Roman" w:hAnsi="Times New Roman"/>
                <w:b/>
                <w:bCs/>
                <w:sz w:val="24"/>
                <w:szCs w:val="24"/>
              </w:rPr>
              <w:t>Кількість місяців</w:t>
            </w:r>
          </w:p>
        </w:tc>
      </w:tr>
      <w:tr w:rsidR="00F37DCB" w14:paraId="3D9F3707"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4B5B2BA0" w14:textId="77777777" w:rsidR="006602C1" w:rsidRPr="006602C1" w:rsidRDefault="00000000" w:rsidP="006602C1">
            <w:pPr>
              <w:tabs>
                <w:tab w:val="left" w:pos="851"/>
              </w:tabs>
              <w:spacing w:line="216" w:lineRule="auto"/>
              <w:rPr>
                <w:rFonts w:ascii="Times New Roman" w:hAnsi="Times New Roman"/>
                <w:caps/>
                <w:sz w:val="24"/>
                <w:szCs w:val="24"/>
              </w:rPr>
            </w:pPr>
            <w:r w:rsidRPr="006602C1">
              <w:rPr>
                <w:rFonts w:ascii="Times New Roman" w:hAnsi="Times New Roman"/>
                <w:caps/>
                <w:sz w:val="24"/>
                <w:szCs w:val="24"/>
              </w:rPr>
              <w:t>В цілому</w:t>
            </w:r>
          </w:p>
        </w:tc>
        <w:tc>
          <w:tcPr>
            <w:tcW w:w="2092" w:type="dxa"/>
            <w:tcBorders>
              <w:top w:val="single" w:sz="4" w:space="0" w:color="auto"/>
              <w:left w:val="single" w:sz="4" w:space="0" w:color="auto"/>
              <w:bottom w:val="single" w:sz="4" w:space="0" w:color="auto"/>
              <w:right w:val="single" w:sz="4" w:space="0" w:color="auto"/>
            </w:tcBorders>
            <w:vAlign w:val="center"/>
            <w:hideMark/>
          </w:tcPr>
          <w:p w14:paraId="03A5700C"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2026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7CC83B72"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2029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89D825F"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36</w:t>
            </w:r>
          </w:p>
        </w:tc>
      </w:tr>
      <w:tr w:rsidR="00F37DCB" w14:paraId="4908D9B0"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200ECA15"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Реєстрація ІП</w:t>
            </w:r>
          </w:p>
        </w:tc>
        <w:tc>
          <w:tcPr>
            <w:tcW w:w="2092" w:type="dxa"/>
            <w:tcBorders>
              <w:top w:val="single" w:sz="4" w:space="0" w:color="auto"/>
              <w:left w:val="single" w:sz="4" w:space="0" w:color="auto"/>
              <w:bottom w:val="single" w:sz="4" w:space="0" w:color="auto"/>
              <w:right w:val="single" w:sz="4" w:space="0" w:color="auto"/>
            </w:tcBorders>
            <w:vAlign w:val="center"/>
            <w:hideMark/>
          </w:tcPr>
          <w:p w14:paraId="726B467E"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2026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187C38D3"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2026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09CC39A"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3</w:t>
            </w:r>
          </w:p>
        </w:tc>
      </w:tr>
      <w:tr w:rsidR="00F37DCB" w14:paraId="05DD2C82"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739420C2"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Проєктування мереж та об’єктів</w:t>
            </w:r>
          </w:p>
        </w:tc>
        <w:tc>
          <w:tcPr>
            <w:tcW w:w="2092" w:type="dxa"/>
            <w:tcBorders>
              <w:top w:val="single" w:sz="4" w:space="0" w:color="auto"/>
              <w:left w:val="single" w:sz="4" w:space="0" w:color="auto"/>
              <w:bottom w:val="single" w:sz="4" w:space="0" w:color="auto"/>
              <w:right w:val="single" w:sz="4" w:space="0" w:color="auto"/>
            </w:tcBorders>
            <w:vAlign w:val="center"/>
            <w:hideMark/>
          </w:tcPr>
          <w:p w14:paraId="14B99AEE"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2 кв. 2026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2F795808"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2 кв. 2027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D32EDE4"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12</w:t>
            </w:r>
          </w:p>
        </w:tc>
      </w:tr>
      <w:tr w:rsidR="00F37DCB" w14:paraId="41317F88"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11012131"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Будівництво інженерно-транспортних мереж</w:t>
            </w:r>
          </w:p>
        </w:tc>
        <w:tc>
          <w:tcPr>
            <w:tcW w:w="2092" w:type="dxa"/>
            <w:tcBorders>
              <w:top w:val="single" w:sz="4" w:space="0" w:color="auto"/>
              <w:left w:val="single" w:sz="4" w:space="0" w:color="auto"/>
              <w:bottom w:val="single" w:sz="4" w:space="0" w:color="auto"/>
              <w:right w:val="single" w:sz="4" w:space="0" w:color="auto"/>
            </w:tcBorders>
            <w:vAlign w:val="center"/>
            <w:hideMark/>
          </w:tcPr>
          <w:p w14:paraId="7362FD7C"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2026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37A37017"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2028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40FE784"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18</w:t>
            </w:r>
          </w:p>
        </w:tc>
      </w:tr>
      <w:tr w:rsidR="00F37DCB" w14:paraId="49E61E7F"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22F65050"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 xml:space="preserve">Будівництво об’єктів </w:t>
            </w:r>
          </w:p>
        </w:tc>
        <w:tc>
          <w:tcPr>
            <w:tcW w:w="2092" w:type="dxa"/>
            <w:tcBorders>
              <w:top w:val="single" w:sz="4" w:space="0" w:color="auto"/>
              <w:left w:val="single" w:sz="4" w:space="0" w:color="auto"/>
              <w:bottom w:val="single" w:sz="4" w:space="0" w:color="auto"/>
              <w:right w:val="single" w:sz="4" w:space="0" w:color="auto"/>
            </w:tcBorders>
            <w:vAlign w:val="center"/>
            <w:hideMark/>
          </w:tcPr>
          <w:p w14:paraId="5E73C09D"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2026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19B11FAE"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2028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B19051E"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24</w:t>
            </w:r>
          </w:p>
        </w:tc>
      </w:tr>
      <w:tr w:rsidR="00F37DCB" w14:paraId="3DA23F79"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1C2CDCBC"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Залучення керуючої компанії</w:t>
            </w:r>
          </w:p>
        </w:tc>
        <w:tc>
          <w:tcPr>
            <w:tcW w:w="2092" w:type="dxa"/>
            <w:tcBorders>
              <w:top w:val="single" w:sz="4" w:space="0" w:color="auto"/>
              <w:left w:val="single" w:sz="4" w:space="0" w:color="auto"/>
              <w:bottom w:val="single" w:sz="4" w:space="0" w:color="auto"/>
              <w:right w:val="single" w:sz="4" w:space="0" w:color="auto"/>
            </w:tcBorders>
            <w:vAlign w:val="center"/>
            <w:hideMark/>
          </w:tcPr>
          <w:p w14:paraId="001CCFAC"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2026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6C57B5E0"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2027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BE93BA6"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6</w:t>
            </w:r>
          </w:p>
        </w:tc>
      </w:tr>
      <w:tr w:rsidR="00F37DCB" w14:paraId="2C83F1C0"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1469DBA7"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Залучення учасників, інших суб’єктів та фінансування</w:t>
            </w:r>
          </w:p>
        </w:tc>
        <w:tc>
          <w:tcPr>
            <w:tcW w:w="2092" w:type="dxa"/>
            <w:tcBorders>
              <w:top w:val="single" w:sz="4" w:space="0" w:color="auto"/>
              <w:left w:val="single" w:sz="4" w:space="0" w:color="auto"/>
              <w:bottom w:val="single" w:sz="4" w:space="0" w:color="auto"/>
              <w:right w:val="single" w:sz="4" w:space="0" w:color="auto"/>
            </w:tcBorders>
            <w:vAlign w:val="center"/>
            <w:hideMark/>
          </w:tcPr>
          <w:p w14:paraId="3C1C4F37"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2027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2517B7A4"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2 кв. 2028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9ECCD12"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15</w:t>
            </w:r>
          </w:p>
        </w:tc>
      </w:tr>
      <w:tr w:rsidR="00F37DCB" w14:paraId="37CDB265"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5CDE0DCB"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Завезення, інсталяція та налаштування обладнання</w:t>
            </w:r>
          </w:p>
        </w:tc>
        <w:tc>
          <w:tcPr>
            <w:tcW w:w="2092" w:type="dxa"/>
            <w:tcBorders>
              <w:top w:val="single" w:sz="4" w:space="0" w:color="auto"/>
              <w:left w:val="single" w:sz="4" w:space="0" w:color="auto"/>
              <w:bottom w:val="single" w:sz="4" w:space="0" w:color="auto"/>
              <w:right w:val="single" w:sz="4" w:space="0" w:color="auto"/>
            </w:tcBorders>
            <w:vAlign w:val="center"/>
            <w:hideMark/>
          </w:tcPr>
          <w:p w14:paraId="4DC403AE"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2027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73CE095E"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2028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24A4F36"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18</w:t>
            </w:r>
          </w:p>
        </w:tc>
      </w:tr>
      <w:tr w:rsidR="00F37DCB" w14:paraId="2255BDEC" w14:textId="77777777" w:rsidTr="006602C1">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14:paraId="6941961E" w14:textId="77777777" w:rsidR="006602C1" w:rsidRPr="006602C1" w:rsidRDefault="00000000" w:rsidP="006602C1">
            <w:pPr>
              <w:tabs>
                <w:tab w:val="left" w:pos="851"/>
              </w:tabs>
              <w:spacing w:line="216" w:lineRule="auto"/>
              <w:rPr>
                <w:rFonts w:ascii="Times New Roman" w:hAnsi="Times New Roman"/>
                <w:sz w:val="24"/>
                <w:szCs w:val="24"/>
              </w:rPr>
            </w:pPr>
            <w:r w:rsidRPr="006602C1">
              <w:rPr>
                <w:rFonts w:ascii="Times New Roman" w:hAnsi="Times New Roman"/>
                <w:sz w:val="24"/>
                <w:szCs w:val="24"/>
              </w:rPr>
              <w:t>Завершення і запуск роботи ІП</w:t>
            </w:r>
          </w:p>
        </w:tc>
        <w:tc>
          <w:tcPr>
            <w:tcW w:w="2092" w:type="dxa"/>
            <w:tcBorders>
              <w:top w:val="single" w:sz="4" w:space="0" w:color="auto"/>
              <w:left w:val="single" w:sz="4" w:space="0" w:color="auto"/>
              <w:bottom w:val="single" w:sz="4" w:space="0" w:color="auto"/>
              <w:right w:val="single" w:sz="4" w:space="0" w:color="auto"/>
            </w:tcBorders>
            <w:vAlign w:val="center"/>
            <w:hideMark/>
          </w:tcPr>
          <w:p w14:paraId="1428FD67"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4 кв. 2028 р.</w:t>
            </w:r>
          </w:p>
        </w:tc>
        <w:tc>
          <w:tcPr>
            <w:tcW w:w="2107" w:type="dxa"/>
            <w:tcBorders>
              <w:top w:val="single" w:sz="4" w:space="0" w:color="auto"/>
              <w:left w:val="single" w:sz="4" w:space="0" w:color="auto"/>
              <w:bottom w:val="single" w:sz="4" w:space="0" w:color="auto"/>
              <w:right w:val="single" w:sz="4" w:space="0" w:color="auto"/>
            </w:tcBorders>
            <w:vAlign w:val="center"/>
            <w:hideMark/>
          </w:tcPr>
          <w:p w14:paraId="038E1F9B"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1 кв. 2029 р.</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E5F1FD9" w14:textId="77777777" w:rsidR="006602C1" w:rsidRPr="006602C1" w:rsidRDefault="00000000" w:rsidP="006602C1">
            <w:pPr>
              <w:tabs>
                <w:tab w:val="left" w:pos="851"/>
              </w:tabs>
              <w:spacing w:line="216" w:lineRule="auto"/>
              <w:jc w:val="center"/>
              <w:rPr>
                <w:rFonts w:ascii="Times New Roman" w:hAnsi="Times New Roman"/>
                <w:sz w:val="24"/>
                <w:szCs w:val="24"/>
              </w:rPr>
            </w:pPr>
            <w:r w:rsidRPr="006602C1">
              <w:rPr>
                <w:rFonts w:ascii="Times New Roman" w:hAnsi="Times New Roman"/>
                <w:sz w:val="24"/>
                <w:szCs w:val="24"/>
              </w:rPr>
              <w:t>6</w:t>
            </w:r>
          </w:p>
        </w:tc>
      </w:tr>
    </w:tbl>
    <w:p w14:paraId="4E63C466" w14:textId="77777777" w:rsidR="00E27A66" w:rsidRDefault="00E27A66" w:rsidP="006602C1">
      <w:pPr>
        <w:spacing w:after="0" w:line="240" w:lineRule="auto"/>
        <w:jc w:val="center"/>
        <w:rPr>
          <w:rFonts w:ascii="Times New Roman" w:eastAsia="Calibri" w:hAnsi="Times New Roman" w:cs="Times New Roman"/>
          <w:b/>
          <w:bCs/>
          <w:caps/>
          <w:kern w:val="2"/>
          <w:sz w:val="28"/>
          <w:szCs w:val="28"/>
          <w:lang w:eastAsia="en-US"/>
          <w14:ligatures w14:val="standardContextual"/>
        </w:rPr>
      </w:pPr>
    </w:p>
    <w:p w14:paraId="647269B3" w14:textId="77777777" w:rsidR="006602C1" w:rsidRDefault="00000000" w:rsidP="006602C1">
      <w:pPr>
        <w:spacing w:after="0" w:line="240" w:lineRule="auto"/>
        <w:jc w:val="center"/>
        <w:rPr>
          <w:rFonts w:ascii="Times New Roman" w:eastAsia="Calibri" w:hAnsi="Times New Roman" w:cs="Times New Roman"/>
          <w:b/>
          <w:bCs/>
          <w:caps/>
          <w:kern w:val="2"/>
          <w:sz w:val="28"/>
          <w:szCs w:val="28"/>
          <w:lang w:eastAsia="en-US"/>
          <w14:ligatures w14:val="standardContextual"/>
        </w:rPr>
      </w:pPr>
      <w:r w:rsidRPr="006602C1">
        <w:rPr>
          <w:rFonts w:ascii="Times New Roman" w:eastAsia="Calibri" w:hAnsi="Times New Roman" w:cs="Times New Roman"/>
          <w:b/>
          <w:bCs/>
          <w:caps/>
          <w:kern w:val="2"/>
          <w:sz w:val="28"/>
          <w:szCs w:val="28"/>
          <w:lang w:eastAsia="en-US"/>
          <w14:ligatures w14:val="standardContextual"/>
        </w:rPr>
        <w:t>Попередній майстер-план</w:t>
      </w:r>
    </w:p>
    <w:p w14:paraId="144DE068" w14:textId="77777777" w:rsidR="00E27A66" w:rsidRPr="006602C1" w:rsidRDefault="00E27A66" w:rsidP="006602C1">
      <w:pPr>
        <w:spacing w:after="0" w:line="240" w:lineRule="auto"/>
        <w:jc w:val="center"/>
        <w:rPr>
          <w:rFonts w:ascii="Times New Roman" w:eastAsia="Calibri" w:hAnsi="Times New Roman" w:cs="Times New Roman"/>
          <w:b/>
          <w:bCs/>
          <w:caps/>
          <w:kern w:val="2"/>
          <w:sz w:val="28"/>
          <w:szCs w:val="28"/>
          <w:lang w:eastAsia="en-US"/>
          <w14:ligatures w14:val="standardContextual"/>
        </w:rPr>
      </w:pPr>
    </w:p>
    <w:p w14:paraId="0AA6AA3C"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При розробці попереднього майстер-плану індустріального парку ініціатором були враховані ключові чинники, що визначатимуть його ефективність та стійкий розвиток:</w:t>
      </w:r>
    </w:p>
    <w:p w14:paraId="36DD78F8"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Стратегічне бачення — сформульовано довгострокову концепцію з орієнтацією на кластеризацію машинобудування та підвищення міжнародної конкурентоспроможності.</w:t>
      </w:r>
    </w:p>
    <w:p w14:paraId="69768C45"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Потреби потенційних учасників — планування здійснювалося з урахуванням специфіки їхньої діяльності та функціонального призначення парку.</w:t>
      </w:r>
    </w:p>
    <w:p w14:paraId="03F02C8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Екологічна та соціальна складова — акцент зроблено на комплексному екологічному менеджменті, розвитку комунальної інфраструктури та створенні інклюзивного соціального середовища.</w:t>
      </w:r>
    </w:p>
    <w:p w14:paraId="2FE8FB61"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Гнучкість забудови — передбачено можливість використання ділянок для різноманітних цілей, що дозволить адаптуватися до змінних вимог ринку.</w:t>
      </w:r>
    </w:p>
    <w:p w14:paraId="180084E5"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Транспортна доступність — забезпечено фізичне сполучення з сусідніми громадами та територіями для зручності логістики та взаємодії.</w:t>
      </w:r>
    </w:p>
    <w:p w14:paraId="66F6F1B2"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Енергоефективність та екологічність — впроваджено рішення, спрямовані на енергозбереження, використання чистих і низьковуглецевих технологій.</w:t>
      </w:r>
    </w:p>
    <w:p w14:paraId="2AA335D2"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Цей підхід гарантує збалансований розвиток парку з урахуванням економічних, екологічних та соціальних аспектів.</w:t>
      </w:r>
    </w:p>
    <w:p w14:paraId="5254924E"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Метою розробки майстер-плану є визначення планувальної структури території парку для розташування в ньому машинобудівного виробництва.</w:t>
      </w:r>
    </w:p>
    <w:p w14:paraId="117D8C16"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 території індустріального парку планується розташувати цілий ряд будівель та споруд виробничого, складського, інженерно-технічного та транспортно-логістичного призначення. Поруч з входом на територію індустріального парку запроєктовано адміністративно-побутовий корпус у три поверхи, який стане центром управління та обслуговування персоналу. Також передбачено автомобільні стоянки/ангари для легкового і вантажного транспорту, зелені зони відпочинку для працівників, що забезпечують комфортні умови праці.</w:t>
      </w:r>
    </w:p>
    <w:p w14:paraId="1873E1FD"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Всі об’єкти парку — адміністративні, виробничі та відпочинкові зони — пов’язані зручною системою доріг, яка інтегрується з зовнішньою вуличною мережею. Це гарантує легкий доступ та ефективну логістику як всередині парку, так і за його межами.</w:t>
      </w:r>
    </w:p>
    <w:p w14:paraId="30B17104" w14:textId="77777777" w:rsid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Для забезпечення безперебійної роботи індустріального парку передбачено комплекс інженерно-технічних та допоміжних споруд. Серед них — лабораторія, вагові комплекси, трансформаторна підстанція, газорозподільний пункт, котельня, пожежний резервуар, резервуар для питної води й очисні споруди. Проєктом ретельно пророблено систему проїздів, трасування яких враховує існуючі умови та дотримується чинних нормативних вимог. Це дозволяє оптимізувати транспортні потоки та забезпечити безпеку на території.</w:t>
      </w:r>
    </w:p>
    <w:p w14:paraId="22497295" w14:textId="77777777" w:rsidR="00E27A66" w:rsidRPr="006602C1" w:rsidRDefault="00E27A66"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76BD8695" w14:textId="77777777" w:rsid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 території індустріального парку спроєктовані наступні зони:</w:t>
      </w:r>
    </w:p>
    <w:p w14:paraId="5FE0F4C5" w14:textId="77777777" w:rsidR="00E27A66" w:rsidRPr="006602C1" w:rsidRDefault="00E27A66"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541B001C"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зона розміщення промислово-складських будівель відповідно до спеціалізації парку;</w:t>
      </w:r>
    </w:p>
    <w:p w14:paraId="2AE00425" w14:textId="77777777" w:rsidR="00E27A66" w:rsidRPr="006602C1" w:rsidRDefault="00E27A66" w:rsidP="00E27A66">
      <w:pPr>
        <w:tabs>
          <w:tab w:val="num" w:pos="1276"/>
        </w:tabs>
        <w:spacing w:after="0" w:line="240" w:lineRule="auto"/>
        <w:ind w:left="851"/>
        <w:jc w:val="both"/>
        <w:rPr>
          <w:rFonts w:ascii="Times New Roman" w:eastAsia="Calibri" w:hAnsi="Times New Roman" w:cs="Times New Roman"/>
          <w:kern w:val="2"/>
          <w:sz w:val="28"/>
          <w:szCs w:val="28"/>
          <w:lang w:eastAsia="en-US"/>
          <w14:ligatures w14:val="standardContextual"/>
        </w:rPr>
      </w:pPr>
    </w:p>
    <w:p w14:paraId="6F0BCE57"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офісно-побутові будівлі та споруди, об’єкти соціальної інфраструктури, в тому числі адміністративні приміщення, їдальня, лабораторія, науково-дослідні центри;</w:t>
      </w:r>
    </w:p>
    <w:p w14:paraId="32F7C3B6" w14:textId="77777777" w:rsidR="00E27A66" w:rsidRPr="006602C1" w:rsidRDefault="00E27A66" w:rsidP="00E27A66">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14:paraId="661BEA5E" w14:textId="77777777" w:rsidR="00E27A66" w:rsidRDefault="00000000" w:rsidP="00E27A66">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ділянки інженерно-технічного забезпечення, в тому числі водоочисні установки, точки збору твердих відходів, трансформаторна підстанція, </w:t>
      </w:r>
      <w:r w:rsidRPr="006602C1">
        <w:rPr>
          <w:rFonts w:ascii="Times New Roman" w:eastAsia="Calibri" w:hAnsi="Times New Roman" w:cs="Times New Roman"/>
          <w:kern w:val="2"/>
          <w:sz w:val="28"/>
          <w:szCs w:val="28"/>
          <w:lang w:eastAsia="en-US"/>
          <w14:ligatures w14:val="standardContextual"/>
        </w:rPr>
        <w:lastRenderedPageBreak/>
        <w:t>газорозподільний пункт, склад паливно-мастильних матеріалів, резервуари і насосну станцію пожежогасіння;</w:t>
      </w:r>
    </w:p>
    <w:p w14:paraId="57FAFC67" w14:textId="77777777" w:rsidR="00E27A66" w:rsidRPr="00E27A66" w:rsidRDefault="00E27A66" w:rsidP="00E27A66">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14:paraId="52B1D69B"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зона навантажувально-вивантажувальних робіт;</w:t>
      </w:r>
    </w:p>
    <w:p w14:paraId="0B82D453" w14:textId="77777777" w:rsidR="00E27A66" w:rsidRPr="006602C1" w:rsidRDefault="00E27A66" w:rsidP="00E27A66">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14:paraId="351829BA"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ангар для зберігання автотранспорту;</w:t>
      </w:r>
    </w:p>
    <w:p w14:paraId="7B059989" w14:textId="77777777" w:rsidR="00E27A66" w:rsidRPr="006602C1" w:rsidRDefault="00E27A66" w:rsidP="00E27A66">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14:paraId="20E01C3A"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виставкова зона для презентації продукції;</w:t>
      </w:r>
    </w:p>
    <w:p w14:paraId="50A78F7F" w14:textId="77777777" w:rsidR="00E27A66" w:rsidRPr="006602C1" w:rsidRDefault="00E27A66" w:rsidP="00E27A66">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14:paraId="4738DE57" w14:textId="77777777" w:rsid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зони зелених насаджень;</w:t>
      </w:r>
    </w:p>
    <w:p w14:paraId="6BB69C53" w14:textId="77777777" w:rsidR="00E27A66" w:rsidRPr="006602C1" w:rsidRDefault="00E27A66" w:rsidP="00E27A66">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14:paraId="57980B7F"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бомбосховища</w:t>
      </w:r>
    </w:p>
    <w:p w14:paraId="7EFDDDFA" w14:textId="77777777" w:rsidR="006602C1" w:rsidRPr="006602C1" w:rsidRDefault="006602C1" w:rsidP="006602C1">
      <w:pPr>
        <w:tabs>
          <w:tab w:val="left" w:pos="851"/>
        </w:tabs>
        <w:spacing w:after="0" w:line="240" w:lineRule="auto"/>
        <w:ind w:firstLine="567"/>
        <w:jc w:val="both"/>
        <w:rPr>
          <w:rFonts w:ascii="Times New Roman" w:eastAsia="Calibri" w:hAnsi="Times New Roman" w:cs="Times New Roman"/>
          <w:kern w:val="2"/>
          <w:sz w:val="28"/>
          <w:szCs w:val="28"/>
          <w:lang w:val="en-US" w:eastAsia="en-US"/>
          <w14:ligatures w14:val="standardContextual"/>
        </w:rPr>
      </w:pPr>
    </w:p>
    <w:p w14:paraId="6C39ADAA" w14:textId="77777777" w:rsidR="006602C1" w:rsidRDefault="00000000" w:rsidP="00E27A66">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Функціональний розподіл ділянки індустріального парку «БУДШЛЯХМАШ» узагальнено в таблиці 8.</w:t>
      </w:r>
    </w:p>
    <w:p w14:paraId="7BC837AF" w14:textId="77777777" w:rsidR="00E27A66" w:rsidRPr="006602C1" w:rsidRDefault="00E27A66" w:rsidP="00E27A66">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4B0D2830" w14:textId="77777777" w:rsidR="006602C1" w:rsidRDefault="00000000" w:rsidP="006602C1">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Табл. 8.</w:t>
      </w:r>
      <w:r w:rsidRPr="006602C1">
        <w:rPr>
          <w:rFonts w:ascii="Times New Roman" w:eastAsia="Calibri" w:hAnsi="Times New Roman" w:cs="Times New Roman"/>
          <w:kern w:val="2"/>
          <w:sz w:val="28"/>
          <w:szCs w:val="28"/>
          <w:lang w:eastAsia="en-US"/>
          <w14:ligatures w14:val="standardContextual"/>
        </w:rPr>
        <w:t xml:space="preserve"> Функціональний розподіл земельної ділянки індустріального парку «БУДШЛЯХМАШ»</w:t>
      </w:r>
    </w:p>
    <w:p w14:paraId="52CB9DC4" w14:textId="77777777" w:rsidR="00E27A66" w:rsidRPr="006602C1" w:rsidRDefault="00E27A66" w:rsidP="006602C1">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p>
    <w:tbl>
      <w:tblPr>
        <w:tblStyle w:val="9"/>
        <w:tblW w:w="0" w:type="auto"/>
        <w:jc w:val="center"/>
        <w:tblLook w:val="04A0" w:firstRow="1" w:lastRow="0" w:firstColumn="1" w:lastColumn="0" w:noHBand="0" w:noVBand="1"/>
      </w:tblPr>
      <w:tblGrid>
        <w:gridCol w:w="5382"/>
        <w:gridCol w:w="1417"/>
        <w:gridCol w:w="1418"/>
        <w:gridCol w:w="992"/>
      </w:tblGrid>
      <w:tr w:rsidR="00F37DCB" w14:paraId="3D2A08A3"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shd w:val="clear" w:color="auto" w:fill="809EC2"/>
            <w:hideMark/>
          </w:tcPr>
          <w:p w14:paraId="68704A5B"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Функціональне призначення</w:t>
            </w:r>
          </w:p>
        </w:tc>
        <w:tc>
          <w:tcPr>
            <w:tcW w:w="1417" w:type="dxa"/>
            <w:tcBorders>
              <w:top w:val="single" w:sz="4" w:space="0" w:color="auto"/>
              <w:left w:val="single" w:sz="4" w:space="0" w:color="auto"/>
              <w:bottom w:val="single" w:sz="4" w:space="0" w:color="auto"/>
              <w:right w:val="single" w:sz="4" w:space="0" w:color="auto"/>
            </w:tcBorders>
            <w:shd w:val="clear" w:color="auto" w:fill="809EC2"/>
            <w:hideMark/>
          </w:tcPr>
          <w:p w14:paraId="36E18350" w14:textId="77777777" w:rsidR="006602C1" w:rsidRPr="006602C1" w:rsidRDefault="00000000" w:rsidP="006602C1">
            <w:pPr>
              <w:tabs>
                <w:tab w:val="left" w:pos="851"/>
              </w:tabs>
              <w:jc w:val="center"/>
              <w:rPr>
                <w:rFonts w:ascii="Times New Roman" w:hAnsi="Times New Roman"/>
                <w:b/>
                <w:bCs/>
                <w:sz w:val="24"/>
                <w:szCs w:val="28"/>
                <w:vertAlign w:val="superscript"/>
              </w:rPr>
            </w:pPr>
            <w:r w:rsidRPr="006602C1">
              <w:rPr>
                <w:rFonts w:ascii="Times New Roman" w:hAnsi="Times New Roman"/>
                <w:b/>
                <w:bCs/>
                <w:sz w:val="24"/>
                <w:szCs w:val="28"/>
              </w:rPr>
              <w:t>м</w:t>
            </w:r>
            <w:r w:rsidRPr="006602C1">
              <w:rPr>
                <w:rFonts w:ascii="Times New Roman" w:hAnsi="Times New Roman"/>
                <w:b/>
                <w:bCs/>
                <w:sz w:val="24"/>
                <w:szCs w:val="28"/>
                <w:vertAlign w:val="superscript"/>
              </w:rPr>
              <w:t>2</w:t>
            </w:r>
          </w:p>
        </w:tc>
        <w:tc>
          <w:tcPr>
            <w:tcW w:w="1418" w:type="dxa"/>
            <w:tcBorders>
              <w:top w:val="single" w:sz="4" w:space="0" w:color="auto"/>
              <w:left w:val="single" w:sz="4" w:space="0" w:color="auto"/>
              <w:bottom w:val="single" w:sz="4" w:space="0" w:color="auto"/>
              <w:right w:val="single" w:sz="4" w:space="0" w:color="auto"/>
            </w:tcBorders>
            <w:shd w:val="clear" w:color="auto" w:fill="809EC2"/>
            <w:hideMark/>
          </w:tcPr>
          <w:p w14:paraId="04777061"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га</w:t>
            </w:r>
          </w:p>
        </w:tc>
        <w:tc>
          <w:tcPr>
            <w:tcW w:w="992" w:type="dxa"/>
            <w:tcBorders>
              <w:top w:val="single" w:sz="4" w:space="0" w:color="auto"/>
              <w:left w:val="single" w:sz="4" w:space="0" w:color="auto"/>
              <w:bottom w:val="single" w:sz="4" w:space="0" w:color="auto"/>
              <w:right w:val="single" w:sz="4" w:space="0" w:color="auto"/>
            </w:tcBorders>
            <w:shd w:val="clear" w:color="auto" w:fill="809EC2"/>
            <w:hideMark/>
          </w:tcPr>
          <w:p w14:paraId="751EE452"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w:t>
            </w:r>
          </w:p>
        </w:tc>
      </w:tr>
      <w:tr w:rsidR="00F37DCB" w14:paraId="3F6D738E"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109A2FF5" w14:textId="77777777" w:rsidR="006602C1" w:rsidRPr="006602C1" w:rsidRDefault="00000000" w:rsidP="006602C1">
            <w:pPr>
              <w:tabs>
                <w:tab w:val="left" w:pos="851"/>
              </w:tabs>
              <w:jc w:val="both"/>
              <w:rPr>
                <w:rFonts w:ascii="Times New Roman" w:hAnsi="Times New Roman"/>
                <w:b/>
                <w:bCs/>
                <w:sz w:val="24"/>
                <w:szCs w:val="28"/>
              </w:rPr>
            </w:pPr>
            <w:r w:rsidRPr="006602C1">
              <w:rPr>
                <w:rFonts w:ascii="Times New Roman" w:hAnsi="Times New Roman"/>
                <w:b/>
                <w:bCs/>
                <w:sz w:val="24"/>
                <w:szCs w:val="28"/>
              </w:rPr>
              <w:t>Загальна площа ділянки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2E7C36" w14:textId="77777777" w:rsidR="006602C1" w:rsidRPr="006602C1" w:rsidRDefault="00000000" w:rsidP="006602C1">
            <w:pPr>
              <w:tabs>
                <w:tab w:val="left" w:pos="851"/>
              </w:tabs>
              <w:jc w:val="right"/>
              <w:rPr>
                <w:rFonts w:ascii="Times New Roman" w:hAnsi="Times New Roman"/>
                <w:b/>
                <w:bCs/>
                <w:sz w:val="24"/>
                <w:szCs w:val="28"/>
              </w:rPr>
            </w:pPr>
            <w:r w:rsidRPr="006602C1">
              <w:rPr>
                <w:rFonts w:ascii="Times New Roman" w:hAnsi="Times New Roman"/>
                <w:b/>
                <w:bCs/>
                <w:sz w:val="24"/>
                <w:szCs w:val="28"/>
              </w:rPr>
              <w:t>114 173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5FCB8E" w14:textId="77777777" w:rsidR="006602C1" w:rsidRPr="006602C1" w:rsidRDefault="00000000" w:rsidP="006602C1">
            <w:pPr>
              <w:tabs>
                <w:tab w:val="left" w:pos="851"/>
              </w:tabs>
              <w:jc w:val="right"/>
              <w:rPr>
                <w:rFonts w:ascii="Times New Roman" w:hAnsi="Times New Roman"/>
                <w:b/>
                <w:bCs/>
                <w:sz w:val="24"/>
                <w:szCs w:val="28"/>
              </w:rPr>
            </w:pPr>
            <w:r w:rsidRPr="006602C1">
              <w:rPr>
                <w:rFonts w:ascii="Times New Roman" w:hAnsi="Times New Roman"/>
                <w:b/>
                <w:bCs/>
                <w:sz w:val="24"/>
                <w:szCs w:val="28"/>
              </w:rPr>
              <w:t>11,4173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10D94F" w14:textId="77777777" w:rsidR="006602C1" w:rsidRPr="006602C1" w:rsidRDefault="00000000" w:rsidP="006602C1">
            <w:pPr>
              <w:tabs>
                <w:tab w:val="left" w:pos="851"/>
              </w:tabs>
              <w:jc w:val="right"/>
              <w:rPr>
                <w:rFonts w:ascii="Times New Roman" w:hAnsi="Times New Roman"/>
                <w:b/>
                <w:bCs/>
                <w:sz w:val="24"/>
                <w:szCs w:val="28"/>
              </w:rPr>
            </w:pPr>
            <w:r w:rsidRPr="006602C1">
              <w:rPr>
                <w:rFonts w:ascii="Times New Roman" w:hAnsi="Times New Roman"/>
                <w:b/>
                <w:bCs/>
                <w:sz w:val="24"/>
                <w:szCs w:val="28"/>
              </w:rPr>
              <w:t>100,00</w:t>
            </w:r>
          </w:p>
        </w:tc>
      </w:tr>
      <w:tr w:rsidR="00F37DCB" w14:paraId="71BF3437"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64F6EFD7"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Промислові об’єкти</w:t>
            </w:r>
          </w:p>
        </w:tc>
        <w:tc>
          <w:tcPr>
            <w:tcW w:w="1417" w:type="dxa"/>
            <w:tcBorders>
              <w:top w:val="single" w:sz="4" w:space="0" w:color="auto"/>
              <w:left w:val="single" w:sz="4" w:space="0" w:color="auto"/>
              <w:bottom w:val="single" w:sz="4" w:space="0" w:color="auto"/>
              <w:right w:val="single" w:sz="4" w:space="0" w:color="auto"/>
            </w:tcBorders>
            <w:hideMark/>
          </w:tcPr>
          <w:p w14:paraId="705C0277" w14:textId="77777777" w:rsidR="006602C1" w:rsidRPr="006602C1" w:rsidRDefault="00000000" w:rsidP="006602C1">
            <w:pPr>
              <w:jc w:val="right"/>
              <w:rPr>
                <w:rFonts w:ascii="Times New Roman" w:hAnsi="Times New Roman"/>
                <w:sz w:val="24"/>
                <w:szCs w:val="28"/>
                <w:lang w:val="en-CA"/>
              </w:rPr>
            </w:pPr>
            <w:r w:rsidRPr="006602C1">
              <w:rPr>
                <w:rFonts w:ascii="Times New Roman" w:hAnsi="Times New Roman"/>
                <w:sz w:val="24"/>
                <w:szCs w:val="28"/>
              </w:rPr>
              <w:t>20 000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D776A2" w14:textId="77777777" w:rsidR="006602C1" w:rsidRPr="006602C1" w:rsidRDefault="00000000" w:rsidP="006602C1">
            <w:pPr>
              <w:jc w:val="right"/>
              <w:rPr>
                <w:rFonts w:ascii="Times New Roman" w:hAnsi="Times New Roman"/>
                <w:sz w:val="24"/>
                <w:szCs w:val="28"/>
                <w:lang w:val="en-CA"/>
              </w:rPr>
            </w:pPr>
            <w:r w:rsidRPr="006602C1">
              <w:rPr>
                <w:rFonts w:ascii="Times New Roman" w:hAnsi="Times New Roman"/>
                <w:sz w:val="24"/>
                <w:szCs w:val="28"/>
              </w:rPr>
              <w:t>2,0000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EEF1CE"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17,5</w:t>
            </w:r>
          </w:p>
        </w:tc>
      </w:tr>
      <w:tr w:rsidR="00F37DCB" w14:paraId="0969ED2C"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4F430DA7"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 xml:space="preserve">Складські об’єкти </w:t>
            </w:r>
          </w:p>
        </w:tc>
        <w:tc>
          <w:tcPr>
            <w:tcW w:w="1417" w:type="dxa"/>
            <w:tcBorders>
              <w:top w:val="single" w:sz="4" w:space="0" w:color="auto"/>
              <w:left w:val="single" w:sz="4" w:space="0" w:color="auto"/>
              <w:bottom w:val="single" w:sz="4" w:space="0" w:color="auto"/>
              <w:right w:val="single" w:sz="4" w:space="0" w:color="auto"/>
            </w:tcBorders>
            <w:hideMark/>
          </w:tcPr>
          <w:p w14:paraId="5A6F9A41"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20 000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7DA09C"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2,0000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8730DA"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17,5</w:t>
            </w:r>
          </w:p>
        </w:tc>
      </w:tr>
      <w:tr w:rsidR="00F37DCB" w14:paraId="0792F92A"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3FBC5985"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Адміністративно-побутові приміщення</w:t>
            </w:r>
          </w:p>
        </w:tc>
        <w:tc>
          <w:tcPr>
            <w:tcW w:w="1417" w:type="dxa"/>
            <w:tcBorders>
              <w:top w:val="single" w:sz="4" w:space="0" w:color="auto"/>
              <w:left w:val="single" w:sz="4" w:space="0" w:color="auto"/>
              <w:bottom w:val="single" w:sz="4" w:space="0" w:color="auto"/>
              <w:right w:val="single" w:sz="4" w:space="0" w:color="auto"/>
            </w:tcBorders>
            <w:hideMark/>
          </w:tcPr>
          <w:p w14:paraId="37C3276C"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1 000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CC277C"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0,1000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13A44D"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0,9</w:t>
            </w:r>
          </w:p>
        </w:tc>
      </w:tr>
      <w:tr w:rsidR="00F37DCB" w14:paraId="24FE94A0"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2C6D75E8"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Технічні об’єкти</w:t>
            </w:r>
          </w:p>
        </w:tc>
        <w:tc>
          <w:tcPr>
            <w:tcW w:w="1417" w:type="dxa"/>
            <w:tcBorders>
              <w:top w:val="single" w:sz="4" w:space="0" w:color="auto"/>
              <w:left w:val="single" w:sz="4" w:space="0" w:color="auto"/>
              <w:bottom w:val="single" w:sz="4" w:space="0" w:color="auto"/>
              <w:right w:val="single" w:sz="4" w:space="0" w:color="auto"/>
            </w:tcBorders>
            <w:hideMark/>
          </w:tcPr>
          <w:p w14:paraId="7E512137"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1 000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743651"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0,1000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54744D"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0,9</w:t>
            </w:r>
          </w:p>
        </w:tc>
      </w:tr>
      <w:tr w:rsidR="00F37DCB" w14:paraId="046B2193"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5598921E"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Озеленення і благоустрій</w:t>
            </w:r>
          </w:p>
        </w:tc>
        <w:tc>
          <w:tcPr>
            <w:tcW w:w="1417" w:type="dxa"/>
            <w:tcBorders>
              <w:top w:val="single" w:sz="4" w:space="0" w:color="auto"/>
              <w:left w:val="single" w:sz="4" w:space="0" w:color="auto"/>
              <w:bottom w:val="single" w:sz="4" w:space="0" w:color="auto"/>
              <w:right w:val="single" w:sz="4" w:space="0" w:color="auto"/>
            </w:tcBorders>
            <w:hideMark/>
          </w:tcPr>
          <w:p w14:paraId="592A7A7D"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29 773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A9F556"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2,9773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35BB9D"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26,1</w:t>
            </w:r>
          </w:p>
        </w:tc>
      </w:tr>
      <w:tr w:rsidR="00F37DCB" w14:paraId="26BFE333" w14:textId="77777777" w:rsidTr="006602C1">
        <w:trPr>
          <w:jc w:val="center"/>
        </w:trPr>
        <w:tc>
          <w:tcPr>
            <w:tcW w:w="5382" w:type="dxa"/>
            <w:tcBorders>
              <w:top w:val="single" w:sz="4" w:space="0" w:color="auto"/>
              <w:left w:val="single" w:sz="4" w:space="0" w:color="auto"/>
              <w:bottom w:val="single" w:sz="4" w:space="0" w:color="auto"/>
              <w:right w:val="single" w:sz="4" w:space="0" w:color="auto"/>
            </w:tcBorders>
            <w:hideMark/>
          </w:tcPr>
          <w:p w14:paraId="1CF3A5F9"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Дороги й автостоянки (з твердим покриттям)</w:t>
            </w:r>
          </w:p>
        </w:tc>
        <w:tc>
          <w:tcPr>
            <w:tcW w:w="1417" w:type="dxa"/>
            <w:tcBorders>
              <w:top w:val="single" w:sz="4" w:space="0" w:color="auto"/>
              <w:left w:val="single" w:sz="4" w:space="0" w:color="auto"/>
              <w:bottom w:val="single" w:sz="4" w:space="0" w:color="auto"/>
              <w:right w:val="single" w:sz="4" w:space="0" w:color="auto"/>
            </w:tcBorders>
            <w:hideMark/>
          </w:tcPr>
          <w:p w14:paraId="4A330352"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42 400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132DAB"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4,2400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CBBA88" w14:textId="77777777" w:rsidR="006602C1" w:rsidRPr="006602C1" w:rsidRDefault="00000000" w:rsidP="006602C1">
            <w:pPr>
              <w:jc w:val="right"/>
              <w:rPr>
                <w:rFonts w:ascii="Times New Roman" w:hAnsi="Times New Roman"/>
                <w:sz w:val="24"/>
                <w:szCs w:val="28"/>
              </w:rPr>
            </w:pPr>
            <w:r w:rsidRPr="006602C1">
              <w:rPr>
                <w:rFonts w:ascii="Times New Roman" w:hAnsi="Times New Roman"/>
                <w:sz w:val="24"/>
                <w:szCs w:val="28"/>
              </w:rPr>
              <w:t>37,1</w:t>
            </w:r>
          </w:p>
        </w:tc>
      </w:tr>
    </w:tbl>
    <w:p w14:paraId="2A7BF5AB" w14:textId="77777777" w:rsidR="006602C1" w:rsidRDefault="006602C1" w:rsidP="006602C1">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708C684D" w14:textId="77777777" w:rsidR="006602C1" w:rsidRPr="006602C1" w:rsidRDefault="00000000" w:rsidP="006602C1">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Згідно з попередньо розробленим майстер-планом, на території індустріального парку планується побудувати:</w:t>
      </w:r>
    </w:p>
    <w:p w14:paraId="558A413D"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блок адміністративно-побутових приміщень загальною площею 1 тис. м</w:t>
      </w:r>
      <w:r w:rsidRPr="006602C1">
        <w:rPr>
          <w:rFonts w:ascii="Times New Roman" w:eastAsia="Calibri" w:hAnsi="Times New Roman" w:cs="Times New Roman"/>
          <w:kern w:val="2"/>
          <w:sz w:val="28"/>
          <w:szCs w:val="28"/>
          <w:vertAlign w:val="superscript"/>
          <w:lang w:eastAsia="en-US"/>
          <w14:ligatures w14:val="standardContextual"/>
        </w:rPr>
        <w:t>2</w:t>
      </w:r>
      <w:r w:rsidRPr="006602C1">
        <w:rPr>
          <w:rFonts w:ascii="Times New Roman" w:eastAsia="Calibri" w:hAnsi="Times New Roman" w:cs="Times New Roman"/>
          <w:kern w:val="2"/>
          <w:sz w:val="28"/>
          <w:szCs w:val="28"/>
          <w:lang w:eastAsia="en-US"/>
          <w14:ligatures w14:val="standardContextual"/>
        </w:rPr>
        <w:t>;</w:t>
      </w:r>
    </w:p>
    <w:p w14:paraId="33F5B753"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об’єкти виробничого призначення загальною площею 20,0 тис. м</w:t>
      </w:r>
      <w:r w:rsidRPr="006602C1">
        <w:rPr>
          <w:rFonts w:ascii="Times New Roman" w:eastAsia="Calibri" w:hAnsi="Times New Roman" w:cs="Times New Roman"/>
          <w:kern w:val="2"/>
          <w:sz w:val="28"/>
          <w:szCs w:val="28"/>
          <w:vertAlign w:val="superscript"/>
          <w:lang w:eastAsia="en-US"/>
          <w14:ligatures w14:val="standardContextual"/>
        </w:rPr>
        <w:t>2</w:t>
      </w:r>
      <w:r w:rsidRPr="006602C1">
        <w:rPr>
          <w:rFonts w:ascii="Times New Roman" w:eastAsia="Calibri" w:hAnsi="Times New Roman" w:cs="Times New Roman"/>
          <w:kern w:val="2"/>
          <w:sz w:val="28"/>
          <w:szCs w:val="28"/>
          <w:lang w:eastAsia="en-US"/>
          <w14:ligatures w14:val="standardContextual"/>
        </w:rPr>
        <w:t>;</w:t>
      </w:r>
    </w:p>
    <w:p w14:paraId="7486AFC9"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технічні об’єкти (трансформаторна підстанція, газорозподільний пункт, резервуари та насосна станція пожежогасіння, ін.) загальною площею у 1,0 тис. м</w:t>
      </w:r>
      <w:r w:rsidRPr="006602C1">
        <w:rPr>
          <w:rFonts w:ascii="Times New Roman" w:eastAsia="Calibri" w:hAnsi="Times New Roman" w:cs="Times New Roman"/>
          <w:kern w:val="2"/>
          <w:sz w:val="28"/>
          <w:szCs w:val="28"/>
          <w:vertAlign w:val="superscript"/>
          <w:lang w:eastAsia="en-US"/>
          <w14:ligatures w14:val="standardContextual"/>
        </w:rPr>
        <w:t>2</w:t>
      </w:r>
      <w:r w:rsidRPr="006602C1">
        <w:rPr>
          <w:rFonts w:ascii="Times New Roman" w:eastAsia="Calibri" w:hAnsi="Times New Roman" w:cs="Times New Roman"/>
          <w:kern w:val="2"/>
          <w:sz w:val="28"/>
          <w:szCs w:val="28"/>
          <w:lang w:eastAsia="en-US"/>
          <w14:ligatures w14:val="standardContextual"/>
        </w:rPr>
        <w:t>;</w:t>
      </w:r>
    </w:p>
    <w:p w14:paraId="6E129A8B"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складські комплекси (склад паливно-мастильних матеріалів та відкриті майданчики для готової продукції) загальною площею 20,0 тис. м</w:t>
      </w:r>
      <w:r w:rsidRPr="006602C1">
        <w:rPr>
          <w:rFonts w:ascii="Times New Roman" w:eastAsia="Calibri" w:hAnsi="Times New Roman" w:cs="Times New Roman"/>
          <w:kern w:val="2"/>
          <w:sz w:val="28"/>
          <w:szCs w:val="28"/>
          <w:vertAlign w:val="superscript"/>
          <w:lang w:eastAsia="en-US"/>
          <w14:ligatures w14:val="standardContextual"/>
        </w:rPr>
        <w:t>2</w:t>
      </w:r>
      <w:r w:rsidRPr="006602C1">
        <w:rPr>
          <w:rFonts w:ascii="Times New Roman" w:eastAsia="Calibri" w:hAnsi="Times New Roman" w:cs="Times New Roman"/>
          <w:kern w:val="2"/>
          <w:sz w:val="28"/>
          <w:szCs w:val="28"/>
          <w:lang w:eastAsia="en-US"/>
          <w14:ligatures w14:val="standardContextual"/>
        </w:rPr>
        <w:t>;</w:t>
      </w:r>
    </w:p>
    <w:p w14:paraId="5ABFAF52"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дороги та автостоянки з твердим покриттям загальною площею 42,4 тис. м</w:t>
      </w:r>
      <w:r w:rsidRPr="006602C1">
        <w:rPr>
          <w:rFonts w:ascii="Times New Roman" w:eastAsia="Calibri" w:hAnsi="Times New Roman" w:cs="Times New Roman"/>
          <w:kern w:val="2"/>
          <w:sz w:val="28"/>
          <w:szCs w:val="28"/>
          <w:vertAlign w:val="superscript"/>
          <w:lang w:eastAsia="en-US"/>
          <w14:ligatures w14:val="standardContextual"/>
        </w:rPr>
        <w:t>2</w:t>
      </w:r>
      <w:r w:rsidRPr="006602C1">
        <w:rPr>
          <w:rFonts w:ascii="Times New Roman" w:eastAsia="Calibri" w:hAnsi="Times New Roman" w:cs="Times New Roman"/>
          <w:kern w:val="2"/>
          <w:sz w:val="28"/>
          <w:szCs w:val="28"/>
          <w:lang w:eastAsia="en-US"/>
          <w14:ligatures w14:val="standardContextual"/>
        </w:rPr>
        <w:t>.</w:t>
      </w:r>
    </w:p>
    <w:p w14:paraId="06B5BB21" w14:textId="77777777" w:rsidR="00E27A66" w:rsidRDefault="00E27A66" w:rsidP="006602C1">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14:paraId="04D88868" w14:textId="77777777" w:rsidR="006602C1" w:rsidRPr="006602C1" w:rsidRDefault="00000000" w:rsidP="006602C1">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Природоохоронні та ландшафтно-рекреаційні території</w:t>
      </w:r>
    </w:p>
    <w:p w14:paraId="01F59FBA"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Ландшафтно-рекреаційні зони індустріального парку (загальною площею 2,98 га, або 26,1% території) спроєктовано з урахуванням кількості працівників та зручності використання. Біля адміністративно-побутових приміщень буде облаштовано відпочинкову зону з елементами благоустрою. Уздовж периметра </w:t>
      </w:r>
      <w:r w:rsidRPr="006602C1">
        <w:rPr>
          <w:rFonts w:ascii="Times New Roman" w:eastAsia="Calibri" w:hAnsi="Times New Roman" w:cs="Times New Roman"/>
          <w:kern w:val="2"/>
          <w:sz w:val="28"/>
          <w:szCs w:val="28"/>
          <w:lang w:eastAsia="en-US"/>
          <w14:ligatures w14:val="standardContextual"/>
        </w:rPr>
        <w:lastRenderedPageBreak/>
        <w:t>парку передбачено захисну смугу озеленення, що не лише покращить естетичний вигляд території індустріального парку, але й сприятиме екологічній збалансованості та захисту від зовнішніх впливів прилеглих автошляхів і промислових територій.</w:t>
      </w:r>
    </w:p>
    <w:p w14:paraId="46FD60E9" w14:textId="77777777" w:rsidR="006602C1" w:rsidRPr="006602C1" w:rsidRDefault="00000000" w:rsidP="006602C1">
      <w:pPr>
        <w:spacing w:after="160" w:line="256" w:lineRule="auto"/>
        <w:rPr>
          <w:rFonts w:ascii="Calibri" w:eastAsia="Calibri" w:hAnsi="Calibri" w:cs="Times New Roman"/>
          <w:kern w:val="2"/>
          <w:sz w:val="24"/>
          <w:szCs w:val="24"/>
          <w:lang w:eastAsia="en-US"/>
          <w14:ligatures w14:val="standardContextual"/>
        </w:rPr>
      </w:pPr>
      <w:r w:rsidRPr="006602C1">
        <w:rPr>
          <w:rFonts w:ascii="Calibri" w:eastAsia="Calibri" w:hAnsi="Calibri" w:cs="Times New Roman"/>
          <w:sz w:val="24"/>
          <w:szCs w:val="24"/>
          <w:lang w:eastAsia="en-US"/>
        </w:rPr>
        <w:br w:type="page"/>
      </w:r>
    </w:p>
    <w:p w14:paraId="017BA949" w14:textId="77777777" w:rsidR="006602C1" w:rsidRDefault="00000000" w:rsidP="006602C1">
      <w:pPr>
        <w:spacing w:after="0" w:line="240" w:lineRule="auto"/>
        <w:ind w:firstLine="567"/>
        <w:jc w:val="center"/>
        <w:rPr>
          <w:rFonts w:ascii="Times New Roman" w:eastAsia="Calibri" w:hAnsi="Times New Roman" w:cs="Times New Roman"/>
          <w:b/>
          <w:bCs/>
          <w:color w:val="000000"/>
          <w:kern w:val="2"/>
          <w:sz w:val="28"/>
          <w:szCs w:val="28"/>
          <w:lang w:eastAsia="en-US"/>
          <w14:ligatures w14:val="standardContextual"/>
        </w:rPr>
      </w:pPr>
      <w:r w:rsidRPr="006602C1">
        <w:rPr>
          <w:rFonts w:ascii="Times New Roman" w:eastAsia="Calibri" w:hAnsi="Times New Roman" w:cs="Times New Roman"/>
          <w:b/>
          <w:bCs/>
          <w:color w:val="000000"/>
          <w:kern w:val="2"/>
          <w:sz w:val="28"/>
          <w:szCs w:val="28"/>
          <w:lang w:eastAsia="en-US"/>
          <w14:ligatures w14:val="standardContextual"/>
        </w:rPr>
        <w:lastRenderedPageBreak/>
        <w:t>Схема планування та візуалізація території індустріального парку</w:t>
      </w:r>
    </w:p>
    <w:p w14:paraId="001A0973" w14:textId="77777777" w:rsidR="006602C1" w:rsidRPr="006602C1" w:rsidRDefault="006602C1" w:rsidP="006602C1">
      <w:pPr>
        <w:spacing w:after="0" w:line="240" w:lineRule="auto"/>
        <w:ind w:firstLine="567"/>
        <w:jc w:val="center"/>
        <w:rPr>
          <w:rFonts w:ascii="Times New Roman" w:eastAsia="Calibri" w:hAnsi="Times New Roman" w:cs="Times New Roman"/>
          <w:b/>
          <w:bCs/>
          <w:color w:val="000000"/>
          <w:kern w:val="2"/>
          <w:sz w:val="28"/>
          <w:szCs w:val="28"/>
          <w:lang w:eastAsia="en-US"/>
          <w14:ligatures w14:val="standardContextual"/>
        </w:rPr>
      </w:pPr>
    </w:p>
    <w:p w14:paraId="01E92F8A" w14:textId="77777777" w:rsidR="006602C1" w:rsidRPr="006602C1" w:rsidRDefault="00000000" w:rsidP="006602C1">
      <w:pPr>
        <w:spacing w:after="0" w:line="240" w:lineRule="auto"/>
        <w:ind w:firstLine="567"/>
        <w:jc w:val="center"/>
        <w:rPr>
          <w:rFonts w:ascii="Times New Roman" w:eastAsia="Calibri" w:hAnsi="Times New Roman" w:cs="Times New Roman"/>
          <w:color w:val="000000"/>
          <w:kern w:val="2"/>
          <w:sz w:val="28"/>
          <w:szCs w:val="28"/>
          <w:lang w:eastAsia="en-US"/>
          <w14:ligatures w14:val="standardContextual"/>
        </w:rPr>
      </w:pPr>
      <w:r>
        <w:rPr>
          <w:rFonts w:ascii="Times New Roman" w:eastAsia="Calibri" w:hAnsi="Times New Roman" w:cs="Times New Roman"/>
          <w:noProof/>
          <w:color w:val="000000"/>
          <w:kern w:val="2"/>
          <w:sz w:val="28"/>
          <w:szCs w:val="28"/>
          <w:lang w:eastAsia="en-US"/>
          <w14:ligatures w14:val="standardContextual"/>
        </w:rPr>
        <w:drawing>
          <wp:inline distT="0" distB="0" distL="0" distR="0" wp14:anchorId="19634BDA" wp14:editId="1161A5C4">
            <wp:extent cx="4967764" cy="3590925"/>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982379" cy="3601490"/>
                    </a:xfrm>
                    <a:prstGeom prst="rect">
                      <a:avLst/>
                    </a:prstGeom>
                    <a:noFill/>
                  </pic:spPr>
                </pic:pic>
              </a:graphicData>
            </a:graphic>
          </wp:inline>
        </w:drawing>
      </w:r>
    </w:p>
    <w:p w14:paraId="69D166EE" w14:textId="77777777" w:rsidR="006602C1" w:rsidRPr="006602C1" w:rsidRDefault="006602C1" w:rsidP="006602C1">
      <w:pPr>
        <w:spacing w:after="160" w:line="256" w:lineRule="auto"/>
        <w:ind w:left="2160"/>
        <w:contextualSpacing/>
        <w:rPr>
          <w:rFonts w:ascii="Times New Roman" w:eastAsia="Times New Roman" w:hAnsi="Times New Roman" w:cs="Times New Roman"/>
          <w:sz w:val="28"/>
          <w:szCs w:val="24"/>
        </w:rPr>
      </w:pPr>
    </w:p>
    <w:p w14:paraId="2166A9D4" w14:textId="77777777" w:rsidR="006602C1" w:rsidRPr="006602C1" w:rsidRDefault="00000000" w:rsidP="006602C1">
      <w:pPr>
        <w:numPr>
          <w:ilvl w:val="2"/>
          <w:numId w:val="6"/>
        </w:numPr>
        <w:spacing w:after="160" w:line="256" w:lineRule="auto"/>
        <w:contextualSpacing/>
        <w:rPr>
          <w:rFonts w:ascii="Times New Roman" w:eastAsia="Times New Roman" w:hAnsi="Times New Roman" w:cs="Times New Roman"/>
          <w:sz w:val="28"/>
          <w:szCs w:val="24"/>
        </w:rPr>
      </w:pPr>
      <w:r w:rsidRPr="006602C1">
        <w:rPr>
          <w:rFonts w:ascii="Times New Roman" w:eastAsia="Times New Roman" w:hAnsi="Times New Roman" w:cs="Times New Roman"/>
          <w:sz w:val="28"/>
          <w:szCs w:val="24"/>
        </w:rPr>
        <w:t>Виробничо-складське приміщення</w:t>
      </w:r>
      <w:r w:rsidRPr="006602C1">
        <w:rPr>
          <w:rFonts w:ascii="Times New Roman" w:eastAsia="Times New Roman" w:hAnsi="Times New Roman" w:cs="Times New Roman"/>
          <w:sz w:val="28"/>
          <w:szCs w:val="24"/>
          <w:lang w:val="en-CA"/>
        </w:rPr>
        <w:t>;</w:t>
      </w:r>
    </w:p>
    <w:p w14:paraId="7A8DFD08" w14:textId="77777777" w:rsidR="006602C1" w:rsidRPr="006602C1" w:rsidRDefault="00000000" w:rsidP="006602C1">
      <w:pPr>
        <w:numPr>
          <w:ilvl w:val="2"/>
          <w:numId w:val="6"/>
        </w:numPr>
        <w:spacing w:after="160" w:line="256" w:lineRule="auto"/>
        <w:contextualSpacing/>
        <w:rPr>
          <w:rFonts w:ascii="Times New Roman" w:eastAsia="Times New Roman" w:hAnsi="Times New Roman" w:cs="Times New Roman"/>
          <w:sz w:val="28"/>
          <w:szCs w:val="24"/>
        </w:rPr>
      </w:pPr>
      <w:r w:rsidRPr="006602C1">
        <w:rPr>
          <w:rFonts w:ascii="Times New Roman" w:eastAsia="Times New Roman" w:hAnsi="Times New Roman" w:cs="Times New Roman"/>
          <w:sz w:val="28"/>
          <w:szCs w:val="24"/>
        </w:rPr>
        <w:t>Основна підстанція</w:t>
      </w:r>
      <w:r w:rsidRPr="006602C1">
        <w:rPr>
          <w:rFonts w:ascii="Times New Roman" w:eastAsia="Times New Roman" w:hAnsi="Times New Roman" w:cs="Times New Roman"/>
          <w:sz w:val="28"/>
          <w:szCs w:val="24"/>
          <w:lang w:val="en-CA"/>
        </w:rPr>
        <w:t>;</w:t>
      </w:r>
    </w:p>
    <w:p w14:paraId="34312600" w14:textId="77777777" w:rsidR="006602C1" w:rsidRPr="006602C1" w:rsidRDefault="00000000" w:rsidP="006602C1">
      <w:pPr>
        <w:numPr>
          <w:ilvl w:val="2"/>
          <w:numId w:val="6"/>
        </w:numPr>
        <w:spacing w:after="160" w:line="256" w:lineRule="auto"/>
        <w:contextualSpacing/>
        <w:rPr>
          <w:rFonts w:ascii="Times New Roman" w:eastAsia="Times New Roman" w:hAnsi="Times New Roman" w:cs="Times New Roman"/>
          <w:sz w:val="28"/>
          <w:szCs w:val="24"/>
        </w:rPr>
      </w:pPr>
      <w:r w:rsidRPr="006602C1">
        <w:rPr>
          <w:rFonts w:ascii="Times New Roman" w:eastAsia="Times New Roman" w:hAnsi="Times New Roman" w:cs="Times New Roman"/>
          <w:sz w:val="28"/>
          <w:szCs w:val="24"/>
        </w:rPr>
        <w:t>Резервна підстанція</w:t>
      </w:r>
      <w:r w:rsidRPr="006602C1">
        <w:rPr>
          <w:rFonts w:ascii="Times New Roman" w:eastAsia="Times New Roman" w:hAnsi="Times New Roman" w:cs="Times New Roman"/>
          <w:sz w:val="28"/>
          <w:szCs w:val="24"/>
          <w:lang w:val="en-CA"/>
        </w:rPr>
        <w:t>;</w:t>
      </w:r>
    </w:p>
    <w:p w14:paraId="5C8B9ED9" w14:textId="77777777" w:rsidR="006602C1" w:rsidRPr="006602C1" w:rsidRDefault="00000000" w:rsidP="006602C1">
      <w:pPr>
        <w:numPr>
          <w:ilvl w:val="2"/>
          <w:numId w:val="6"/>
        </w:numPr>
        <w:spacing w:after="160" w:line="256" w:lineRule="auto"/>
        <w:contextualSpacing/>
        <w:rPr>
          <w:rFonts w:ascii="Times New Roman" w:eastAsia="Times New Roman" w:hAnsi="Times New Roman" w:cs="Times New Roman"/>
          <w:sz w:val="28"/>
          <w:szCs w:val="24"/>
        </w:rPr>
      </w:pPr>
      <w:r w:rsidRPr="006602C1">
        <w:rPr>
          <w:rFonts w:ascii="Times New Roman" w:eastAsia="Times New Roman" w:hAnsi="Times New Roman" w:cs="Times New Roman"/>
          <w:sz w:val="28"/>
          <w:szCs w:val="24"/>
        </w:rPr>
        <w:t>Адміністративна будівля</w:t>
      </w:r>
      <w:r w:rsidRPr="006602C1">
        <w:rPr>
          <w:rFonts w:ascii="Times New Roman" w:eastAsia="Times New Roman" w:hAnsi="Times New Roman" w:cs="Times New Roman"/>
          <w:sz w:val="28"/>
          <w:szCs w:val="24"/>
          <w:lang w:val="en-CA"/>
        </w:rPr>
        <w:t>;</w:t>
      </w:r>
    </w:p>
    <w:p w14:paraId="7359C44B" w14:textId="77777777" w:rsidR="006602C1" w:rsidRPr="006602C1" w:rsidRDefault="00000000" w:rsidP="006602C1">
      <w:pPr>
        <w:numPr>
          <w:ilvl w:val="2"/>
          <w:numId w:val="6"/>
        </w:numPr>
        <w:spacing w:after="160" w:line="256" w:lineRule="auto"/>
        <w:contextualSpacing/>
        <w:rPr>
          <w:rFonts w:ascii="Times New Roman" w:eastAsia="Times New Roman" w:hAnsi="Times New Roman" w:cs="Times New Roman"/>
          <w:sz w:val="28"/>
          <w:szCs w:val="24"/>
        </w:rPr>
      </w:pPr>
      <w:r w:rsidRPr="006602C1">
        <w:rPr>
          <w:rFonts w:ascii="Times New Roman" w:eastAsia="Times New Roman" w:hAnsi="Times New Roman" w:cs="Times New Roman"/>
          <w:sz w:val="28"/>
          <w:szCs w:val="24"/>
        </w:rPr>
        <w:t>Стоянка легкового транспорту</w:t>
      </w:r>
      <w:r w:rsidRPr="006602C1">
        <w:rPr>
          <w:rFonts w:ascii="Times New Roman" w:eastAsia="Times New Roman" w:hAnsi="Times New Roman" w:cs="Times New Roman"/>
          <w:sz w:val="28"/>
          <w:szCs w:val="24"/>
          <w:lang w:val="en-CA"/>
        </w:rPr>
        <w:t>;</w:t>
      </w:r>
    </w:p>
    <w:p w14:paraId="55CC6CCD" w14:textId="77777777" w:rsidR="006602C1" w:rsidRDefault="00000000" w:rsidP="006602C1">
      <w:pPr>
        <w:numPr>
          <w:ilvl w:val="2"/>
          <w:numId w:val="6"/>
        </w:numPr>
        <w:spacing w:after="160" w:line="256" w:lineRule="auto"/>
        <w:contextualSpacing/>
        <w:rPr>
          <w:rFonts w:ascii="Times New Roman" w:eastAsia="Times New Roman" w:hAnsi="Times New Roman" w:cs="Times New Roman"/>
          <w:sz w:val="28"/>
          <w:szCs w:val="24"/>
        </w:rPr>
      </w:pPr>
      <w:r w:rsidRPr="006602C1">
        <w:rPr>
          <w:rFonts w:ascii="Times New Roman" w:eastAsia="Times New Roman" w:hAnsi="Times New Roman" w:cs="Times New Roman"/>
          <w:sz w:val="28"/>
          <w:szCs w:val="24"/>
        </w:rPr>
        <w:t>Склад готової продукції</w:t>
      </w:r>
      <w:r w:rsidRPr="006602C1">
        <w:rPr>
          <w:rFonts w:ascii="Times New Roman" w:eastAsia="Times New Roman" w:hAnsi="Times New Roman" w:cs="Times New Roman"/>
          <w:sz w:val="28"/>
          <w:szCs w:val="24"/>
          <w:lang w:val="en-CA"/>
        </w:rPr>
        <w:t>.</w:t>
      </w:r>
      <w:r w:rsidRPr="006602C1">
        <w:rPr>
          <w:rFonts w:ascii="Times New Roman" w:eastAsia="Times New Roman" w:hAnsi="Times New Roman" w:cs="Times New Roman"/>
          <w:sz w:val="28"/>
          <w:szCs w:val="24"/>
        </w:rPr>
        <w:t xml:space="preserve"> </w:t>
      </w:r>
    </w:p>
    <w:p w14:paraId="1E76E28B" w14:textId="77777777" w:rsidR="006602C1" w:rsidRPr="006602C1" w:rsidRDefault="006602C1" w:rsidP="006602C1">
      <w:pPr>
        <w:spacing w:after="160" w:line="256" w:lineRule="auto"/>
        <w:ind w:left="2160"/>
        <w:contextualSpacing/>
        <w:rPr>
          <w:rFonts w:ascii="Times New Roman" w:eastAsia="Times New Roman" w:hAnsi="Times New Roman" w:cs="Times New Roman"/>
          <w:sz w:val="28"/>
          <w:szCs w:val="24"/>
        </w:rPr>
      </w:pPr>
    </w:p>
    <w:p w14:paraId="51DDC1D1" w14:textId="77777777" w:rsidR="00442B57" w:rsidRDefault="00442B57" w:rsidP="003B2A39">
      <w:pPr>
        <w:spacing w:after="0"/>
        <w:rPr>
          <w:rFonts w:ascii="Times New Roman" w:hAnsi="Times New Roman" w:cs="Times New Roman"/>
          <w:b/>
          <w:sz w:val="28"/>
          <w:szCs w:val="28"/>
        </w:rPr>
      </w:pPr>
    </w:p>
    <w:p w14:paraId="4361482A" w14:textId="77777777" w:rsidR="006602C1" w:rsidRDefault="006602C1" w:rsidP="003B2A39">
      <w:pPr>
        <w:spacing w:after="0"/>
        <w:rPr>
          <w:rFonts w:ascii="Times New Roman" w:hAnsi="Times New Roman" w:cs="Times New Roman"/>
          <w:b/>
          <w:sz w:val="28"/>
          <w:szCs w:val="28"/>
        </w:rPr>
      </w:pPr>
    </w:p>
    <w:p w14:paraId="061A59EA" w14:textId="77777777" w:rsidR="006602C1" w:rsidRDefault="006602C1" w:rsidP="003B2A39">
      <w:pPr>
        <w:spacing w:after="0"/>
        <w:rPr>
          <w:rFonts w:ascii="Times New Roman" w:hAnsi="Times New Roman" w:cs="Times New Roman"/>
          <w:b/>
          <w:sz w:val="28"/>
          <w:szCs w:val="28"/>
        </w:rPr>
      </w:pPr>
    </w:p>
    <w:p w14:paraId="3BF813A4" w14:textId="77777777" w:rsidR="006602C1" w:rsidRDefault="006602C1" w:rsidP="003B2A39">
      <w:pPr>
        <w:spacing w:after="0"/>
        <w:rPr>
          <w:rFonts w:ascii="Times New Roman" w:hAnsi="Times New Roman" w:cs="Times New Roman"/>
          <w:b/>
          <w:sz w:val="28"/>
          <w:szCs w:val="28"/>
        </w:rPr>
      </w:pPr>
    </w:p>
    <w:p w14:paraId="371645CF" w14:textId="77777777" w:rsidR="006602C1" w:rsidRDefault="006602C1" w:rsidP="003B2A39">
      <w:pPr>
        <w:spacing w:after="0"/>
        <w:rPr>
          <w:rFonts w:ascii="Times New Roman" w:hAnsi="Times New Roman" w:cs="Times New Roman"/>
          <w:b/>
          <w:sz w:val="28"/>
          <w:szCs w:val="28"/>
        </w:rPr>
      </w:pPr>
    </w:p>
    <w:p w14:paraId="6C80D7C2" w14:textId="77777777" w:rsidR="006602C1" w:rsidRDefault="006602C1" w:rsidP="003B2A39">
      <w:pPr>
        <w:spacing w:after="0"/>
        <w:rPr>
          <w:rFonts w:ascii="Times New Roman" w:hAnsi="Times New Roman" w:cs="Times New Roman"/>
          <w:b/>
          <w:sz w:val="28"/>
          <w:szCs w:val="28"/>
        </w:rPr>
      </w:pPr>
    </w:p>
    <w:p w14:paraId="25E22B35" w14:textId="77777777" w:rsidR="006602C1" w:rsidRDefault="006602C1" w:rsidP="003B2A39">
      <w:pPr>
        <w:spacing w:after="0"/>
        <w:rPr>
          <w:rFonts w:ascii="Times New Roman" w:hAnsi="Times New Roman" w:cs="Times New Roman"/>
          <w:b/>
          <w:sz w:val="28"/>
          <w:szCs w:val="28"/>
        </w:rPr>
      </w:pPr>
    </w:p>
    <w:p w14:paraId="70A0624C" w14:textId="77777777" w:rsidR="006602C1" w:rsidRDefault="006602C1" w:rsidP="003B2A39">
      <w:pPr>
        <w:spacing w:after="0"/>
        <w:rPr>
          <w:rFonts w:ascii="Times New Roman" w:hAnsi="Times New Roman" w:cs="Times New Roman"/>
          <w:b/>
          <w:sz w:val="28"/>
          <w:szCs w:val="28"/>
        </w:rPr>
      </w:pPr>
    </w:p>
    <w:p w14:paraId="53E7F9D7" w14:textId="77777777" w:rsidR="006602C1" w:rsidRDefault="006602C1" w:rsidP="003B2A39">
      <w:pPr>
        <w:spacing w:after="0"/>
        <w:rPr>
          <w:rFonts w:ascii="Times New Roman" w:hAnsi="Times New Roman" w:cs="Times New Roman"/>
          <w:b/>
          <w:sz w:val="28"/>
          <w:szCs w:val="28"/>
        </w:rPr>
      </w:pPr>
    </w:p>
    <w:p w14:paraId="05688D3E" w14:textId="77777777" w:rsidR="006602C1" w:rsidRDefault="006602C1" w:rsidP="003B2A39">
      <w:pPr>
        <w:spacing w:after="0"/>
        <w:rPr>
          <w:rFonts w:ascii="Times New Roman" w:hAnsi="Times New Roman" w:cs="Times New Roman"/>
          <w:b/>
          <w:sz w:val="28"/>
          <w:szCs w:val="28"/>
        </w:rPr>
      </w:pPr>
    </w:p>
    <w:p w14:paraId="16FF38BA" w14:textId="77777777" w:rsidR="006602C1" w:rsidRDefault="006602C1" w:rsidP="003B2A39">
      <w:pPr>
        <w:spacing w:after="0"/>
        <w:rPr>
          <w:rFonts w:ascii="Times New Roman" w:hAnsi="Times New Roman" w:cs="Times New Roman"/>
          <w:b/>
          <w:sz w:val="28"/>
          <w:szCs w:val="28"/>
        </w:rPr>
      </w:pPr>
    </w:p>
    <w:p w14:paraId="582FE9B2" w14:textId="77777777" w:rsidR="006602C1" w:rsidRDefault="006602C1" w:rsidP="003B2A39">
      <w:pPr>
        <w:spacing w:after="0"/>
        <w:rPr>
          <w:rFonts w:ascii="Times New Roman" w:hAnsi="Times New Roman" w:cs="Times New Roman"/>
          <w:b/>
          <w:sz w:val="28"/>
          <w:szCs w:val="28"/>
        </w:rPr>
      </w:pPr>
    </w:p>
    <w:p w14:paraId="41253F5C" w14:textId="77777777" w:rsidR="006602C1" w:rsidRDefault="006602C1" w:rsidP="003B2A39">
      <w:pPr>
        <w:spacing w:after="0"/>
        <w:rPr>
          <w:rFonts w:ascii="Times New Roman" w:hAnsi="Times New Roman" w:cs="Times New Roman"/>
          <w:b/>
          <w:sz w:val="28"/>
          <w:szCs w:val="28"/>
        </w:rPr>
      </w:pPr>
    </w:p>
    <w:p w14:paraId="4CFC8343" w14:textId="77777777" w:rsidR="006602C1" w:rsidRDefault="006602C1" w:rsidP="003B2A39">
      <w:pPr>
        <w:spacing w:after="0"/>
        <w:rPr>
          <w:rFonts w:ascii="Times New Roman" w:hAnsi="Times New Roman" w:cs="Times New Roman"/>
          <w:b/>
          <w:sz w:val="28"/>
          <w:szCs w:val="28"/>
        </w:rPr>
      </w:pPr>
    </w:p>
    <w:p w14:paraId="0E448F30" w14:textId="77777777" w:rsidR="006602C1" w:rsidRDefault="00000000" w:rsidP="006602C1">
      <w:pPr>
        <w:spacing w:after="0"/>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6A211330" wp14:editId="11EA011E">
            <wp:extent cx="5170170" cy="29083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170170" cy="2908300"/>
                    </a:xfrm>
                    <a:prstGeom prst="rect">
                      <a:avLst/>
                    </a:prstGeom>
                    <a:noFill/>
                  </pic:spPr>
                </pic:pic>
              </a:graphicData>
            </a:graphic>
          </wp:inline>
        </w:drawing>
      </w:r>
    </w:p>
    <w:p w14:paraId="7735E2DA" w14:textId="77777777" w:rsidR="00442B57" w:rsidRDefault="00442B57" w:rsidP="003B2A39">
      <w:pPr>
        <w:spacing w:after="0"/>
        <w:rPr>
          <w:rFonts w:ascii="Times New Roman" w:hAnsi="Times New Roman" w:cs="Times New Roman"/>
          <w:b/>
          <w:sz w:val="28"/>
          <w:szCs w:val="28"/>
        </w:rPr>
      </w:pPr>
    </w:p>
    <w:p w14:paraId="694CAACC" w14:textId="77777777" w:rsidR="006602C1" w:rsidRDefault="00000000" w:rsidP="006602C1">
      <w:pPr>
        <w:spacing w:after="0"/>
        <w:jc w:val="center"/>
        <w:rPr>
          <w:rFonts w:ascii="Times New Roman" w:hAnsi="Times New Roman" w:cs="Times New Roman"/>
          <w:b/>
          <w:sz w:val="28"/>
          <w:szCs w:val="28"/>
        </w:rPr>
      </w:pPr>
      <w:r>
        <w:rPr>
          <w:noProof/>
        </w:rPr>
        <w:drawing>
          <wp:inline distT="0" distB="0" distL="0" distR="0" wp14:anchorId="593985DB" wp14:editId="0ED117F9">
            <wp:extent cx="5162550" cy="2905125"/>
            <wp:effectExtent l="0" t="0" r="0" b="9525"/>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2"/>
                    <pic:cNvPicPr/>
                  </pic:nvPicPr>
                  <pic:blipFill>
                    <a:blip r:embed="rId18">
                      <a:extLst>
                        <a:ext uri="{28A0092B-C50C-407E-A947-70E740481C1C}">
                          <a14:useLocalDpi xmlns:a14="http://schemas.microsoft.com/office/drawing/2010/main" val="0"/>
                        </a:ext>
                      </a:extLst>
                    </a:blip>
                    <a:stretch>
                      <a:fillRect/>
                    </a:stretch>
                  </pic:blipFill>
                  <pic:spPr>
                    <a:xfrm>
                      <a:off x="0" y="0"/>
                      <a:ext cx="5162550" cy="2905125"/>
                    </a:xfrm>
                    <a:prstGeom prst="rect">
                      <a:avLst/>
                    </a:prstGeom>
                  </pic:spPr>
                </pic:pic>
              </a:graphicData>
            </a:graphic>
          </wp:inline>
        </w:drawing>
      </w:r>
    </w:p>
    <w:p w14:paraId="3D4139A3" w14:textId="77777777" w:rsidR="00442B57" w:rsidRDefault="00000000" w:rsidP="006602C1">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6917723" wp14:editId="15943EBA">
            <wp:extent cx="5163820" cy="29083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163820" cy="2908300"/>
                    </a:xfrm>
                    <a:prstGeom prst="rect">
                      <a:avLst/>
                    </a:prstGeom>
                    <a:noFill/>
                  </pic:spPr>
                </pic:pic>
              </a:graphicData>
            </a:graphic>
          </wp:inline>
        </w:drawing>
      </w:r>
    </w:p>
    <w:p w14:paraId="0A4D00C7" w14:textId="77777777" w:rsidR="006602C1" w:rsidRPr="006602C1" w:rsidRDefault="00000000" w:rsidP="006602C1">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bookmarkStart w:id="12" w:name="_Toc194054632"/>
      <w:r w:rsidRPr="006602C1">
        <w:rPr>
          <w:rFonts w:ascii="Times New Roman" w:eastAsia="Times New Roman" w:hAnsi="Times New Roman" w:cs="Times New Roman"/>
          <w:b/>
          <w:kern w:val="2"/>
          <w:sz w:val="28"/>
          <w:szCs w:val="28"/>
          <w:lang w:eastAsia="en-US"/>
          <w14:ligatures w14:val="standardContextual"/>
        </w:rPr>
        <w:lastRenderedPageBreak/>
        <w:t>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bookmarkEnd w:id="12"/>
    </w:p>
    <w:p w14:paraId="47238E9C"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Загальний обсяг інвестицій для створення індустріального парку, включаючи витрати на інженерно-транспортну інфраструктуру, будівництво промислових, складських та технічних об’єктів, а також на виробниче обладнання, становить 1,26 млрд гривень. Оскільки остаточна проєктно-кошторисна документація ще не розроблена, вартість значною мірою визначено на основі порівняльного аналізу середніх статистичних розцінок та досвіду реалізації аналогічних проєктів (табл. 9).</w:t>
      </w:r>
    </w:p>
    <w:p w14:paraId="3A22D8FA" w14:textId="77777777" w:rsidR="006602C1" w:rsidRPr="006602C1" w:rsidRDefault="00000000" w:rsidP="006602C1">
      <w:pPr>
        <w:tabs>
          <w:tab w:val="left" w:pos="851"/>
        </w:tabs>
        <w:spacing w:before="120"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Табл. 9.</w:t>
      </w:r>
      <w:r w:rsidRPr="006602C1">
        <w:rPr>
          <w:rFonts w:ascii="Times New Roman" w:eastAsia="Calibri" w:hAnsi="Times New Roman" w:cs="Times New Roman"/>
          <w:kern w:val="2"/>
          <w:sz w:val="28"/>
          <w:szCs w:val="28"/>
          <w:lang w:eastAsia="en-US"/>
          <w14:ligatures w14:val="standardContextual"/>
        </w:rPr>
        <w:t xml:space="preserve"> Попередній розрахунок загального витратного бюджету проєкту ІП «БУДШЛЯХМАШ»</w:t>
      </w:r>
    </w:p>
    <w:tbl>
      <w:tblPr>
        <w:tblStyle w:val="10"/>
        <w:tblW w:w="0" w:type="auto"/>
        <w:tblLook w:val="04A0" w:firstRow="1" w:lastRow="0" w:firstColumn="1" w:lastColumn="0" w:noHBand="0" w:noVBand="1"/>
      </w:tblPr>
      <w:tblGrid>
        <w:gridCol w:w="5993"/>
        <w:gridCol w:w="1820"/>
        <w:gridCol w:w="1675"/>
      </w:tblGrid>
      <w:tr w:rsidR="00F37DCB" w14:paraId="206A0D13" w14:textId="77777777" w:rsidTr="006602C1">
        <w:tc>
          <w:tcPr>
            <w:tcW w:w="6091"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14:paraId="65EAD4A5"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Статті витрат</w:t>
            </w:r>
          </w:p>
        </w:tc>
        <w:tc>
          <w:tcPr>
            <w:tcW w:w="3536" w:type="dxa"/>
            <w:gridSpan w:val="2"/>
            <w:tcBorders>
              <w:top w:val="single" w:sz="4" w:space="0" w:color="auto"/>
              <w:left w:val="single" w:sz="4" w:space="0" w:color="auto"/>
              <w:bottom w:val="single" w:sz="4" w:space="0" w:color="auto"/>
              <w:right w:val="single" w:sz="4" w:space="0" w:color="auto"/>
            </w:tcBorders>
            <w:shd w:val="clear" w:color="auto" w:fill="809EC2"/>
            <w:hideMark/>
          </w:tcPr>
          <w:p w14:paraId="7CECB85F"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Обсяг витрат</w:t>
            </w:r>
          </w:p>
        </w:tc>
      </w:tr>
      <w:tr w:rsidR="00F37DCB" w14:paraId="3EDB59AA" w14:textId="77777777" w:rsidTr="006602C1">
        <w:tc>
          <w:tcPr>
            <w:tcW w:w="0" w:type="auto"/>
            <w:vMerge/>
            <w:tcBorders>
              <w:top w:val="single" w:sz="4" w:space="0" w:color="auto"/>
              <w:left w:val="single" w:sz="4" w:space="0" w:color="auto"/>
              <w:bottom w:val="single" w:sz="4" w:space="0" w:color="auto"/>
              <w:right w:val="single" w:sz="4" w:space="0" w:color="auto"/>
            </w:tcBorders>
            <w:vAlign w:val="center"/>
            <w:hideMark/>
          </w:tcPr>
          <w:p w14:paraId="1F844F6C" w14:textId="77777777" w:rsidR="006602C1" w:rsidRPr="006602C1" w:rsidRDefault="006602C1" w:rsidP="006602C1">
            <w:pPr>
              <w:rPr>
                <w:rFonts w:ascii="Times New Roman" w:hAnsi="Times New Roman"/>
                <w:b/>
                <w:bCs/>
                <w:sz w:val="24"/>
                <w:szCs w:val="28"/>
              </w:rPr>
            </w:pPr>
          </w:p>
        </w:tc>
        <w:tc>
          <w:tcPr>
            <w:tcW w:w="1842" w:type="dxa"/>
            <w:tcBorders>
              <w:top w:val="single" w:sz="4" w:space="0" w:color="auto"/>
              <w:left w:val="single" w:sz="4" w:space="0" w:color="auto"/>
              <w:bottom w:val="single" w:sz="4" w:space="0" w:color="auto"/>
              <w:right w:val="single" w:sz="4" w:space="0" w:color="auto"/>
            </w:tcBorders>
            <w:shd w:val="clear" w:color="auto" w:fill="809EC2"/>
            <w:hideMark/>
          </w:tcPr>
          <w:p w14:paraId="31E79A95"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млн дол. США</w:t>
            </w:r>
            <w:r w:rsidRPr="006602C1">
              <w:rPr>
                <w:rFonts w:ascii="Times New Roman" w:hAnsi="Times New Roman"/>
                <w:b/>
                <w:bCs/>
                <w:sz w:val="24"/>
                <w:szCs w:val="28"/>
                <w:vertAlign w:val="superscript"/>
              </w:rPr>
              <w:t>*</w:t>
            </w:r>
          </w:p>
        </w:tc>
        <w:tc>
          <w:tcPr>
            <w:tcW w:w="1694" w:type="dxa"/>
            <w:tcBorders>
              <w:top w:val="single" w:sz="4" w:space="0" w:color="auto"/>
              <w:left w:val="single" w:sz="4" w:space="0" w:color="auto"/>
              <w:bottom w:val="single" w:sz="4" w:space="0" w:color="auto"/>
              <w:right w:val="single" w:sz="4" w:space="0" w:color="auto"/>
            </w:tcBorders>
            <w:shd w:val="clear" w:color="auto" w:fill="809EC2"/>
            <w:hideMark/>
          </w:tcPr>
          <w:p w14:paraId="1D221063" w14:textId="77777777" w:rsidR="006602C1" w:rsidRPr="006602C1" w:rsidRDefault="00000000" w:rsidP="006602C1">
            <w:pPr>
              <w:tabs>
                <w:tab w:val="left" w:pos="851"/>
              </w:tabs>
              <w:jc w:val="center"/>
              <w:rPr>
                <w:rFonts w:ascii="Times New Roman" w:hAnsi="Times New Roman"/>
                <w:b/>
                <w:bCs/>
                <w:sz w:val="24"/>
                <w:szCs w:val="28"/>
              </w:rPr>
            </w:pPr>
            <w:r w:rsidRPr="006602C1">
              <w:rPr>
                <w:rFonts w:ascii="Times New Roman" w:hAnsi="Times New Roman"/>
                <w:b/>
                <w:bCs/>
                <w:sz w:val="24"/>
                <w:szCs w:val="28"/>
              </w:rPr>
              <w:t>млн грн</w:t>
            </w:r>
          </w:p>
        </w:tc>
      </w:tr>
      <w:tr w:rsidR="00F37DCB" w14:paraId="44E75EB2" w14:textId="77777777" w:rsidTr="006602C1">
        <w:tc>
          <w:tcPr>
            <w:tcW w:w="6091" w:type="dxa"/>
            <w:tcBorders>
              <w:top w:val="single" w:sz="4" w:space="0" w:color="auto"/>
              <w:left w:val="single" w:sz="4" w:space="0" w:color="auto"/>
              <w:bottom w:val="single" w:sz="4" w:space="0" w:color="auto"/>
              <w:right w:val="single" w:sz="4" w:space="0" w:color="auto"/>
            </w:tcBorders>
            <w:hideMark/>
          </w:tcPr>
          <w:p w14:paraId="000BB557" w14:textId="77777777" w:rsidR="006602C1" w:rsidRPr="006602C1" w:rsidRDefault="00000000" w:rsidP="006602C1">
            <w:pPr>
              <w:tabs>
                <w:tab w:val="left" w:pos="851"/>
              </w:tabs>
              <w:rPr>
                <w:rFonts w:ascii="Times New Roman" w:hAnsi="Times New Roman"/>
                <w:sz w:val="24"/>
                <w:szCs w:val="28"/>
              </w:rPr>
            </w:pPr>
            <w:r w:rsidRPr="006602C1">
              <w:rPr>
                <w:rFonts w:ascii="Times New Roman" w:hAnsi="Times New Roman"/>
                <w:sz w:val="24"/>
                <w:szCs w:val="28"/>
              </w:rPr>
              <w:t>Будівництво промислових, складських та технічних об’єктів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C387144"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9,9</w:t>
            </w:r>
          </w:p>
        </w:tc>
        <w:tc>
          <w:tcPr>
            <w:tcW w:w="1694" w:type="dxa"/>
            <w:tcBorders>
              <w:top w:val="single" w:sz="4" w:space="0" w:color="auto"/>
              <w:left w:val="single" w:sz="4" w:space="0" w:color="auto"/>
              <w:bottom w:val="single" w:sz="4" w:space="0" w:color="auto"/>
              <w:right w:val="single" w:sz="4" w:space="0" w:color="auto"/>
            </w:tcBorders>
            <w:vAlign w:val="center"/>
            <w:hideMark/>
          </w:tcPr>
          <w:p w14:paraId="7C5E336A"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420,0</w:t>
            </w:r>
          </w:p>
        </w:tc>
      </w:tr>
      <w:tr w:rsidR="00F37DCB" w14:paraId="5033EAC8" w14:textId="77777777" w:rsidTr="006602C1">
        <w:tc>
          <w:tcPr>
            <w:tcW w:w="6091" w:type="dxa"/>
            <w:tcBorders>
              <w:top w:val="single" w:sz="4" w:space="0" w:color="auto"/>
              <w:left w:val="single" w:sz="4" w:space="0" w:color="auto"/>
              <w:bottom w:val="single" w:sz="4" w:space="0" w:color="auto"/>
              <w:right w:val="single" w:sz="4" w:space="0" w:color="auto"/>
            </w:tcBorders>
            <w:hideMark/>
          </w:tcPr>
          <w:p w14:paraId="7B28AFCC" w14:textId="77777777" w:rsidR="006602C1" w:rsidRPr="006602C1" w:rsidRDefault="00000000" w:rsidP="006602C1">
            <w:pPr>
              <w:tabs>
                <w:tab w:val="left" w:pos="851"/>
              </w:tabs>
              <w:rPr>
                <w:rFonts w:ascii="Times New Roman" w:hAnsi="Times New Roman"/>
                <w:sz w:val="24"/>
                <w:szCs w:val="28"/>
              </w:rPr>
            </w:pPr>
            <w:r w:rsidRPr="006602C1">
              <w:rPr>
                <w:rFonts w:ascii="Times New Roman" w:hAnsi="Times New Roman"/>
                <w:sz w:val="24"/>
                <w:szCs w:val="28"/>
              </w:rPr>
              <w:t>Закупівля обладнання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2ED1CD8"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9,9</w:t>
            </w:r>
          </w:p>
        </w:tc>
        <w:tc>
          <w:tcPr>
            <w:tcW w:w="1694" w:type="dxa"/>
            <w:tcBorders>
              <w:top w:val="single" w:sz="4" w:space="0" w:color="auto"/>
              <w:left w:val="single" w:sz="4" w:space="0" w:color="auto"/>
              <w:bottom w:val="single" w:sz="4" w:space="0" w:color="auto"/>
              <w:right w:val="single" w:sz="4" w:space="0" w:color="auto"/>
            </w:tcBorders>
            <w:vAlign w:val="center"/>
            <w:hideMark/>
          </w:tcPr>
          <w:p w14:paraId="3D786E80"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420,0</w:t>
            </w:r>
          </w:p>
        </w:tc>
      </w:tr>
      <w:tr w:rsidR="00F37DCB" w14:paraId="6280616A" w14:textId="77777777" w:rsidTr="006602C1">
        <w:tc>
          <w:tcPr>
            <w:tcW w:w="6091" w:type="dxa"/>
            <w:tcBorders>
              <w:top w:val="single" w:sz="4" w:space="0" w:color="auto"/>
              <w:left w:val="single" w:sz="4" w:space="0" w:color="auto"/>
              <w:bottom w:val="single" w:sz="4" w:space="0" w:color="auto"/>
              <w:right w:val="single" w:sz="4" w:space="0" w:color="auto"/>
            </w:tcBorders>
            <w:hideMark/>
          </w:tcPr>
          <w:p w14:paraId="72C2E307" w14:textId="77777777" w:rsidR="006602C1" w:rsidRPr="006602C1" w:rsidRDefault="00000000" w:rsidP="006602C1">
            <w:pPr>
              <w:tabs>
                <w:tab w:val="left" w:pos="851"/>
              </w:tabs>
              <w:rPr>
                <w:rFonts w:ascii="Times New Roman" w:hAnsi="Times New Roman"/>
                <w:sz w:val="24"/>
                <w:szCs w:val="28"/>
              </w:rPr>
            </w:pPr>
            <w:r w:rsidRPr="006602C1">
              <w:rPr>
                <w:rFonts w:ascii="Times New Roman" w:hAnsi="Times New Roman"/>
                <w:sz w:val="24"/>
                <w:szCs w:val="28"/>
              </w:rPr>
              <w:t>Облаштування інженерно-транспортної інфраструктури парку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8C84B8"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7,1</w:t>
            </w:r>
          </w:p>
        </w:tc>
        <w:tc>
          <w:tcPr>
            <w:tcW w:w="1694" w:type="dxa"/>
            <w:tcBorders>
              <w:top w:val="single" w:sz="4" w:space="0" w:color="auto"/>
              <w:left w:val="single" w:sz="4" w:space="0" w:color="auto"/>
              <w:bottom w:val="single" w:sz="4" w:space="0" w:color="auto"/>
              <w:right w:val="single" w:sz="4" w:space="0" w:color="auto"/>
            </w:tcBorders>
            <w:vAlign w:val="center"/>
            <w:hideMark/>
          </w:tcPr>
          <w:p w14:paraId="5ECC6660"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300,0</w:t>
            </w:r>
          </w:p>
        </w:tc>
      </w:tr>
      <w:tr w:rsidR="00F37DCB" w14:paraId="5BDFD7E8" w14:textId="77777777" w:rsidTr="006602C1">
        <w:tc>
          <w:tcPr>
            <w:tcW w:w="6091" w:type="dxa"/>
            <w:tcBorders>
              <w:top w:val="single" w:sz="4" w:space="0" w:color="auto"/>
              <w:left w:val="single" w:sz="4" w:space="0" w:color="auto"/>
              <w:bottom w:val="single" w:sz="4" w:space="0" w:color="auto"/>
              <w:right w:val="single" w:sz="4" w:space="0" w:color="auto"/>
            </w:tcBorders>
            <w:hideMark/>
          </w:tcPr>
          <w:p w14:paraId="722618F7" w14:textId="77777777" w:rsidR="006602C1" w:rsidRPr="006602C1" w:rsidRDefault="00000000" w:rsidP="006602C1">
            <w:pPr>
              <w:tabs>
                <w:tab w:val="left" w:pos="851"/>
              </w:tabs>
              <w:jc w:val="both"/>
              <w:rPr>
                <w:rFonts w:ascii="Times New Roman" w:hAnsi="Times New Roman"/>
                <w:sz w:val="24"/>
                <w:szCs w:val="28"/>
              </w:rPr>
            </w:pPr>
            <w:r w:rsidRPr="006602C1">
              <w:rPr>
                <w:rFonts w:ascii="Times New Roman" w:hAnsi="Times New Roman"/>
                <w:sz w:val="24"/>
                <w:szCs w:val="28"/>
              </w:rPr>
              <w:t>Інші статті витрат (проєктування робіт, благоустрій тощо)</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A98A66E"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2,8</w:t>
            </w:r>
          </w:p>
        </w:tc>
        <w:tc>
          <w:tcPr>
            <w:tcW w:w="1694" w:type="dxa"/>
            <w:tcBorders>
              <w:top w:val="single" w:sz="4" w:space="0" w:color="auto"/>
              <w:left w:val="single" w:sz="4" w:space="0" w:color="auto"/>
              <w:bottom w:val="single" w:sz="4" w:space="0" w:color="auto"/>
              <w:right w:val="single" w:sz="4" w:space="0" w:color="auto"/>
            </w:tcBorders>
            <w:vAlign w:val="center"/>
            <w:hideMark/>
          </w:tcPr>
          <w:p w14:paraId="0D35969E"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120,0</w:t>
            </w:r>
          </w:p>
        </w:tc>
      </w:tr>
      <w:tr w:rsidR="00F37DCB" w14:paraId="18572642" w14:textId="77777777" w:rsidTr="006602C1">
        <w:tc>
          <w:tcPr>
            <w:tcW w:w="6091" w:type="dxa"/>
            <w:tcBorders>
              <w:top w:val="single" w:sz="4" w:space="0" w:color="auto"/>
              <w:left w:val="single" w:sz="4" w:space="0" w:color="auto"/>
              <w:bottom w:val="single" w:sz="4" w:space="0" w:color="auto"/>
              <w:right w:val="single" w:sz="4" w:space="0" w:color="auto"/>
            </w:tcBorders>
            <w:hideMark/>
          </w:tcPr>
          <w:p w14:paraId="356AB513" w14:textId="77777777" w:rsidR="006602C1" w:rsidRPr="006602C1" w:rsidRDefault="00000000" w:rsidP="006602C1">
            <w:pPr>
              <w:tabs>
                <w:tab w:val="left" w:pos="851"/>
              </w:tabs>
              <w:jc w:val="both"/>
              <w:rPr>
                <w:rFonts w:ascii="Times New Roman" w:hAnsi="Times New Roman"/>
                <w:b/>
                <w:bCs/>
                <w:sz w:val="24"/>
                <w:szCs w:val="28"/>
              </w:rPr>
            </w:pPr>
            <w:r w:rsidRPr="006602C1">
              <w:rPr>
                <w:rFonts w:ascii="Times New Roman" w:hAnsi="Times New Roman"/>
                <w:b/>
                <w:bCs/>
                <w:sz w:val="24"/>
                <w:szCs w:val="28"/>
              </w:rPr>
              <w:t>Всього</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9B172EA" w14:textId="77777777" w:rsidR="006602C1" w:rsidRPr="006602C1" w:rsidRDefault="00000000" w:rsidP="006602C1">
            <w:pPr>
              <w:tabs>
                <w:tab w:val="left" w:pos="851"/>
              </w:tabs>
              <w:jc w:val="right"/>
              <w:rPr>
                <w:rFonts w:ascii="Times New Roman" w:hAnsi="Times New Roman"/>
                <w:sz w:val="24"/>
                <w:szCs w:val="28"/>
              </w:rPr>
            </w:pPr>
            <w:r w:rsidRPr="006602C1">
              <w:rPr>
                <w:rFonts w:ascii="Times New Roman" w:hAnsi="Times New Roman"/>
                <w:sz w:val="24"/>
                <w:szCs w:val="28"/>
              </w:rPr>
              <w:t>29,7</w:t>
            </w:r>
          </w:p>
        </w:tc>
        <w:tc>
          <w:tcPr>
            <w:tcW w:w="1694" w:type="dxa"/>
            <w:tcBorders>
              <w:top w:val="single" w:sz="4" w:space="0" w:color="auto"/>
              <w:left w:val="single" w:sz="4" w:space="0" w:color="auto"/>
              <w:bottom w:val="single" w:sz="4" w:space="0" w:color="auto"/>
              <w:right w:val="single" w:sz="4" w:space="0" w:color="auto"/>
            </w:tcBorders>
            <w:vAlign w:val="center"/>
            <w:hideMark/>
          </w:tcPr>
          <w:p w14:paraId="0792731F" w14:textId="77777777" w:rsidR="006602C1" w:rsidRPr="006602C1" w:rsidRDefault="00000000" w:rsidP="006602C1">
            <w:pPr>
              <w:tabs>
                <w:tab w:val="left" w:pos="851"/>
              </w:tabs>
              <w:jc w:val="right"/>
              <w:rPr>
                <w:rFonts w:ascii="Times New Roman" w:hAnsi="Times New Roman"/>
                <w:b/>
                <w:bCs/>
                <w:sz w:val="24"/>
                <w:szCs w:val="28"/>
              </w:rPr>
            </w:pPr>
            <w:r w:rsidRPr="006602C1">
              <w:rPr>
                <w:rFonts w:ascii="Times New Roman" w:hAnsi="Times New Roman"/>
                <w:sz w:val="24"/>
                <w:szCs w:val="28"/>
              </w:rPr>
              <w:t>1260,0</w:t>
            </w:r>
          </w:p>
        </w:tc>
      </w:tr>
    </w:tbl>
    <w:p w14:paraId="62637C14" w14:textId="77777777" w:rsidR="006602C1" w:rsidRPr="006602C1" w:rsidRDefault="00000000" w:rsidP="006602C1">
      <w:pPr>
        <w:tabs>
          <w:tab w:val="left" w:pos="851"/>
        </w:tabs>
        <w:spacing w:line="240" w:lineRule="auto"/>
        <w:jc w:val="both"/>
        <w:rPr>
          <w:rFonts w:ascii="Times New Roman" w:eastAsia="Calibri" w:hAnsi="Times New Roman" w:cs="Times New Roman"/>
          <w:kern w:val="2"/>
          <w:sz w:val="24"/>
          <w:szCs w:val="28"/>
          <w:lang w:eastAsia="en-US"/>
          <w14:ligatures w14:val="standardContextual"/>
        </w:rPr>
      </w:pPr>
      <w:r w:rsidRPr="006602C1">
        <w:rPr>
          <w:rFonts w:ascii="Times New Roman" w:eastAsia="Calibri" w:hAnsi="Times New Roman" w:cs="Times New Roman"/>
          <w:i/>
          <w:iCs/>
          <w:kern w:val="2"/>
          <w:sz w:val="24"/>
          <w:szCs w:val="28"/>
          <w:vertAlign w:val="superscript"/>
          <w:lang w:eastAsia="en-US"/>
          <w14:ligatures w14:val="standardContextual"/>
        </w:rPr>
        <w:t>*</w:t>
      </w:r>
      <w:r w:rsidRPr="006602C1">
        <w:rPr>
          <w:rFonts w:ascii="Times New Roman" w:eastAsia="Calibri" w:hAnsi="Times New Roman" w:cs="Times New Roman"/>
          <w:i/>
          <w:iCs/>
          <w:kern w:val="2"/>
          <w:sz w:val="24"/>
          <w:szCs w:val="28"/>
          <w:lang w:eastAsia="en-US"/>
          <w14:ligatures w14:val="standardContextual"/>
        </w:rPr>
        <w:t>Примітка</w:t>
      </w:r>
      <w:r w:rsidRPr="006602C1">
        <w:rPr>
          <w:rFonts w:ascii="Times New Roman" w:eastAsia="Calibri" w:hAnsi="Times New Roman" w:cs="Times New Roman"/>
          <w:kern w:val="2"/>
          <w:sz w:val="24"/>
          <w:szCs w:val="28"/>
          <w:lang w:eastAsia="en-US"/>
          <w14:ligatures w14:val="standardContextual"/>
        </w:rPr>
        <w:t>: витрати розраховані за офіційним курсом НБУ станом на 25.11.25 р., який складає 42,3713 грн за долар США.</w:t>
      </w:r>
    </w:p>
    <w:p w14:paraId="1D9BFDC2" w14:textId="77777777" w:rsidR="006602C1" w:rsidRPr="006602C1" w:rsidRDefault="00000000" w:rsidP="006602C1">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 кожною статтею витрат цього проєкту, дані будуть уточнені та відкориговані по мірі побудови і реалізації проєкту та з урахуванням складеної остаточної проєктно-кошторисної документації.</w:t>
      </w:r>
    </w:p>
    <w:p w14:paraId="0462C3F0" w14:textId="77777777" w:rsidR="006602C1" w:rsidRPr="006602C1" w:rsidRDefault="00000000" w:rsidP="006602C1">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Схема фінансування</w:t>
      </w:r>
      <w:r w:rsidRPr="006602C1">
        <w:rPr>
          <w:rFonts w:ascii="Times New Roman" w:eastAsia="Calibri" w:hAnsi="Times New Roman" w:cs="Times New Roman"/>
          <w:kern w:val="2"/>
          <w:sz w:val="28"/>
          <w:szCs w:val="28"/>
          <w:lang w:eastAsia="en-US"/>
          <w14:ligatures w14:val="standardContextual"/>
        </w:rPr>
        <w:t xml:space="preserve">. Схема фінансування індустріального парку передбачає поступове надходження фінансових ресурсів з різних джерел. У проєкті передбачено використання декількох джерел фінансування, а саме: </w:t>
      </w:r>
    </w:p>
    <w:p w14:paraId="5C03741A"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власні фінансові надходження ініціатора створення індустріального парку; </w:t>
      </w:r>
    </w:p>
    <w:p w14:paraId="0B89DFD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державне стимулювання від Мінекономіки за рахунок коштів, передбачених  за бюджетною програмою “Державне стимулювання створення індустріальних парків” (до 150 млн грн на один ІП)</w:t>
      </w:r>
      <w:r>
        <w:rPr>
          <w:rFonts w:ascii="Times New Roman" w:eastAsia="Calibri" w:hAnsi="Times New Roman" w:cs="Times New Roman"/>
          <w:kern w:val="2"/>
          <w:sz w:val="28"/>
          <w:szCs w:val="28"/>
          <w:vertAlign w:val="superscript"/>
          <w:lang w:eastAsia="en-US"/>
          <w14:ligatures w14:val="standardContextual"/>
        </w:rPr>
        <w:footnoteReference w:id="1"/>
      </w:r>
      <w:r w:rsidRPr="006602C1">
        <w:rPr>
          <w:rFonts w:ascii="Times New Roman" w:eastAsia="Calibri" w:hAnsi="Times New Roman" w:cs="Times New Roman"/>
          <w:kern w:val="2"/>
          <w:sz w:val="28"/>
          <w:szCs w:val="28"/>
          <w:lang w:eastAsia="en-US"/>
          <w14:ligatures w14:val="standardContextual"/>
        </w:rPr>
        <w:t xml:space="preserve">; </w:t>
      </w:r>
    </w:p>
    <w:p w14:paraId="435CFF24"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інвестиції учасників парку у будівництво власного виробництва.</w:t>
      </w:r>
    </w:p>
    <w:p w14:paraId="61B4DF38"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Фінансування першого етапу — розроблення проєктно-кошторисної документації для інженерних мереж, доріг та вертикального планування території — здійснюватиметься за кошти ініціатора. Після цього документація стане основою для залучення державної підтримки в рамках програм Міністерства економіки, довкілля та сільського господарства.</w:t>
      </w:r>
    </w:p>
    <w:p w14:paraId="72E44AB2"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На цьому етапі також планується укладення угод з першими учасниками парку. Наступні етапи реалізації проєкту фінансуватимуться за рахунок:</w:t>
      </w:r>
    </w:p>
    <w:p w14:paraId="3B128953"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проєктного фінансування від учасників та інших суб’єктів парку,</w:t>
      </w:r>
    </w:p>
    <w:p w14:paraId="512AF5F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кредитних ресурсів банків або інвестиційних фондів.</w:t>
      </w:r>
    </w:p>
    <w:p w14:paraId="782AE323"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Така схема буде застосовуватися і для подальших черг будівництва.</w:t>
      </w:r>
    </w:p>
    <w:p w14:paraId="2058B0D3" w14:textId="77777777" w:rsidR="006602C1" w:rsidRPr="006602C1" w:rsidRDefault="00000000" w:rsidP="006602C1">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Державне стимулювання</w:t>
      </w:r>
      <w:r w:rsidRPr="006602C1">
        <w:rPr>
          <w:rFonts w:ascii="Times New Roman" w:eastAsia="Calibri" w:hAnsi="Times New Roman" w:cs="Times New Roman"/>
          <w:kern w:val="2"/>
          <w:sz w:val="28"/>
          <w:szCs w:val="28"/>
          <w:lang w:eastAsia="en-US"/>
          <w14:ligatures w14:val="standardContextual"/>
        </w:rPr>
        <w:t>. Згідно з Постановою КМУ від 4 червня 2024 р. № 644 «Деякі питання державного стимулювання створення та функціонування індустріальних парків», державне стимулювання індустріальних парків може надаватися одному заявнику на загальну суму, що не перевищує 150 млн грн і 50% кошторисної вартості проєкту облаштування та/або витрат на приєднання до інженерно-транспортних мереж, а у разі розташування індустріаль</w:t>
      </w:r>
      <w:r w:rsidRPr="006602C1">
        <w:rPr>
          <w:rFonts w:ascii="Times New Roman" w:eastAsia="Calibri" w:hAnsi="Times New Roman" w:cs="Times New Roman"/>
          <w:kern w:val="2"/>
          <w:sz w:val="28"/>
          <w:szCs w:val="28"/>
          <w:lang w:eastAsia="en-US"/>
          <w14:ligatures w14:val="standardContextual"/>
        </w:rPr>
        <w:softHyphen/>
        <w:t>ного парку на деокупованій території – у розмірі 80%.</w:t>
      </w:r>
    </w:p>
    <w:p w14:paraId="058452EA"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Оскільки оціночна вартість облаштування інженерно-транспортної інфраструктури парку становить 300 млн гривень, ініціатор проєкту планує залучити 50% коштів (150 млн гривень) через механізми державного стимулювання. Ці кошти будуть спрямовані на будівництво інженерних комунікацій та дорожньої інфраструктури. Залучення фінансування здійснювати</w:t>
      </w:r>
      <w:r w:rsidRPr="006602C1">
        <w:rPr>
          <w:rFonts w:ascii="Times New Roman" w:eastAsia="Calibri" w:hAnsi="Times New Roman" w:cs="Times New Roman"/>
          <w:kern w:val="2"/>
          <w:sz w:val="28"/>
          <w:szCs w:val="28"/>
          <w:lang w:eastAsia="en-US"/>
          <w14:ligatures w14:val="standardContextual"/>
        </w:rPr>
        <w:softHyphen/>
        <w:t>меться самостійно або за участі керуючої компанії.</w:t>
      </w:r>
    </w:p>
    <w:p w14:paraId="406DA0B1"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За рахунок учасників індустріального парку планується залучити інвестиції в будівництво своїх промислових об’єктів на суму </w:t>
      </w:r>
      <w:r w:rsidRPr="006602C1">
        <w:rPr>
          <w:rFonts w:ascii="Times New Roman" w:eastAsia="Calibri" w:hAnsi="Times New Roman" w:cs="Times New Roman"/>
          <w:b/>
          <w:bCs/>
          <w:kern w:val="2"/>
          <w:sz w:val="28"/>
          <w:szCs w:val="28"/>
          <w:lang w:eastAsia="en-US"/>
          <w14:ligatures w14:val="standardContextual"/>
        </w:rPr>
        <w:t>960 млн грн</w:t>
      </w:r>
      <w:r w:rsidRPr="006602C1">
        <w:rPr>
          <w:rFonts w:ascii="Times New Roman" w:eastAsia="Calibri" w:hAnsi="Times New Roman" w:cs="Times New Roman"/>
          <w:kern w:val="2"/>
          <w:sz w:val="28"/>
          <w:szCs w:val="28"/>
          <w:lang w:eastAsia="en-US"/>
          <w14:ligatures w14:val="standardContextual"/>
        </w:rPr>
        <w:t xml:space="preserve">. </w:t>
      </w:r>
    </w:p>
    <w:p w14:paraId="48BA7D4B"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Представлені обсяги та розподіл фінансування з різних джерел є попередніми і будуть корегуватись у процесі розбудови індустріального парку (табл. 10).</w:t>
      </w:r>
    </w:p>
    <w:p w14:paraId="35657BAA" w14:textId="77777777" w:rsidR="006602C1" w:rsidRDefault="00000000" w:rsidP="006602C1">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Табл. 10.</w:t>
      </w:r>
      <w:r w:rsidRPr="006602C1">
        <w:rPr>
          <w:rFonts w:ascii="Times New Roman" w:eastAsia="Calibri" w:hAnsi="Times New Roman" w:cs="Times New Roman"/>
          <w:kern w:val="2"/>
          <w:sz w:val="28"/>
          <w:szCs w:val="28"/>
          <w:lang w:eastAsia="en-US"/>
          <w14:ligatures w14:val="standardContextual"/>
        </w:rPr>
        <w:t xml:space="preserve"> План розподілу джерел фінансування проєкту ІП «БУДШЛЯХМАШ»</w:t>
      </w:r>
    </w:p>
    <w:p w14:paraId="1146054C" w14:textId="77777777" w:rsidR="00E27A66" w:rsidRPr="006602C1" w:rsidRDefault="00E27A66" w:rsidP="006602C1">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p>
    <w:tbl>
      <w:tblPr>
        <w:tblStyle w:val="10"/>
        <w:tblW w:w="0" w:type="auto"/>
        <w:jc w:val="center"/>
        <w:tblLook w:val="04A0" w:firstRow="1" w:lastRow="0" w:firstColumn="1" w:lastColumn="0" w:noHBand="0" w:noVBand="1"/>
      </w:tblPr>
      <w:tblGrid>
        <w:gridCol w:w="5665"/>
        <w:gridCol w:w="1560"/>
      </w:tblGrid>
      <w:tr w:rsidR="00F37DCB" w14:paraId="4BC645E4" w14:textId="77777777" w:rsidTr="00852A1F">
        <w:trPr>
          <w:trHeight w:val="675"/>
          <w:jc w:val="center"/>
        </w:trPr>
        <w:tc>
          <w:tcPr>
            <w:tcW w:w="5665"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645F499" w14:textId="77777777" w:rsidR="006602C1" w:rsidRPr="006602C1" w:rsidRDefault="00000000" w:rsidP="00852A1F">
            <w:pPr>
              <w:tabs>
                <w:tab w:val="left" w:pos="851"/>
              </w:tabs>
              <w:jc w:val="center"/>
              <w:rPr>
                <w:rFonts w:ascii="Times New Roman" w:hAnsi="Times New Roman"/>
                <w:b/>
                <w:bCs/>
                <w:sz w:val="24"/>
                <w:szCs w:val="28"/>
              </w:rPr>
            </w:pPr>
            <w:r w:rsidRPr="006602C1">
              <w:rPr>
                <w:rFonts w:ascii="Times New Roman" w:hAnsi="Times New Roman"/>
                <w:b/>
                <w:bCs/>
                <w:sz w:val="24"/>
                <w:szCs w:val="28"/>
              </w:rPr>
              <w:t>Джерела фінансування</w:t>
            </w:r>
          </w:p>
        </w:tc>
        <w:tc>
          <w:tcPr>
            <w:tcW w:w="156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4C57012" w14:textId="77777777" w:rsidR="006602C1" w:rsidRPr="006602C1" w:rsidRDefault="00000000" w:rsidP="00852A1F">
            <w:pPr>
              <w:tabs>
                <w:tab w:val="left" w:pos="851"/>
              </w:tabs>
              <w:jc w:val="center"/>
              <w:rPr>
                <w:rFonts w:ascii="Times New Roman" w:hAnsi="Times New Roman"/>
                <w:b/>
                <w:bCs/>
                <w:sz w:val="24"/>
                <w:szCs w:val="28"/>
              </w:rPr>
            </w:pPr>
            <w:r w:rsidRPr="006602C1">
              <w:rPr>
                <w:rFonts w:ascii="Times New Roman" w:hAnsi="Times New Roman"/>
                <w:b/>
                <w:bCs/>
                <w:sz w:val="24"/>
                <w:szCs w:val="28"/>
              </w:rPr>
              <w:t>Всього,</w:t>
            </w:r>
          </w:p>
          <w:p w14:paraId="256917E4" w14:textId="77777777" w:rsidR="006602C1" w:rsidRPr="006602C1" w:rsidRDefault="00000000" w:rsidP="00852A1F">
            <w:pPr>
              <w:tabs>
                <w:tab w:val="left" w:pos="851"/>
              </w:tabs>
              <w:jc w:val="center"/>
              <w:rPr>
                <w:rFonts w:ascii="Times New Roman" w:hAnsi="Times New Roman"/>
                <w:b/>
                <w:bCs/>
                <w:sz w:val="24"/>
                <w:szCs w:val="28"/>
              </w:rPr>
            </w:pPr>
            <w:r w:rsidRPr="006602C1">
              <w:rPr>
                <w:rFonts w:ascii="Times New Roman" w:hAnsi="Times New Roman"/>
                <w:b/>
                <w:bCs/>
                <w:sz w:val="24"/>
                <w:szCs w:val="28"/>
              </w:rPr>
              <w:t>млн грн</w:t>
            </w:r>
          </w:p>
        </w:tc>
      </w:tr>
      <w:tr w:rsidR="00F37DCB" w14:paraId="3B2FEC30" w14:textId="77777777" w:rsidTr="00852A1F">
        <w:trPr>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10742149" w14:textId="77777777" w:rsidR="006602C1" w:rsidRPr="006602C1" w:rsidRDefault="00000000" w:rsidP="00852A1F">
            <w:pPr>
              <w:tabs>
                <w:tab w:val="left" w:pos="851"/>
              </w:tabs>
              <w:jc w:val="center"/>
              <w:rPr>
                <w:rFonts w:ascii="Times New Roman" w:hAnsi="Times New Roman"/>
                <w:sz w:val="24"/>
                <w:szCs w:val="28"/>
              </w:rPr>
            </w:pPr>
            <w:r w:rsidRPr="006602C1">
              <w:rPr>
                <w:rFonts w:ascii="Times New Roman" w:hAnsi="Times New Roman"/>
                <w:sz w:val="24"/>
                <w:szCs w:val="28"/>
              </w:rPr>
              <w:t>Ініціатор</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22D9EBF" w14:textId="77777777" w:rsidR="006602C1" w:rsidRPr="006602C1" w:rsidRDefault="00000000" w:rsidP="00852A1F">
            <w:pPr>
              <w:tabs>
                <w:tab w:val="left" w:pos="851"/>
              </w:tabs>
              <w:jc w:val="center"/>
              <w:rPr>
                <w:rFonts w:ascii="Times New Roman" w:hAnsi="Times New Roman"/>
                <w:sz w:val="24"/>
                <w:szCs w:val="28"/>
              </w:rPr>
            </w:pPr>
            <w:r w:rsidRPr="006602C1">
              <w:rPr>
                <w:rFonts w:ascii="Times New Roman" w:hAnsi="Times New Roman"/>
                <w:sz w:val="24"/>
                <w:szCs w:val="28"/>
              </w:rPr>
              <w:t>150,0</w:t>
            </w:r>
          </w:p>
        </w:tc>
      </w:tr>
      <w:tr w:rsidR="00F37DCB" w14:paraId="53E21AD0" w14:textId="77777777" w:rsidTr="00852A1F">
        <w:trPr>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3884CF5F" w14:textId="77777777" w:rsidR="006602C1" w:rsidRPr="006602C1" w:rsidRDefault="00000000" w:rsidP="00852A1F">
            <w:pPr>
              <w:tabs>
                <w:tab w:val="left" w:pos="851"/>
              </w:tabs>
              <w:jc w:val="center"/>
              <w:rPr>
                <w:rFonts w:ascii="Times New Roman" w:hAnsi="Times New Roman"/>
                <w:sz w:val="24"/>
                <w:szCs w:val="28"/>
              </w:rPr>
            </w:pPr>
            <w:r w:rsidRPr="006602C1">
              <w:rPr>
                <w:rFonts w:ascii="Times New Roman" w:hAnsi="Times New Roman"/>
                <w:sz w:val="24"/>
                <w:szCs w:val="28"/>
              </w:rPr>
              <w:t>Державне стимулювання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14327F" w14:textId="77777777" w:rsidR="006602C1" w:rsidRPr="006602C1" w:rsidRDefault="00000000" w:rsidP="00852A1F">
            <w:pPr>
              <w:tabs>
                <w:tab w:val="left" w:pos="851"/>
              </w:tabs>
              <w:jc w:val="center"/>
              <w:rPr>
                <w:rFonts w:ascii="Times New Roman" w:hAnsi="Times New Roman"/>
                <w:sz w:val="24"/>
                <w:szCs w:val="28"/>
              </w:rPr>
            </w:pPr>
            <w:r w:rsidRPr="006602C1">
              <w:rPr>
                <w:rFonts w:ascii="Times New Roman" w:hAnsi="Times New Roman"/>
                <w:sz w:val="24"/>
                <w:szCs w:val="28"/>
              </w:rPr>
              <w:t>150,0</w:t>
            </w:r>
          </w:p>
        </w:tc>
      </w:tr>
      <w:tr w:rsidR="00F37DCB" w14:paraId="3706CFA2" w14:textId="77777777" w:rsidTr="00852A1F">
        <w:trPr>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242B6DE3" w14:textId="77777777" w:rsidR="006602C1" w:rsidRPr="006602C1" w:rsidRDefault="00000000" w:rsidP="00852A1F">
            <w:pPr>
              <w:tabs>
                <w:tab w:val="left" w:pos="851"/>
              </w:tabs>
              <w:jc w:val="center"/>
              <w:rPr>
                <w:rFonts w:ascii="Times New Roman" w:hAnsi="Times New Roman"/>
                <w:sz w:val="24"/>
                <w:szCs w:val="28"/>
              </w:rPr>
            </w:pPr>
            <w:r w:rsidRPr="006602C1">
              <w:rPr>
                <w:rFonts w:ascii="Times New Roman" w:hAnsi="Times New Roman"/>
                <w:sz w:val="24"/>
                <w:szCs w:val="28"/>
              </w:rPr>
              <w:t>Учасники та інші суб’єкти індустріального парку (будівництво промислових й інших господарських об’єктів)</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236C84" w14:textId="77777777" w:rsidR="006602C1" w:rsidRPr="006602C1" w:rsidRDefault="00000000" w:rsidP="00852A1F">
            <w:pPr>
              <w:jc w:val="center"/>
              <w:rPr>
                <w:rFonts w:ascii="Times New Roman" w:hAnsi="Times New Roman"/>
                <w:sz w:val="24"/>
                <w:szCs w:val="28"/>
              </w:rPr>
            </w:pPr>
            <w:r w:rsidRPr="006602C1">
              <w:rPr>
                <w:rFonts w:ascii="Times New Roman" w:hAnsi="Times New Roman"/>
                <w:sz w:val="24"/>
                <w:szCs w:val="28"/>
              </w:rPr>
              <w:t>960,0</w:t>
            </w:r>
          </w:p>
        </w:tc>
      </w:tr>
      <w:tr w:rsidR="00F37DCB" w14:paraId="298FF23E" w14:textId="77777777" w:rsidTr="00852A1F">
        <w:trPr>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1B583EDD" w14:textId="77777777" w:rsidR="006602C1" w:rsidRPr="006602C1" w:rsidRDefault="00000000" w:rsidP="00852A1F">
            <w:pPr>
              <w:tabs>
                <w:tab w:val="left" w:pos="851"/>
              </w:tabs>
              <w:jc w:val="center"/>
              <w:rPr>
                <w:rFonts w:ascii="Times New Roman" w:hAnsi="Times New Roman"/>
                <w:b/>
                <w:bCs/>
                <w:sz w:val="24"/>
                <w:szCs w:val="28"/>
              </w:rPr>
            </w:pPr>
            <w:r w:rsidRPr="006602C1">
              <w:rPr>
                <w:rFonts w:ascii="Times New Roman" w:hAnsi="Times New Roman"/>
                <w:b/>
                <w:bCs/>
                <w:sz w:val="24"/>
                <w:szCs w:val="28"/>
              </w:rPr>
              <w:t>Разом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7062ED" w14:textId="77777777" w:rsidR="006602C1" w:rsidRPr="006602C1" w:rsidRDefault="00000000" w:rsidP="00852A1F">
            <w:pPr>
              <w:tabs>
                <w:tab w:val="left" w:pos="851"/>
              </w:tabs>
              <w:jc w:val="center"/>
              <w:rPr>
                <w:rFonts w:ascii="Times New Roman" w:hAnsi="Times New Roman"/>
                <w:b/>
                <w:bCs/>
                <w:sz w:val="24"/>
                <w:szCs w:val="28"/>
              </w:rPr>
            </w:pPr>
            <w:r w:rsidRPr="006602C1">
              <w:rPr>
                <w:rFonts w:ascii="Times New Roman" w:hAnsi="Times New Roman"/>
                <w:b/>
                <w:bCs/>
                <w:sz w:val="24"/>
                <w:szCs w:val="28"/>
              </w:rPr>
              <w:t>1260,0</w:t>
            </w:r>
          </w:p>
        </w:tc>
      </w:tr>
    </w:tbl>
    <w:p w14:paraId="124D0DB1" w14:textId="77777777" w:rsidR="006602C1" w:rsidRPr="006602C1" w:rsidRDefault="006602C1"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112F89F" w14:textId="77777777" w:rsidR="006602C1" w:rsidRPr="006602C1" w:rsidRDefault="00000000" w:rsidP="006602C1">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6602C1">
        <w:rPr>
          <w:rFonts w:ascii="Times New Roman" w:eastAsia="Calibri" w:hAnsi="Times New Roman" w:cs="Times New Roman"/>
          <w:b/>
          <w:bCs/>
          <w:kern w:val="2"/>
          <w:sz w:val="28"/>
          <w:szCs w:val="28"/>
          <w:lang w:eastAsia="en-US"/>
          <w14:ligatures w14:val="standardContextual"/>
        </w:rPr>
        <w:t>Трудові ресурси</w:t>
      </w:r>
    </w:p>
    <w:p w14:paraId="3FD8C3E1"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Очікувана потреба індустріального парку в трудових ресурсах складає 500 працівників.</w:t>
      </w:r>
    </w:p>
    <w:p w14:paraId="79DF5997"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 xml:space="preserve">Чисельність населення Київської області, за наявними статистичними даними, становить 1 млн 789 тис. осіб, у тому числі в Броварському районі – 242 тис. осіб. З них зайняте населення у віці 15–70 років становить 771,4 тис. осіб. Безробітне населення області, за методологією МОП, складає 48,4 тис. осіб. осіб. Середньомісячна заробітна плата штатних працівників, зайнятих в економіці області, за наявними оцінками, складала близько 26,5 тис. грн на липень 2025 р. </w:t>
      </w:r>
    </w:p>
    <w:p w14:paraId="087CE14E"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lastRenderedPageBreak/>
        <w:t>Київська обласна служба зайнятості активно співпрацює з роботодавцями, надаючи фінансову підтримку для розвитку бізнесу та створення нових робочих місць. Станом на серпень 2025 року, партнерські відносини встановлено з 4333 роботодавцями регіону, з яких 4175 подавали вакансії, 797 скористалися активними програмами сприяння зайнятості.</w:t>
      </w:r>
    </w:p>
    <w:p w14:paraId="39DC3318"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За перші сім місяців 2025 року на реалізацію програм підтримки бізнесу в регіоні через державну службу зайнятості спрямовано понад 200 млн гривень державного фінансування.</w:t>
      </w:r>
    </w:p>
    <w:p w14:paraId="4FA0FDAE"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Серед ключових програм компенсацій для роботодавців Київщини:</w:t>
      </w:r>
    </w:p>
    <w:p w14:paraId="6E30CD81"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компенсація єдиного соціального внеску (ЄСВ) за працевлаштування безробітних;</w:t>
      </w:r>
    </w:p>
    <w:p w14:paraId="6148D123"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відшкодування мінімальної заробітної плати за працевлаштування внутрішньо переміщених осіб (ВПО);</w:t>
      </w:r>
    </w:p>
    <w:p w14:paraId="418C0E8C"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компенсація витрат на облаштування робочих місць для людей з інвалідністю;</w:t>
      </w:r>
    </w:p>
    <w:p w14:paraId="3516DABD"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фінансова підтримка за працевлаштування зареєстрованих безробітних із соціально вразливих категорій.</w:t>
      </w:r>
    </w:p>
    <w:p w14:paraId="48D2623F" w14:textId="77777777" w:rsidR="006602C1" w:rsidRPr="006602C1"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Наведені дані свідчать про значний потенціал ринку праці Київської області, що створює сприятливі умови для найму кваліфікованих фахівців промисловими підприємствами. Це є важливою передумовою успішної реалізації інвестиційних проєктів, зокрема в індустріальних парках.</w:t>
      </w:r>
    </w:p>
    <w:p w14:paraId="4A0FDFB5" w14:textId="77777777" w:rsidR="006602C1" w:rsidRPr="006602C1" w:rsidRDefault="00000000" w:rsidP="006602C1">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bookmarkStart w:id="13" w:name="_Toc194054633"/>
      <w:r w:rsidRPr="006602C1">
        <w:rPr>
          <w:rFonts w:ascii="Times New Roman" w:eastAsia="Times New Roman" w:hAnsi="Times New Roman" w:cs="Times New Roman"/>
          <w:b/>
          <w:kern w:val="2"/>
          <w:sz w:val="28"/>
          <w:szCs w:val="28"/>
          <w:lang w:eastAsia="en-US"/>
          <w14:ligatures w14:val="standardContextual"/>
        </w:rPr>
        <w:t xml:space="preserve"> Організаційна модель функціонування індустріального парку</w:t>
      </w:r>
      <w:bookmarkEnd w:id="13"/>
    </w:p>
    <w:p w14:paraId="5E05EDE8"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Індустріальний парк «БУДШЛЯХМАШ» створюється відповідно до вимог чинного законодавства, зокрема Закону України «Про індустріальні парки» та інших нормативно-правових актів, що регулюють порядок його заснування та діяльності.</w:t>
      </w:r>
    </w:p>
    <w:p w14:paraId="2484BE3E" w14:textId="77777777" w:rsidR="006602C1" w:rsidRP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Організаційна структура парку базуватиметься на трирівневій моделі управління, яка включає:</w:t>
      </w:r>
    </w:p>
    <w:p w14:paraId="138305A7"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ініціатора — засновника проєкту, відповідального за стратегічне планування та залучення інвестицій;</w:t>
      </w:r>
    </w:p>
    <w:p w14:paraId="247C82D4"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керуючу компанію — оператора, що забезпечує адміністрування, розвиток інфраструктури та координацію діяльності;</w:t>
      </w:r>
    </w:p>
    <w:p w14:paraId="57B3CA78" w14:textId="77777777" w:rsidR="006602C1" w:rsidRPr="006602C1" w:rsidRDefault="00000000" w:rsidP="006602C1">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учасників та інших суб’єктів — підприємств, які здійснюватимуть господарську діяльність на території парку.</w:t>
      </w:r>
    </w:p>
    <w:p w14:paraId="276B3410" w14:textId="77777777" w:rsidR="006602C1"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6602C1">
        <w:rPr>
          <w:rFonts w:ascii="Times New Roman" w:eastAsia="Calibri" w:hAnsi="Times New Roman" w:cs="Times New Roman"/>
          <w:kern w:val="2"/>
          <w:sz w:val="28"/>
          <w:szCs w:val="28"/>
          <w:lang w:eastAsia="en-US"/>
          <w14:ligatures w14:val="standardContextual"/>
        </w:rPr>
        <w:t>Права та обов’язки кожного елемента цієї структури чітко визначені, що гарантує прозорість, ефективність управління та дотримання законодавчих норм. Схема організаційної моделі індустріального парку «БУДШЛЯХМАШ» має наступний вигляд:</w:t>
      </w:r>
    </w:p>
    <w:p w14:paraId="56B914D1" w14:textId="77777777" w:rsidR="00852A1F" w:rsidRDefault="00000000"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Pr>
          <w:rFonts w:ascii="Times New Roman" w:eastAsia="Calibri" w:hAnsi="Times New Roman" w:cs="Times New Roman"/>
          <w:noProof/>
          <w:kern w:val="2"/>
          <w:sz w:val="28"/>
          <w:szCs w:val="28"/>
          <w:lang w:eastAsia="en-US"/>
          <w14:ligatures w14:val="standardContextual"/>
        </w:rPr>
        <w:lastRenderedPageBreak/>
        <w:drawing>
          <wp:inline distT="0" distB="0" distL="0" distR="0" wp14:anchorId="73372435" wp14:editId="2574FFC3">
            <wp:extent cx="5239385" cy="438577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242206" cy="4388135"/>
                    </a:xfrm>
                    <a:prstGeom prst="rect">
                      <a:avLst/>
                    </a:prstGeom>
                    <a:noFill/>
                  </pic:spPr>
                </pic:pic>
              </a:graphicData>
            </a:graphic>
          </wp:inline>
        </w:drawing>
      </w:r>
    </w:p>
    <w:p w14:paraId="156068F3" w14:textId="77777777" w:rsidR="00852A1F" w:rsidRDefault="00852A1F" w:rsidP="006602C1">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2EA6EFA5"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852A1F">
        <w:rPr>
          <w:rFonts w:ascii="Times New Roman" w:eastAsia="Calibri" w:hAnsi="Times New Roman" w:cs="Times New Roman"/>
          <w:kern w:val="2"/>
          <w:sz w:val="28"/>
          <w:szCs w:val="24"/>
          <w:lang w:eastAsia="en-US"/>
          <w14:ligatures w14:val="standardContextual"/>
        </w:rPr>
        <w:t>Діяльність ініціатора, керуючої компанії, учасників та інших суб’єктів індустріального парку «БУДШЛЯХМАШ» відповідатиме вимогам чинного законодавства України, включаючи Цивільний і Податковий кодекси, Земельний кодекс, Закон «Про індустріальні парки» та інші нормативно-правові акти. Крім того, їхня робота регулюватиметься концепцією парку, договором про його створення та функціонування (укладеним між ініціатором і керуючою компанією), а також окремими угодами про господарську діяльність, що укладати</w:t>
      </w:r>
      <w:r w:rsidRPr="00852A1F">
        <w:rPr>
          <w:rFonts w:ascii="Times New Roman" w:eastAsia="Calibri" w:hAnsi="Times New Roman" w:cs="Times New Roman"/>
          <w:kern w:val="2"/>
          <w:sz w:val="28"/>
          <w:szCs w:val="24"/>
          <w:lang w:eastAsia="en-US"/>
          <w14:ligatures w14:val="standardContextual"/>
        </w:rPr>
        <w:softHyphen/>
        <w:t>муться між керуючою компанією та учасниками.</w:t>
      </w:r>
    </w:p>
    <w:p w14:paraId="55445DB7" w14:textId="77777777" w:rsidR="00852A1F" w:rsidRPr="00852A1F" w:rsidRDefault="00000000" w:rsidP="00852A1F">
      <w:pPr>
        <w:spacing w:after="0" w:line="240" w:lineRule="auto"/>
        <w:ind w:firstLine="426"/>
        <w:jc w:val="both"/>
        <w:rPr>
          <w:rFonts w:ascii="Times New Roman" w:eastAsia="Calibri" w:hAnsi="Times New Roman" w:cs="Times New Roman"/>
          <w:kern w:val="2"/>
          <w:sz w:val="28"/>
          <w:szCs w:val="24"/>
          <w:lang w:eastAsia="en-US"/>
          <w14:ligatures w14:val="standardContextual"/>
        </w:rPr>
      </w:pPr>
      <w:r w:rsidRPr="00852A1F">
        <w:rPr>
          <w:rFonts w:ascii="Times New Roman" w:eastAsia="Calibri" w:hAnsi="Times New Roman" w:cs="Times New Roman"/>
          <w:b/>
          <w:bCs/>
          <w:kern w:val="2"/>
          <w:sz w:val="28"/>
          <w:szCs w:val="24"/>
          <w:lang w:eastAsia="en-US"/>
          <w14:ligatures w14:val="standardContextual"/>
        </w:rPr>
        <w:t>Ініціатором</w:t>
      </w:r>
      <w:r w:rsidRPr="00852A1F">
        <w:rPr>
          <w:rFonts w:ascii="Times New Roman" w:eastAsia="Calibri" w:hAnsi="Times New Roman" w:cs="Times New Roman"/>
          <w:kern w:val="2"/>
          <w:sz w:val="28"/>
          <w:szCs w:val="24"/>
          <w:lang w:eastAsia="en-US"/>
          <w14:ligatures w14:val="standardContextual"/>
        </w:rPr>
        <w:t xml:space="preserve"> створення індустріального парку є Товариство з обмеженою відповідальністю «АТОМІС».</w:t>
      </w:r>
    </w:p>
    <w:p w14:paraId="3ACC07FA"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852A1F">
        <w:rPr>
          <w:rFonts w:ascii="Times New Roman" w:eastAsia="Calibri" w:hAnsi="Times New Roman" w:cs="Times New Roman"/>
          <w:kern w:val="2"/>
          <w:sz w:val="28"/>
          <w:szCs w:val="24"/>
          <w:lang w:eastAsia="en-US"/>
          <w14:ligatures w14:val="standardContextual"/>
        </w:rPr>
        <w:t>Ініціатор індустріального парку має такі права та обов’язки:</w:t>
      </w:r>
    </w:p>
    <w:p w14:paraId="405ADB23"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розробляти та затверджувати концепцію парку, контролюючи її дотримання на всіх етапах реалізації проєкту; </w:t>
      </w:r>
    </w:p>
    <w:p w14:paraId="789594F8"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забезпечувати облаштування інфраструктури парку як за рахунок власних коштів, так і залучених інвестицій; </w:t>
      </w:r>
    </w:p>
    <w:p w14:paraId="1D80E455"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самостійно призначати керуючу компанію та встановлювати порядок взаємодії з нею;</w:t>
      </w:r>
    </w:p>
    <w:p w14:paraId="74C45CA1"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передати в оренду керуючій компанії земельну ділянку, виділену для створення парку, та контролювати стан переданого майна, запобігаючи його пошкодженню або вимагаючи відшкодування збитків у разі їх виникнення;</w:t>
      </w:r>
    </w:p>
    <w:p w14:paraId="2C227ED5"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lastRenderedPageBreak/>
        <w:t>надавати організаційну та консалтингову підтримку керуючій компанії та учасникам парку, а також раз на півроку отримувати звіти від керуючої компанії щодо ходу реалізації проєкту.</w:t>
      </w:r>
    </w:p>
    <w:p w14:paraId="42686C0C"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Ініціатор створення індустріального парку є орендарем земельної ділянки, тому керуюча компанія такого парку визначається ініціатором самостійно з письмовим повідомленням про це відповідного органу державної влади, органу місцевого самоврядування та орендодавця не пізніше трьох робочих днів. Земельна ділянка або її частини передаються ініціатором у суборенду безпосередньо учасникам відповідно умов договору оренди земельної ділянки.</w:t>
      </w:r>
    </w:p>
    <w:p w14:paraId="3B05EAD1"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Керуюча компанія</w:t>
      </w:r>
      <w:r w:rsidRPr="00852A1F">
        <w:rPr>
          <w:rFonts w:ascii="Times New Roman" w:eastAsia="Calibri" w:hAnsi="Times New Roman" w:cs="Times New Roman"/>
          <w:kern w:val="2"/>
          <w:sz w:val="28"/>
          <w:szCs w:val="28"/>
          <w:lang w:eastAsia="en-US"/>
          <w14:ligatures w14:val="standardContextual"/>
        </w:rPr>
        <w:t xml:space="preserve"> індустріального парку – це створена згідно із законодавством України юридична особа незалежно від організаційно-правової форми і вибрана відповідно до Закону України «Про індустріальні парки», з якою ініціатором створення парку укладений договір про створення та функціонування індустріального парку.</w:t>
      </w:r>
    </w:p>
    <w:p w14:paraId="6D0E2153"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До прав та обов’язків керуючої компанії належать:</w:t>
      </w:r>
    </w:p>
    <w:p w14:paraId="52215F58"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Управління активами — адміністрування земельних ділянок, будівель та інфраструктури парку.</w:t>
      </w:r>
    </w:p>
    <w:p w14:paraId="655385EA"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Залучення учасників та інших суб’єктів індустріального парку — відбір, переговори та укладення угод з потенційними учасниками парку.</w:t>
      </w:r>
    </w:p>
    <w:p w14:paraId="50453EC5"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Будівництво та розвиток інфраструктури — залучення підрядників для проєктування, будівництва та модернізації промислових об’єктів, інженерних мереж та комунікацій.</w:t>
      </w:r>
    </w:p>
    <w:p w14:paraId="0B85E077"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Експлуатація та технічне обслуговування — підтримка в робочому стані інженерних мереж, адміністративних і офісних приміщень.</w:t>
      </w:r>
    </w:p>
    <w:p w14:paraId="2A00E0FE"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Благоустрій та озеленення — обслуговування території, забезпечення чистоти, ландшафтного дизайну та екологічної збалансованості.</w:t>
      </w:r>
    </w:p>
    <w:p w14:paraId="7EC426BE"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Адміністративна та консалтингова підтримка — надання учасникам парку юридичного супроводу, інформаційних, PR- та консалтингових послуг.</w:t>
      </w:r>
    </w:p>
    <w:p w14:paraId="460F4940"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Звітність та дотримання вимог — подання звітів уповноваженим державним органам, моніторинг змін у законодавстві для забезпечення відповідності діяльності парку чинним нормам.</w:t>
      </w:r>
    </w:p>
    <w:p w14:paraId="5379EA66"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Координація та співпраця — налагодження взаємодії між учасниками парку для досягнення синергії та спільного розвитку.</w:t>
      </w:r>
    </w:p>
    <w:p w14:paraId="07223635"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Інноваційний розвиток — розробка та впровадження проєктів, спрямованих на підвищення конкурентоспроможності парку та його резидентів.</w:t>
      </w:r>
    </w:p>
    <w:p w14:paraId="468638FD"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Енергоефективність та екологічність — реалізація програм зменшення негативного впливу на довкілля та оптимізації ресурсів.</w:t>
      </w:r>
    </w:p>
    <w:p w14:paraId="2645226B"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Інформаційна політика — медійне висвітлення діяльності парку, просування його іміджу та досягнень учасників.</w:t>
      </w:r>
    </w:p>
    <w:p w14:paraId="45463AE9"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 xml:space="preserve">Учасник </w:t>
      </w:r>
      <w:r w:rsidRPr="00852A1F">
        <w:rPr>
          <w:rFonts w:ascii="Times New Roman" w:eastAsia="Calibri" w:hAnsi="Times New Roman" w:cs="Times New Roman"/>
          <w:kern w:val="2"/>
          <w:sz w:val="28"/>
          <w:szCs w:val="28"/>
          <w:lang w:eastAsia="en-US"/>
          <w14:ligatures w14:val="standardContextual"/>
        </w:rPr>
        <w:t xml:space="preserve">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 набув право на земельну ділянку та/або інший об’єкт (частину об’єкта) нерухомого майна у межах парку, уклав з керуючою </w:t>
      </w:r>
      <w:r w:rsidRPr="00852A1F">
        <w:rPr>
          <w:rFonts w:ascii="Times New Roman" w:eastAsia="Calibri" w:hAnsi="Times New Roman" w:cs="Times New Roman"/>
          <w:kern w:val="2"/>
          <w:sz w:val="28"/>
          <w:szCs w:val="28"/>
          <w:lang w:eastAsia="en-US"/>
          <w14:ligatures w14:val="standardContextual"/>
        </w:rPr>
        <w:lastRenderedPageBreak/>
        <w:t xml:space="preserve">компанією договір про здійснення господарської діяльності у межах парку відповідно до концепції індустріального парку та повинен здійснювати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в межах індустріального парку. </w:t>
      </w:r>
    </w:p>
    <w:p w14:paraId="324EE6E5"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Юридичні особи, які зареєстровані в межах індустріального парку, але здійснюють господарську діяльність поза сферою промислового виробництва, отримують статус «</w:t>
      </w:r>
      <w:r w:rsidRPr="00852A1F">
        <w:rPr>
          <w:rFonts w:ascii="Times New Roman" w:eastAsia="Calibri" w:hAnsi="Times New Roman" w:cs="Times New Roman"/>
          <w:b/>
          <w:bCs/>
          <w:kern w:val="2"/>
          <w:sz w:val="28"/>
          <w:szCs w:val="28"/>
          <w:lang w:eastAsia="en-US"/>
          <w14:ligatures w14:val="standardContextual"/>
        </w:rPr>
        <w:t>інші суб’єкти</w:t>
      </w:r>
      <w:r w:rsidRPr="00852A1F">
        <w:rPr>
          <w:rFonts w:ascii="Times New Roman" w:eastAsia="Calibri" w:hAnsi="Times New Roman" w:cs="Times New Roman"/>
          <w:kern w:val="2"/>
          <w:sz w:val="28"/>
          <w:szCs w:val="28"/>
          <w:lang w:eastAsia="en-US"/>
          <w14:ligatures w14:val="standardContextual"/>
        </w:rPr>
        <w:t xml:space="preserve"> індустріального парку». На відміну від учасників парку, вони не мають права на державну підтримку та пільги, передбачені законодавством для індустріальних парків.</w:t>
      </w:r>
    </w:p>
    <w:p w14:paraId="17FCA866"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Учасники та інші суб’єкти зобов’язані:</w:t>
      </w:r>
    </w:p>
    <w:p w14:paraId="52D5164A"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вести господарську діяльність відповідно до профілю парку та чинного законодавства.</w:t>
      </w:r>
    </w:p>
    <w:p w14:paraId="53C4E86D"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будувати та експлуатувати об’єкти основного призначення на переданих у (суб)оренду земельних ділянках та інфраструктурі.</w:t>
      </w:r>
    </w:p>
    <w:p w14:paraId="44158BBE"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дбати про стан активів — підтримувати в належному технічному та екологічному стані орендовані землі, споруди та комунікації.</w:t>
      </w:r>
    </w:p>
    <w:p w14:paraId="099ED251"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впроваджувати інновації — використовувати сучасні технології та екологічні практики для забезпечення сталості виробництва.</w:t>
      </w:r>
    </w:p>
    <w:p w14:paraId="2CF71C2F" w14:textId="77777777" w:rsidR="00852A1F" w:rsidRPr="00852A1F" w:rsidRDefault="00000000" w:rsidP="00852A1F">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співпрацювати з партнерами — взаємодіяти з іншими учасниками та суб’єктами парку для реалізації спільних ініціатив та розвитку кластеру.</w:t>
      </w:r>
    </w:p>
    <w:p w14:paraId="1F00F7BD"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Договір про здійснення господарської діяльності у межах індустріального парку</w:t>
      </w:r>
    </w:p>
    <w:p w14:paraId="032CDE23"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Договір про здійснення господарської діяльності у межах індустріального парку уклада</w:t>
      </w:r>
      <w:r w:rsidRPr="00852A1F">
        <w:rPr>
          <w:rFonts w:ascii="Times New Roman" w:eastAsia="Calibri" w:hAnsi="Times New Roman" w:cs="Times New Roman"/>
          <w:kern w:val="2"/>
          <w:sz w:val="28"/>
          <w:szCs w:val="28"/>
          <w:lang w:eastAsia="en-US"/>
          <w14:ligatures w14:val="standardContextual"/>
        </w:rPr>
        <w:softHyphen/>
        <w:t>ється між керуючою компанією та суб’єктом господарювання, який має намір набути статусу учасника/іншого суб’єкта індустріального парку. Об’єкти інженерно-транспортної інфраструк</w:t>
      </w:r>
      <w:r w:rsidRPr="00852A1F">
        <w:rPr>
          <w:rFonts w:ascii="Times New Roman" w:eastAsia="Calibri" w:hAnsi="Times New Roman" w:cs="Times New Roman"/>
          <w:kern w:val="2"/>
          <w:sz w:val="28"/>
          <w:szCs w:val="28"/>
          <w:lang w:eastAsia="en-US"/>
          <w14:ligatures w14:val="standardContextual"/>
        </w:rPr>
        <w:softHyphen/>
        <w:t>тури індустріального парку та інші об’єкти, розташовані у межах індустріального парку, які надані керуючій компанії у користування (управління), учасникам у власність не передаються. Учасник не має права передавати третім особам свої права та/або обов’язки за договором про здійснення господарської діяльності у межах індустріального парку. Договір про здійснення господарської діяльності у межах індустріального парку припиняється у разі закінчення строку, на який його укладено, якщо сторони не домовилися про інше. У разі ліквідації керуючої компанії, статус учасників залишається незмінним до підписання договорів про здійснення господарської діяльності у межах індустріального парку між новою керуючою компанією та учасниками у межах строку, на який створено індустріальний парк.</w:t>
      </w:r>
    </w:p>
    <w:p w14:paraId="6B529B56"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Основною умовою для учасників індустріального парку є обов’язкова реєстрація суб’єкта господарювання безпосередньо на його території. Крім того, потенційний учасник повинен укласти з керуючою компанією договір про господарську діяльність, що відповідає вимогам ст. 30 ЗУ «Про індустріальні парки». Серед інших ключових вимог — пріоритетне працевла</w:t>
      </w:r>
      <w:r w:rsidRPr="00852A1F">
        <w:rPr>
          <w:rFonts w:ascii="Times New Roman" w:eastAsia="Calibri" w:hAnsi="Times New Roman" w:cs="Times New Roman"/>
          <w:kern w:val="2"/>
          <w:sz w:val="28"/>
          <w:szCs w:val="28"/>
          <w:lang w:eastAsia="en-US"/>
          <w14:ligatures w14:val="standardContextual"/>
        </w:rPr>
        <w:softHyphen/>
        <w:t xml:space="preserve">штування </w:t>
      </w:r>
      <w:r w:rsidRPr="00852A1F">
        <w:rPr>
          <w:rFonts w:ascii="Times New Roman" w:eastAsia="Calibri" w:hAnsi="Times New Roman" w:cs="Times New Roman"/>
          <w:kern w:val="2"/>
          <w:sz w:val="28"/>
          <w:szCs w:val="28"/>
          <w:lang w:eastAsia="en-US"/>
          <w14:ligatures w14:val="standardContextual"/>
        </w:rPr>
        <w:lastRenderedPageBreak/>
        <w:t>громадян України, зокрема мешканців Броварської міської територіальної громади, міста Києва та Київської обл. Учасники зобов’язані виконувати свої інвестиційні зобов’язання, неухильно дотримуватися чинного законодавства — податкового, екологічного, земельного, інвестиційного та інших нормативно-правових актів.</w:t>
      </w:r>
    </w:p>
    <w:p w14:paraId="5B1E1C0B"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Перевага при відборі надаватиметься компаніям машинобудівного спрямування, стратегія розвитку яких передбачає впровадження інноваційних технологій — енергозбереження, низьковуглецеві рішення — та спрямована на постійне підвищення продуктивності праці та якості продукції.</w:t>
      </w:r>
    </w:p>
    <w:p w14:paraId="2D26AED5" w14:textId="77777777" w:rsidR="00852A1F" w:rsidRPr="00852A1F" w:rsidRDefault="00000000" w:rsidP="00852A1F">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bookmarkStart w:id="14" w:name="_Toc194054634"/>
      <w:r w:rsidRPr="00852A1F">
        <w:rPr>
          <w:rFonts w:ascii="Times New Roman" w:eastAsia="Times New Roman" w:hAnsi="Times New Roman" w:cs="Times New Roman"/>
          <w:b/>
          <w:kern w:val="2"/>
          <w:sz w:val="28"/>
          <w:szCs w:val="28"/>
          <w:lang w:eastAsia="en-US"/>
          <w14:ligatures w14:val="standardContextual"/>
        </w:rPr>
        <w:t xml:space="preserve">  Очікувані результати функціонування індустріального парку</w:t>
      </w:r>
      <w:bookmarkEnd w:id="14"/>
    </w:p>
    <w:p w14:paraId="400DFD3E"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Створення індустріального парку принесе значні </w:t>
      </w:r>
      <w:r w:rsidRPr="00852A1F">
        <w:rPr>
          <w:rFonts w:ascii="Times New Roman" w:eastAsia="Calibri" w:hAnsi="Times New Roman" w:cs="Times New Roman"/>
          <w:b/>
          <w:bCs/>
          <w:kern w:val="2"/>
          <w:sz w:val="28"/>
          <w:szCs w:val="28"/>
          <w:lang w:eastAsia="en-US"/>
          <w14:ligatures w14:val="standardContextual"/>
        </w:rPr>
        <w:t>економічні ефекти</w:t>
      </w:r>
      <w:r w:rsidRPr="00852A1F">
        <w:rPr>
          <w:rFonts w:ascii="Times New Roman" w:eastAsia="Calibri" w:hAnsi="Times New Roman" w:cs="Times New Roman"/>
          <w:kern w:val="2"/>
          <w:sz w:val="28"/>
          <w:szCs w:val="28"/>
          <w:lang w:eastAsia="en-US"/>
          <w14:ligatures w14:val="standardContextual"/>
        </w:rPr>
        <w:t xml:space="preserve"> для регіону і країни в цілому.</w:t>
      </w:r>
    </w:p>
    <w:p w14:paraId="73B90185"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По-перше, проєкт забезпечить притік інвестицій та створення нових робочих місць, що суттєво підвищить економічну активність і конкурентоспроможність регіону. По-друге, розбу</w:t>
      </w:r>
      <w:r w:rsidRPr="00852A1F">
        <w:rPr>
          <w:rFonts w:ascii="Times New Roman" w:eastAsia="Calibri" w:hAnsi="Times New Roman" w:cs="Times New Roman"/>
          <w:kern w:val="2"/>
          <w:sz w:val="28"/>
          <w:szCs w:val="28"/>
          <w:lang w:eastAsia="en-US"/>
          <w14:ligatures w14:val="standardContextual"/>
        </w:rPr>
        <w:softHyphen/>
        <w:t>дова сучасної інфраструктури — електропостачання, газопостачання, водозабезпечення та інші інженерно-транспортні комунікації — стане основою для розвитку не лише самого парку, а й прилеглих територій.</w:t>
      </w:r>
    </w:p>
    <w:p w14:paraId="1B7C4EE5"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По-третє, модернізація виробництва на базі новітніх технологій дозволить ефективніше використовувати природні і людські ресурси, сприяючи технологічному прогресу. По-четверте, сприятливе географічне розташування парку у поєднанні з конкурентними перевагами віт</w:t>
      </w:r>
      <w:r w:rsidRPr="00852A1F">
        <w:rPr>
          <w:rFonts w:ascii="Times New Roman" w:eastAsia="Calibri" w:hAnsi="Times New Roman" w:cs="Times New Roman"/>
          <w:kern w:val="2"/>
          <w:sz w:val="28"/>
          <w:szCs w:val="28"/>
          <w:lang w:eastAsia="en-US"/>
          <w14:ligatures w14:val="standardContextual"/>
        </w:rPr>
        <w:softHyphen/>
        <w:t>чизняної машинобудівної промисловості посилить експортний потенціал України, сприяючи зростанню обсягів товарного експорту.</w:t>
      </w:r>
    </w:p>
    <w:p w14:paraId="0AEB592C"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Нарешті, активізація бізнес-процесів завдяки індустріальному парку збільшить податкові надходження як до місцевого, так і до державного бюджету, зміцнюючи фінансову стійкість регіону.</w:t>
      </w:r>
    </w:p>
    <w:p w14:paraId="01C8A662"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Реалізація проєкту індустріального парку матиме вагомі </w:t>
      </w:r>
      <w:r w:rsidRPr="00852A1F">
        <w:rPr>
          <w:rFonts w:ascii="Times New Roman" w:eastAsia="Calibri" w:hAnsi="Times New Roman" w:cs="Times New Roman"/>
          <w:b/>
          <w:bCs/>
          <w:kern w:val="2"/>
          <w:sz w:val="28"/>
          <w:szCs w:val="28"/>
          <w:lang w:eastAsia="en-US"/>
          <w14:ligatures w14:val="standardContextual"/>
        </w:rPr>
        <w:t>соціальні наслідки</w:t>
      </w:r>
      <w:r w:rsidRPr="00852A1F">
        <w:rPr>
          <w:rFonts w:ascii="Times New Roman" w:eastAsia="Calibri" w:hAnsi="Times New Roman" w:cs="Times New Roman"/>
          <w:kern w:val="2"/>
          <w:sz w:val="28"/>
          <w:szCs w:val="28"/>
          <w:lang w:eastAsia="en-US"/>
          <w14:ligatures w14:val="standardContextual"/>
        </w:rPr>
        <w:t xml:space="preserve"> для регіону.</w:t>
      </w:r>
    </w:p>
    <w:p w14:paraId="09A3B653"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Зокрема, створення високооплачуваних робочих місць сприятиме зростанню доходів населення та поліпшенню його добробуту. Розвиток інфраструктури парку та підвищення стандартів праці піднімуть якість життя місцевих мешканців, роблячи регіон привабливішим для проживання.</w:t>
      </w:r>
    </w:p>
    <w:p w14:paraId="689654E3"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Крім того, організація освітніх програм і навчальних центрів у рамках парку сприятиме професійному зростанню місцевих кадрів, особливо серед активної молоді, забезпечуючи їх конкурентними навичками на ринку праці. Це, у свою чергу, зміцнить соціальну стабільність — завдяки зменшенню безробіття та міграції, а також формуванню стійкої економічної бази для розвитку громади.</w:t>
      </w:r>
    </w:p>
    <w:p w14:paraId="6A4364EA"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Індустріальний парк сприятиме позитивним </w:t>
      </w:r>
      <w:r w:rsidRPr="00852A1F">
        <w:rPr>
          <w:rFonts w:ascii="Times New Roman" w:eastAsia="Calibri" w:hAnsi="Times New Roman" w:cs="Times New Roman"/>
          <w:b/>
          <w:bCs/>
          <w:kern w:val="2"/>
          <w:sz w:val="28"/>
          <w:szCs w:val="28"/>
          <w:lang w:eastAsia="en-US"/>
          <w14:ligatures w14:val="standardContextual"/>
        </w:rPr>
        <w:t xml:space="preserve">екологічним трансформаціям </w:t>
      </w:r>
      <w:r w:rsidRPr="00852A1F">
        <w:rPr>
          <w:rFonts w:ascii="Times New Roman" w:eastAsia="Calibri" w:hAnsi="Times New Roman" w:cs="Times New Roman"/>
          <w:kern w:val="2"/>
          <w:sz w:val="28"/>
          <w:szCs w:val="28"/>
          <w:lang w:eastAsia="en-US"/>
          <w14:ligatures w14:val="standardContextual"/>
        </w:rPr>
        <w:t>у регіоні.</w:t>
      </w:r>
    </w:p>
    <w:p w14:paraId="36835B78"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По-перше, централізоване управління виробництвом дозволить мінімізувати негативний вплив на довкілля, зменшуючи обсяги відходів та викидів завдяки суворому контролю та оптимізації процесів. </w:t>
      </w:r>
    </w:p>
    <w:p w14:paraId="6858EB19"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lastRenderedPageBreak/>
        <w:t>По-друге, спільне використання ресурсів і інфраструктури підвищить ефективність споживання енергії та води, а також зменшить викиди парникових газів.</w:t>
      </w:r>
    </w:p>
    <w:p w14:paraId="36401C7D" w14:textId="77777777" w:rsid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По-третє, парк стане майданчиком для впровадження інноваційних екотехнологій — систем очищення стічних вод, переробки відходів та використання відновлюваних джерел енергії. Це не лише покращить екологічну ситуацію, а й забезпечить баланс між економічним зростанням і збереженням навколишнього середовища, сприяючи досягненню цілей сталого розвитку регіону.</w:t>
      </w:r>
    </w:p>
    <w:p w14:paraId="5491AB4B" w14:textId="77777777" w:rsidR="00852A1F" w:rsidRPr="00852A1F" w:rsidRDefault="00000000" w:rsidP="00852A1F">
      <w:pPr>
        <w:spacing w:after="0" w:line="240" w:lineRule="auto"/>
        <w:ind w:firstLine="567"/>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Кількість створених робочих місць</w:t>
      </w:r>
    </w:p>
    <w:p w14:paraId="73654BD0" w14:textId="77777777" w:rsid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За даними Організації Об'єднаних Націй з промислового розвитку (UNIDO) і вітчизняного досвіду, кожен гектар території індустріального парку (ІП) в середньому забезпечує створення близько 50 робочих місць. Цей показник включає працівників промислових підприємств, робітничих спеціальностей, офісного персоналу, фахівців логістики, складського господарства, а також співробітників керуючої компанії та тих, хто займається обслуговуванням учасників парку та його розвитком. Втім, беручи до уваги зростаючий рівень автоматизації виробництва на сучасному етапі у галузях, які відповідають функціональному призначенню індустріального парку, кількість створених робочих місць на території парку очікується з розрахунку близько 44 працівників на гектар. Таким чином, запланована кількість робочих місць, які будуть створені в індустріальному парку, оцінюється у 500 одиниць. Вони будуть створюватися поступово, у міру заповнення та розвитку парку. Орієнтовна динаміка створення робочих місць на території індустріального парку «БУДШЛЯХМАШ» наведена у таблиці 11.</w:t>
      </w:r>
    </w:p>
    <w:p w14:paraId="101A562A" w14:textId="77777777" w:rsidR="00852A1F" w:rsidRDefault="00000000" w:rsidP="00852A1F">
      <w:pPr>
        <w:tabs>
          <w:tab w:val="left" w:pos="851"/>
        </w:tabs>
        <w:spacing w:after="0" w:line="240" w:lineRule="auto"/>
        <w:jc w:val="center"/>
        <w:rPr>
          <w:rFonts w:ascii="Times New Roman" w:eastAsia="Calibri" w:hAnsi="Times New Roman" w:cs="Times New Roman"/>
          <w:kern w:val="2"/>
          <w:sz w:val="28"/>
          <w:szCs w:val="24"/>
          <w:lang w:eastAsia="en-US"/>
          <w14:ligatures w14:val="standardContextual"/>
        </w:rPr>
      </w:pPr>
      <w:r w:rsidRPr="00852A1F">
        <w:rPr>
          <w:rFonts w:ascii="Times New Roman" w:eastAsia="Calibri" w:hAnsi="Times New Roman" w:cs="Times New Roman"/>
          <w:b/>
          <w:bCs/>
          <w:kern w:val="2"/>
          <w:sz w:val="28"/>
          <w:szCs w:val="24"/>
          <w:lang w:eastAsia="en-US"/>
          <w14:ligatures w14:val="standardContextual"/>
        </w:rPr>
        <w:t>Табл. 11.</w:t>
      </w:r>
      <w:r w:rsidRPr="00852A1F">
        <w:rPr>
          <w:rFonts w:ascii="Times New Roman" w:eastAsia="Calibri" w:hAnsi="Times New Roman" w:cs="Times New Roman"/>
          <w:kern w:val="2"/>
          <w:sz w:val="28"/>
          <w:szCs w:val="24"/>
          <w:lang w:eastAsia="en-US"/>
          <w14:ligatures w14:val="standardContextual"/>
        </w:rPr>
        <w:t xml:space="preserve"> Прогнозна динаміка створення робочих місць в ІП «БУДШЛЯХМАШ»</w:t>
      </w:r>
    </w:p>
    <w:tbl>
      <w:tblPr>
        <w:tblStyle w:val="11"/>
        <w:tblW w:w="0" w:type="auto"/>
        <w:tblLook w:val="04A0" w:firstRow="1" w:lastRow="0" w:firstColumn="1" w:lastColumn="0" w:noHBand="0" w:noVBand="1"/>
      </w:tblPr>
      <w:tblGrid>
        <w:gridCol w:w="2917"/>
        <w:gridCol w:w="938"/>
        <w:gridCol w:w="939"/>
        <w:gridCol w:w="939"/>
        <w:gridCol w:w="938"/>
        <w:gridCol w:w="939"/>
        <w:gridCol w:w="939"/>
        <w:gridCol w:w="939"/>
      </w:tblGrid>
      <w:tr w:rsidR="00F37DCB" w14:paraId="7C3B4D4A"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shd w:val="clear" w:color="auto" w:fill="809EC2"/>
          </w:tcPr>
          <w:p w14:paraId="5D683670" w14:textId="77777777" w:rsidR="00852A1F" w:rsidRPr="00852A1F" w:rsidRDefault="00852A1F" w:rsidP="00852A1F">
            <w:pPr>
              <w:tabs>
                <w:tab w:val="left" w:pos="851"/>
              </w:tabs>
              <w:jc w:val="center"/>
              <w:rPr>
                <w:rFonts w:ascii="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1FD54D6"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EAC49AA"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292FA3D"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B96F444"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925A314"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3EE0FF5"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EE6EDBC"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198AE858"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0A1103CD"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vAlign w:val="center"/>
            <w:hideMark/>
          </w:tcPr>
          <w:p w14:paraId="49CB82F3"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155</w:t>
            </w:r>
          </w:p>
        </w:tc>
        <w:tc>
          <w:tcPr>
            <w:tcW w:w="951" w:type="dxa"/>
            <w:tcBorders>
              <w:top w:val="single" w:sz="4" w:space="0" w:color="auto"/>
              <w:left w:val="single" w:sz="4" w:space="0" w:color="auto"/>
              <w:bottom w:val="single" w:sz="4" w:space="0" w:color="auto"/>
              <w:right w:val="single" w:sz="4" w:space="0" w:color="auto"/>
            </w:tcBorders>
            <w:vAlign w:val="center"/>
            <w:hideMark/>
          </w:tcPr>
          <w:p w14:paraId="1F6B75F4"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235</w:t>
            </w:r>
          </w:p>
        </w:tc>
        <w:tc>
          <w:tcPr>
            <w:tcW w:w="951" w:type="dxa"/>
            <w:tcBorders>
              <w:top w:val="single" w:sz="4" w:space="0" w:color="auto"/>
              <w:left w:val="single" w:sz="4" w:space="0" w:color="auto"/>
              <w:bottom w:val="single" w:sz="4" w:space="0" w:color="auto"/>
              <w:right w:val="single" w:sz="4" w:space="0" w:color="auto"/>
            </w:tcBorders>
            <w:vAlign w:val="center"/>
            <w:hideMark/>
          </w:tcPr>
          <w:p w14:paraId="7898C4AA"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325</w:t>
            </w:r>
          </w:p>
        </w:tc>
        <w:tc>
          <w:tcPr>
            <w:tcW w:w="950" w:type="dxa"/>
            <w:tcBorders>
              <w:top w:val="single" w:sz="4" w:space="0" w:color="auto"/>
              <w:left w:val="single" w:sz="4" w:space="0" w:color="auto"/>
              <w:bottom w:val="single" w:sz="4" w:space="0" w:color="auto"/>
              <w:right w:val="single" w:sz="4" w:space="0" w:color="auto"/>
            </w:tcBorders>
            <w:vAlign w:val="center"/>
            <w:hideMark/>
          </w:tcPr>
          <w:p w14:paraId="17BDA25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14:paraId="6109FC15"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14:paraId="5718A3F8"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14:paraId="675741F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325</w:t>
            </w:r>
          </w:p>
        </w:tc>
      </w:tr>
      <w:tr w:rsidR="00F37DCB" w14:paraId="24A12559"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01002741"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vAlign w:val="center"/>
            <w:hideMark/>
          </w:tcPr>
          <w:p w14:paraId="7DEE8D53"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vAlign w:val="center"/>
            <w:hideMark/>
          </w:tcPr>
          <w:p w14:paraId="43B0A981"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70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B63A515"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80</w:t>
            </w:r>
          </w:p>
        </w:tc>
        <w:tc>
          <w:tcPr>
            <w:tcW w:w="950" w:type="dxa"/>
            <w:tcBorders>
              <w:top w:val="single" w:sz="4" w:space="0" w:color="auto"/>
              <w:left w:val="single" w:sz="4" w:space="0" w:color="auto"/>
              <w:bottom w:val="single" w:sz="4" w:space="0" w:color="auto"/>
              <w:right w:val="single" w:sz="4" w:space="0" w:color="auto"/>
            </w:tcBorders>
            <w:vAlign w:val="center"/>
            <w:hideMark/>
          </w:tcPr>
          <w:p w14:paraId="68C1140F"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80</w:t>
            </w:r>
          </w:p>
        </w:tc>
        <w:tc>
          <w:tcPr>
            <w:tcW w:w="951" w:type="dxa"/>
            <w:tcBorders>
              <w:top w:val="single" w:sz="4" w:space="0" w:color="auto"/>
              <w:left w:val="single" w:sz="4" w:space="0" w:color="auto"/>
              <w:bottom w:val="single" w:sz="4" w:space="0" w:color="auto"/>
              <w:right w:val="single" w:sz="4" w:space="0" w:color="auto"/>
            </w:tcBorders>
            <w:vAlign w:val="center"/>
            <w:hideMark/>
          </w:tcPr>
          <w:p w14:paraId="522B5FFC"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50E2CE6"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BDD520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80</w:t>
            </w:r>
          </w:p>
        </w:tc>
      </w:tr>
      <w:tr w:rsidR="00F37DCB" w14:paraId="504676A4"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55228765"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28B11325"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vAlign w:val="center"/>
            <w:hideMark/>
          </w:tcPr>
          <w:p w14:paraId="2C384A0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67CFBB6"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60</w:t>
            </w:r>
          </w:p>
        </w:tc>
        <w:tc>
          <w:tcPr>
            <w:tcW w:w="950" w:type="dxa"/>
            <w:tcBorders>
              <w:top w:val="single" w:sz="4" w:space="0" w:color="auto"/>
              <w:left w:val="single" w:sz="4" w:space="0" w:color="auto"/>
              <w:bottom w:val="single" w:sz="4" w:space="0" w:color="auto"/>
              <w:right w:val="single" w:sz="4" w:space="0" w:color="auto"/>
            </w:tcBorders>
            <w:vAlign w:val="center"/>
            <w:hideMark/>
          </w:tcPr>
          <w:p w14:paraId="03D130B0"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60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B4592ED"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60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722506A"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60</w:t>
            </w:r>
          </w:p>
        </w:tc>
        <w:tc>
          <w:tcPr>
            <w:tcW w:w="951" w:type="dxa"/>
            <w:tcBorders>
              <w:top w:val="single" w:sz="4" w:space="0" w:color="auto"/>
              <w:left w:val="single" w:sz="4" w:space="0" w:color="auto"/>
              <w:bottom w:val="single" w:sz="4" w:space="0" w:color="auto"/>
              <w:right w:val="single" w:sz="4" w:space="0" w:color="auto"/>
            </w:tcBorders>
            <w:vAlign w:val="center"/>
            <w:hideMark/>
          </w:tcPr>
          <w:p w14:paraId="4A739C78"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60</w:t>
            </w:r>
          </w:p>
        </w:tc>
      </w:tr>
      <w:tr w:rsidR="00F37DCB" w14:paraId="6BC76B7D"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3A42639F"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vAlign w:val="center"/>
            <w:hideMark/>
          </w:tcPr>
          <w:p w14:paraId="1FF48FC6"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14:paraId="043C5D93"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14:paraId="1ADE7E30"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20</w:t>
            </w:r>
          </w:p>
        </w:tc>
        <w:tc>
          <w:tcPr>
            <w:tcW w:w="950" w:type="dxa"/>
            <w:tcBorders>
              <w:top w:val="single" w:sz="4" w:space="0" w:color="auto"/>
              <w:left w:val="single" w:sz="4" w:space="0" w:color="auto"/>
              <w:bottom w:val="single" w:sz="4" w:space="0" w:color="auto"/>
              <w:right w:val="single" w:sz="4" w:space="0" w:color="auto"/>
            </w:tcBorders>
            <w:vAlign w:val="center"/>
            <w:hideMark/>
          </w:tcPr>
          <w:p w14:paraId="649BAA3D"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20</w:t>
            </w:r>
          </w:p>
        </w:tc>
        <w:tc>
          <w:tcPr>
            <w:tcW w:w="951" w:type="dxa"/>
            <w:tcBorders>
              <w:top w:val="single" w:sz="4" w:space="0" w:color="auto"/>
              <w:left w:val="single" w:sz="4" w:space="0" w:color="auto"/>
              <w:bottom w:val="single" w:sz="4" w:space="0" w:color="auto"/>
              <w:right w:val="single" w:sz="4" w:space="0" w:color="auto"/>
            </w:tcBorders>
            <w:vAlign w:val="center"/>
            <w:hideMark/>
          </w:tcPr>
          <w:p w14:paraId="42DEC5D8"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20</w:t>
            </w:r>
          </w:p>
        </w:tc>
        <w:tc>
          <w:tcPr>
            <w:tcW w:w="951" w:type="dxa"/>
            <w:tcBorders>
              <w:top w:val="single" w:sz="4" w:space="0" w:color="auto"/>
              <w:left w:val="single" w:sz="4" w:space="0" w:color="auto"/>
              <w:bottom w:val="single" w:sz="4" w:space="0" w:color="auto"/>
              <w:right w:val="single" w:sz="4" w:space="0" w:color="auto"/>
            </w:tcBorders>
            <w:vAlign w:val="center"/>
            <w:hideMark/>
          </w:tcPr>
          <w:p w14:paraId="7758C795"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20</w:t>
            </w:r>
          </w:p>
        </w:tc>
        <w:tc>
          <w:tcPr>
            <w:tcW w:w="951" w:type="dxa"/>
            <w:tcBorders>
              <w:top w:val="single" w:sz="4" w:space="0" w:color="auto"/>
              <w:left w:val="single" w:sz="4" w:space="0" w:color="auto"/>
              <w:bottom w:val="single" w:sz="4" w:space="0" w:color="auto"/>
              <w:right w:val="single" w:sz="4" w:space="0" w:color="auto"/>
            </w:tcBorders>
            <w:vAlign w:val="center"/>
            <w:hideMark/>
          </w:tcPr>
          <w:p w14:paraId="23ED905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20</w:t>
            </w:r>
          </w:p>
        </w:tc>
      </w:tr>
      <w:tr w:rsidR="00F37DCB" w14:paraId="254DC850"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5C738D59"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vAlign w:val="center"/>
            <w:hideMark/>
          </w:tcPr>
          <w:p w14:paraId="580281BF"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w:t>
            </w:r>
          </w:p>
        </w:tc>
        <w:tc>
          <w:tcPr>
            <w:tcW w:w="951" w:type="dxa"/>
            <w:tcBorders>
              <w:top w:val="single" w:sz="4" w:space="0" w:color="auto"/>
              <w:left w:val="single" w:sz="4" w:space="0" w:color="auto"/>
              <w:bottom w:val="single" w:sz="4" w:space="0" w:color="auto"/>
              <w:right w:val="single" w:sz="4" w:space="0" w:color="auto"/>
            </w:tcBorders>
            <w:vAlign w:val="center"/>
            <w:hideMark/>
          </w:tcPr>
          <w:p w14:paraId="7338643C"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w:t>
            </w:r>
          </w:p>
        </w:tc>
        <w:tc>
          <w:tcPr>
            <w:tcW w:w="951" w:type="dxa"/>
            <w:tcBorders>
              <w:top w:val="single" w:sz="4" w:space="0" w:color="auto"/>
              <w:left w:val="single" w:sz="4" w:space="0" w:color="auto"/>
              <w:bottom w:val="single" w:sz="4" w:space="0" w:color="auto"/>
              <w:right w:val="single" w:sz="4" w:space="0" w:color="auto"/>
            </w:tcBorders>
            <w:vAlign w:val="center"/>
            <w:hideMark/>
          </w:tcPr>
          <w:p w14:paraId="556A488F"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c>
          <w:tcPr>
            <w:tcW w:w="950" w:type="dxa"/>
            <w:tcBorders>
              <w:top w:val="single" w:sz="4" w:space="0" w:color="auto"/>
              <w:left w:val="single" w:sz="4" w:space="0" w:color="auto"/>
              <w:bottom w:val="single" w:sz="4" w:space="0" w:color="auto"/>
              <w:right w:val="single" w:sz="4" w:space="0" w:color="auto"/>
            </w:tcBorders>
            <w:vAlign w:val="center"/>
            <w:hideMark/>
          </w:tcPr>
          <w:p w14:paraId="696E6C0A"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14:paraId="4C33B085"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14:paraId="7607C5F0"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14:paraId="2341906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15</w:t>
            </w:r>
          </w:p>
        </w:tc>
      </w:tr>
      <w:tr w:rsidR="00F37DCB" w14:paraId="28890B77" w14:textId="77777777" w:rsidTr="00852A1F">
        <w:trPr>
          <w:trHeight w:val="538"/>
        </w:trPr>
        <w:tc>
          <w:tcPr>
            <w:tcW w:w="2972" w:type="dxa"/>
            <w:tcBorders>
              <w:top w:val="single" w:sz="4" w:space="0" w:color="auto"/>
              <w:left w:val="single" w:sz="4" w:space="0" w:color="auto"/>
              <w:bottom w:val="single" w:sz="4" w:space="0" w:color="auto"/>
              <w:right w:val="single" w:sz="4" w:space="0" w:color="auto"/>
            </w:tcBorders>
            <w:vAlign w:val="center"/>
            <w:hideMark/>
          </w:tcPr>
          <w:p w14:paraId="340A796F" w14:textId="77777777" w:rsidR="00852A1F" w:rsidRPr="00852A1F" w:rsidRDefault="00000000" w:rsidP="00852A1F">
            <w:pPr>
              <w:tabs>
                <w:tab w:val="left" w:pos="851"/>
              </w:tabs>
              <w:rPr>
                <w:rFonts w:ascii="Times New Roman" w:hAnsi="Times New Roman"/>
                <w:b/>
                <w:bCs/>
                <w:sz w:val="24"/>
                <w:szCs w:val="24"/>
              </w:rPr>
            </w:pPr>
            <w:r w:rsidRPr="00852A1F">
              <w:rPr>
                <w:rFonts w:ascii="Times New Roman" w:hAnsi="Times New Roman"/>
                <w:b/>
                <w:bCs/>
                <w:sz w:val="24"/>
                <w:szCs w:val="24"/>
              </w:rPr>
              <w:t>Всього</w:t>
            </w:r>
          </w:p>
        </w:tc>
        <w:tc>
          <w:tcPr>
            <w:tcW w:w="950" w:type="dxa"/>
            <w:tcBorders>
              <w:top w:val="single" w:sz="4" w:space="0" w:color="auto"/>
              <w:left w:val="single" w:sz="4" w:space="0" w:color="auto"/>
              <w:bottom w:val="single" w:sz="4" w:space="0" w:color="auto"/>
              <w:right w:val="single" w:sz="4" w:space="0" w:color="auto"/>
            </w:tcBorders>
            <w:vAlign w:val="center"/>
            <w:hideMark/>
          </w:tcPr>
          <w:p w14:paraId="10E15F09"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3107893A"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380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9284F50"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500</w:t>
            </w:r>
          </w:p>
        </w:tc>
        <w:tc>
          <w:tcPr>
            <w:tcW w:w="950" w:type="dxa"/>
            <w:tcBorders>
              <w:top w:val="single" w:sz="4" w:space="0" w:color="auto"/>
              <w:left w:val="single" w:sz="4" w:space="0" w:color="auto"/>
              <w:bottom w:val="single" w:sz="4" w:space="0" w:color="auto"/>
              <w:right w:val="single" w:sz="4" w:space="0" w:color="auto"/>
            </w:tcBorders>
            <w:vAlign w:val="center"/>
            <w:hideMark/>
          </w:tcPr>
          <w:p w14:paraId="6A777059"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500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31E00B2"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500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310D5188"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500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6FD8FF8"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500</w:t>
            </w:r>
          </w:p>
        </w:tc>
      </w:tr>
    </w:tbl>
    <w:p w14:paraId="2C899D10" w14:textId="77777777" w:rsidR="00852A1F" w:rsidRPr="00852A1F" w:rsidRDefault="00852A1F" w:rsidP="00852A1F">
      <w:pPr>
        <w:tabs>
          <w:tab w:val="left" w:pos="851"/>
        </w:tabs>
        <w:spacing w:after="0" w:line="240" w:lineRule="auto"/>
        <w:jc w:val="center"/>
        <w:rPr>
          <w:rFonts w:ascii="Times New Roman" w:eastAsia="Calibri" w:hAnsi="Times New Roman" w:cs="Times New Roman"/>
          <w:kern w:val="2"/>
          <w:sz w:val="28"/>
          <w:szCs w:val="24"/>
          <w:lang w:eastAsia="en-US"/>
          <w14:ligatures w14:val="standardContextual"/>
        </w:rPr>
      </w:pPr>
    </w:p>
    <w:p w14:paraId="365B3792" w14:textId="77777777" w:rsidR="00852A1F" w:rsidRPr="00852A1F" w:rsidRDefault="00852A1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46F9DD3"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4"/>
          <w:lang w:eastAsia="en-US"/>
          <w14:ligatures w14:val="standardContextual"/>
        </w:rPr>
      </w:pPr>
      <w:r w:rsidRPr="00852A1F">
        <w:rPr>
          <w:rFonts w:ascii="Times New Roman" w:eastAsia="Calibri" w:hAnsi="Times New Roman" w:cs="Times New Roman"/>
          <w:b/>
          <w:bCs/>
          <w:kern w:val="2"/>
          <w:sz w:val="28"/>
          <w:szCs w:val="24"/>
          <w:lang w:eastAsia="en-US"/>
          <w14:ligatures w14:val="standardContextual"/>
        </w:rPr>
        <w:lastRenderedPageBreak/>
        <w:t>Рівень оплати праці</w:t>
      </w:r>
    </w:p>
    <w:p w14:paraId="290693ED"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852A1F">
        <w:rPr>
          <w:rFonts w:ascii="Times New Roman" w:eastAsia="Calibri" w:hAnsi="Times New Roman" w:cs="Times New Roman"/>
          <w:kern w:val="2"/>
          <w:sz w:val="28"/>
          <w:szCs w:val="24"/>
          <w:lang w:eastAsia="en-US"/>
          <w14:ligatures w14:val="standardContextual"/>
        </w:rPr>
        <w:t>Враховуючи досвід країн, де успішно функціонують індустріальні парки, можна побачити, що середній рівень заробітних плат працівників підприємств, які є учасниками парку, зазвичай вищі, ніж середній рівень зарплат у регіоні. Беручи до уваги цю властивість, а також очікуваний високий рівень автоматизації промислового виробництва, який очікується на підприємствах індустріального парку, середньомісячний обсяг заробітної плати в «БУДШЛЯХМАШ» складе до 83 тис. грн на одного працівника. При цьому заплановано щорічне зростання заробітної плати з метою індексування інфляції (5% на рік) (табл. 12).</w:t>
      </w:r>
    </w:p>
    <w:p w14:paraId="7C65B0A1" w14:textId="77777777" w:rsidR="00852A1F" w:rsidRPr="00852A1F" w:rsidRDefault="00852A1F" w:rsidP="00852A1F">
      <w:pPr>
        <w:tabs>
          <w:tab w:val="left" w:pos="851"/>
        </w:tabs>
        <w:spacing w:after="0" w:line="240" w:lineRule="auto"/>
        <w:jc w:val="both"/>
        <w:rPr>
          <w:rFonts w:ascii="Times New Roman" w:eastAsia="Calibri" w:hAnsi="Times New Roman" w:cs="Times New Roman"/>
          <w:b/>
          <w:bCs/>
          <w:kern w:val="2"/>
          <w:sz w:val="28"/>
          <w:szCs w:val="24"/>
          <w:lang w:eastAsia="en-US"/>
          <w14:ligatures w14:val="standardContextual"/>
        </w:rPr>
      </w:pPr>
    </w:p>
    <w:p w14:paraId="6435FFE8"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4"/>
          <w:lang w:eastAsia="en-US"/>
          <w14:ligatures w14:val="standardContextual"/>
        </w:rPr>
      </w:pPr>
      <w:r w:rsidRPr="00852A1F">
        <w:rPr>
          <w:rFonts w:ascii="Times New Roman" w:eastAsia="Calibri" w:hAnsi="Times New Roman" w:cs="Times New Roman"/>
          <w:b/>
          <w:bCs/>
          <w:kern w:val="2"/>
          <w:sz w:val="28"/>
          <w:szCs w:val="24"/>
          <w:lang w:eastAsia="en-US"/>
          <w14:ligatures w14:val="standardContextual"/>
        </w:rPr>
        <w:t>Табл. 12.</w:t>
      </w:r>
      <w:r w:rsidRPr="00852A1F">
        <w:rPr>
          <w:rFonts w:ascii="Times New Roman" w:eastAsia="Calibri" w:hAnsi="Times New Roman" w:cs="Times New Roman"/>
          <w:kern w:val="2"/>
          <w:sz w:val="28"/>
          <w:szCs w:val="24"/>
          <w:lang w:eastAsia="en-US"/>
          <w14:ligatures w14:val="standardContextual"/>
        </w:rPr>
        <w:t xml:space="preserve"> Прогнозна динаміка середньомісячної зарплати в ІП «БУДШЛЯХМАШ», грн</w:t>
      </w:r>
    </w:p>
    <w:tbl>
      <w:tblPr>
        <w:tblStyle w:val="12"/>
        <w:tblW w:w="0" w:type="auto"/>
        <w:tblLook w:val="04A0" w:firstRow="1" w:lastRow="0" w:firstColumn="1" w:lastColumn="0" w:noHBand="0" w:noVBand="1"/>
      </w:tblPr>
      <w:tblGrid>
        <w:gridCol w:w="2861"/>
        <w:gridCol w:w="935"/>
        <w:gridCol w:w="949"/>
        <w:gridCol w:w="949"/>
        <w:gridCol w:w="947"/>
        <w:gridCol w:w="949"/>
        <w:gridCol w:w="949"/>
        <w:gridCol w:w="949"/>
      </w:tblGrid>
      <w:tr w:rsidR="00F37DCB" w14:paraId="171EDE9D"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shd w:val="clear" w:color="auto" w:fill="809EC2"/>
          </w:tcPr>
          <w:p w14:paraId="06A74505" w14:textId="77777777" w:rsidR="00852A1F" w:rsidRPr="00852A1F" w:rsidRDefault="00852A1F" w:rsidP="00852A1F">
            <w:pPr>
              <w:tabs>
                <w:tab w:val="left" w:pos="851"/>
              </w:tabs>
              <w:jc w:val="center"/>
              <w:rPr>
                <w:rFonts w:ascii="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A0F8D35"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1A91388"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E5F03BF"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E1FB132"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0DD99EA"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0667C2D"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6B69FD7"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5EAA4B13"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164EE8E8"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vAlign w:val="center"/>
            <w:hideMark/>
          </w:tcPr>
          <w:p w14:paraId="6C49C4C6"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83000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50EDE7B"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87150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67A0CF3"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91508</w:t>
            </w:r>
          </w:p>
        </w:tc>
        <w:tc>
          <w:tcPr>
            <w:tcW w:w="950" w:type="dxa"/>
            <w:tcBorders>
              <w:top w:val="single" w:sz="4" w:space="0" w:color="auto"/>
              <w:left w:val="single" w:sz="4" w:space="0" w:color="auto"/>
              <w:bottom w:val="single" w:sz="4" w:space="0" w:color="auto"/>
              <w:right w:val="single" w:sz="4" w:space="0" w:color="auto"/>
            </w:tcBorders>
            <w:vAlign w:val="center"/>
            <w:hideMark/>
          </w:tcPr>
          <w:p w14:paraId="134F67D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96083</w:t>
            </w:r>
          </w:p>
        </w:tc>
        <w:tc>
          <w:tcPr>
            <w:tcW w:w="951" w:type="dxa"/>
            <w:tcBorders>
              <w:top w:val="single" w:sz="4" w:space="0" w:color="auto"/>
              <w:left w:val="single" w:sz="4" w:space="0" w:color="auto"/>
              <w:bottom w:val="single" w:sz="4" w:space="0" w:color="auto"/>
              <w:right w:val="single" w:sz="4" w:space="0" w:color="auto"/>
            </w:tcBorders>
            <w:vAlign w:val="center"/>
            <w:hideMark/>
          </w:tcPr>
          <w:p w14:paraId="684FB1B1"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100887</w:t>
            </w:r>
          </w:p>
        </w:tc>
        <w:tc>
          <w:tcPr>
            <w:tcW w:w="951" w:type="dxa"/>
            <w:tcBorders>
              <w:top w:val="single" w:sz="4" w:space="0" w:color="auto"/>
              <w:left w:val="single" w:sz="4" w:space="0" w:color="auto"/>
              <w:bottom w:val="single" w:sz="4" w:space="0" w:color="auto"/>
              <w:right w:val="single" w:sz="4" w:space="0" w:color="auto"/>
            </w:tcBorders>
            <w:vAlign w:val="center"/>
            <w:hideMark/>
          </w:tcPr>
          <w:p w14:paraId="5460C68A"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105931</w:t>
            </w:r>
          </w:p>
        </w:tc>
        <w:tc>
          <w:tcPr>
            <w:tcW w:w="951" w:type="dxa"/>
            <w:tcBorders>
              <w:top w:val="single" w:sz="4" w:space="0" w:color="auto"/>
              <w:left w:val="single" w:sz="4" w:space="0" w:color="auto"/>
              <w:bottom w:val="single" w:sz="4" w:space="0" w:color="auto"/>
              <w:right w:val="single" w:sz="4" w:space="0" w:color="auto"/>
            </w:tcBorders>
            <w:vAlign w:val="center"/>
            <w:hideMark/>
          </w:tcPr>
          <w:p w14:paraId="1FAD83E9"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111228</w:t>
            </w:r>
          </w:p>
        </w:tc>
      </w:tr>
      <w:tr w:rsidR="00F37DCB" w14:paraId="07EAB41D"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460EF20B"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vAlign w:val="center"/>
            <w:hideMark/>
          </w:tcPr>
          <w:p w14:paraId="4668572E"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76000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2BE5489E"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79800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161FA520"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83790</w:t>
            </w:r>
          </w:p>
        </w:tc>
        <w:tc>
          <w:tcPr>
            <w:tcW w:w="950" w:type="dxa"/>
            <w:tcBorders>
              <w:top w:val="single" w:sz="4" w:space="0" w:color="auto"/>
              <w:left w:val="single" w:sz="4" w:space="0" w:color="auto"/>
              <w:bottom w:val="single" w:sz="4" w:space="0" w:color="auto"/>
              <w:right w:val="single" w:sz="4" w:space="0" w:color="auto"/>
            </w:tcBorders>
            <w:vAlign w:val="center"/>
            <w:hideMark/>
          </w:tcPr>
          <w:p w14:paraId="570E7A4A"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87980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1765587"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92378</w:t>
            </w:r>
          </w:p>
        </w:tc>
        <w:tc>
          <w:tcPr>
            <w:tcW w:w="951" w:type="dxa"/>
            <w:tcBorders>
              <w:top w:val="single" w:sz="4" w:space="0" w:color="auto"/>
              <w:left w:val="single" w:sz="4" w:space="0" w:color="auto"/>
              <w:bottom w:val="single" w:sz="4" w:space="0" w:color="auto"/>
              <w:right w:val="single" w:sz="4" w:space="0" w:color="auto"/>
            </w:tcBorders>
            <w:vAlign w:val="center"/>
            <w:hideMark/>
          </w:tcPr>
          <w:p w14:paraId="13BC046C"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96997</w:t>
            </w:r>
          </w:p>
        </w:tc>
        <w:tc>
          <w:tcPr>
            <w:tcW w:w="951" w:type="dxa"/>
            <w:tcBorders>
              <w:top w:val="single" w:sz="4" w:space="0" w:color="auto"/>
              <w:left w:val="single" w:sz="4" w:space="0" w:color="auto"/>
              <w:bottom w:val="single" w:sz="4" w:space="0" w:color="auto"/>
              <w:right w:val="single" w:sz="4" w:space="0" w:color="auto"/>
            </w:tcBorders>
            <w:vAlign w:val="center"/>
            <w:hideMark/>
          </w:tcPr>
          <w:p w14:paraId="2F0257AF"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101847</w:t>
            </w:r>
          </w:p>
        </w:tc>
      </w:tr>
      <w:tr w:rsidR="00F37DCB" w14:paraId="65722CDC"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520C605A"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3FD92FCB"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85000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A0B4316"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89250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D194947"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93713</w:t>
            </w:r>
          </w:p>
        </w:tc>
        <w:tc>
          <w:tcPr>
            <w:tcW w:w="950" w:type="dxa"/>
            <w:tcBorders>
              <w:top w:val="single" w:sz="4" w:space="0" w:color="auto"/>
              <w:left w:val="single" w:sz="4" w:space="0" w:color="auto"/>
              <w:bottom w:val="single" w:sz="4" w:space="0" w:color="auto"/>
              <w:right w:val="single" w:sz="4" w:space="0" w:color="auto"/>
            </w:tcBorders>
            <w:vAlign w:val="center"/>
            <w:hideMark/>
          </w:tcPr>
          <w:p w14:paraId="7E1D2206"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98398</w:t>
            </w:r>
          </w:p>
        </w:tc>
        <w:tc>
          <w:tcPr>
            <w:tcW w:w="951" w:type="dxa"/>
            <w:tcBorders>
              <w:top w:val="single" w:sz="4" w:space="0" w:color="auto"/>
              <w:left w:val="single" w:sz="4" w:space="0" w:color="auto"/>
              <w:bottom w:val="single" w:sz="4" w:space="0" w:color="auto"/>
              <w:right w:val="single" w:sz="4" w:space="0" w:color="auto"/>
            </w:tcBorders>
            <w:vAlign w:val="center"/>
            <w:hideMark/>
          </w:tcPr>
          <w:p w14:paraId="3EAF3C7C"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103318</w:t>
            </w:r>
          </w:p>
        </w:tc>
        <w:tc>
          <w:tcPr>
            <w:tcW w:w="951" w:type="dxa"/>
            <w:tcBorders>
              <w:top w:val="single" w:sz="4" w:space="0" w:color="auto"/>
              <w:left w:val="single" w:sz="4" w:space="0" w:color="auto"/>
              <w:bottom w:val="single" w:sz="4" w:space="0" w:color="auto"/>
              <w:right w:val="single" w:sz="4" w:space="0" w:color="auto"/>
            </w:tcBorders>
            <w:vAlign w:val="center"/>
            <w:hideMark/>
          </w:tcPr>
          <w:p w14:paraId="63B04812"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108484</w:t>
            </w:r>
          </w:p>
        </w:tc>
        <w:tc>
          <w:tcPr>
            <w:tcW w:w="951" w:type="dxa"/>
            <w:tcBorders>
              <w:top w:val="single" w:sz="4" w:space="0" w:color="auto"/>
              <w:left w:val="single" w:sz="4" w:space="0" w:color="auto"/>
              <w:bottom w:val="single" w:sz="4" w:space="0" w:color="auto"/>
              <w:right w:val="single" w:sz="4" w:space="0" w:color="auto"/>
            </w:tcBorders>
            <w:vAlign w:val="center"/>
            <w:hideMark/>
          </w:tcPr>
          <w:p w14:paraId="7CC9D15F"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113908</w:t>
            </w:r>
          </w:p>
        </w:tc>
      </w:tr>
      <w:tr w:rsidR="00F37DCB" w14:paraId="5A6C7B88"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682FDDCB"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vAlign w:val="center"/>
            <w:hideMark/>
          </w:tcPr>
          <w:p w14:paraId="0F5CA7D7"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97000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709F9694"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101850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3560A3CD"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106943</w:t>
            </w:r>
          </w:p>
        </w:tc>
        <w:tc>
          <w:tcPr>
            <w:tcW w:w="950" w:type="dxa"/>
            <w:tcBorders>
              <w:top w:val="single" w:sz="4" w:space="0" w:color="auto"/>
              <w:left w:val="single" w:sz="4" w:space="0" w:color="auto"/>
              <w:bottom w:val="single" w:sz="4" w:space="0" w:color="auto"/>
              <w:right w:val="single" w:sz="4" w:space="0" w:color="auto"/>
            </w:tcBorders>
            <w:vAlign w:val="center"/>
            <w:hideMark/>
          </w:tcPr>
          <w:p w14:paraId="5778C903"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112290</w:t>
            </w:r>
          </w:p>
        </w:tc>
        <w:tc>
          <w:tcPr>
            <w:tcW w:w="951" w:type="dxa"/>
            <w:tcBorders>
              <w:top w:val="single" w:sz="4" w:space="0" w:color="auto"/>
              <w:left w:val="single" w:sz="4" w:space="0" w:color="auto"/>
              <w:bottom w:val="single" w:sz="4" w:space="0" w:color="auto"/>
              <w:right w:val="single" w:sz="4" w:space="0" w:color="auto"/>
            </w:tcBorders>
            <w:vAlign w:val="center"/>
            <w:hideMark/>
          </w:tcPr>
          <w:p w14:paraId="4FC45440"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117904</w:t>
            </w:r>
          </w:p>
        </w:tc>
        <w:tc>
          <w:tcPr>
            <w:tcW w:w="951" w:type="dxa"/>
            <w:tcBorders>
              <w:top w:val="single" w:sz="4" w:space="0" w:color="auto"/>
              <w:left w:val="single" w:sz="4" w:space="0" w:color="auto"/>
              <w:bottom w:val="single" w:sz="4" w:space="0" w:color="auto"/>
              <w:right w:val="single" w:sz="4" w:space="0" w:color="auto"/>
            </w:tcBorders>
            <w:vAlign w:val="center"/>
            <w:hideMark/>
          </w:tcPr>
          <w:p w14:paraId="39E10520"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123799</w:t>
            </w:r>
          </w:p>
        </w:tc>
        <w:tc>
          <w:tcPr>
            <w:tcW w:w="951" w:type="dxa"/>
            <w:tcBorders>
              <w:top w:val="single" w:sz="4" w:space="0" w:color="auto"/>
              <w:left w:val="single" w:sz="4" w:space="0" w:color="auto"/>
              <w:bottom w:val="single" w:sz="4" w:space="0" w:color="auto"/>
              <w:right w:val="single" w:sz="4" w:space="0" w:color="auto"/>
            </w:tcBorders>
            <w:vAlign w:val="center"/>
            <w:hideMark/>
          </w:tcPr>
          <w:p w14:paraId="088E695B"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129989</w:t>
            </w:r>
          </w:p>
        </w:tc>
      </w:tr>
      <w:tr w:rsidR="00F37DCB" w14:paraId="235C4869" w14:textId="77777777" w:rsidTr="00852A1F">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14:paraId="0ECC0872"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vAlign w:val="center"/>
            <w:hideMark/>
          </w:tcPr>
          <w:p w14:paraId="446CB071"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79500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18B9AD47"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83475</w:t>
            </w:r>
          </w:p>
        </w:tc>
        <w:tc>
          <w:tcPr>
            <w:tcW w:w="951" w:type="dxa"/>
            <w:tcBorders>
              <w:top w:val="single" w:sz="4" w:space="0" w:color="auto"/>
              <w:left w:val="single" w:sz="4" w:space="0" w:color="auto"/>
              <w:bottom w:val="single" w:sz="4" w:space="0" w:color="auto"/>
              <w:right w:val="single" w:sz="4" w:space="0" w:color="auto"/>
            </w:tcBorders>
            <w:vAlign w:val="center"/>
            <w:hideMark/>
          </w:tcPr>
          <w:p w14:paraId="2639488C"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87649</w:t>
            </w:r>
          </w:p>
        </w:tc>
        <w:tc>
          <w:tcPr>
            <w:tcW w:w="950" w:type="dxa"/>
            <w:tcBorders>
              <w:top w:val="single" w:sz="4" w:space="0" w:color="auto"/>
              <w:left w:val="single" w:sz="4" w:space="0" w:color="auto"/>
              <w:bottom w:val="single" w:sz="4" w:space="0" w:color="auto"/>
              <w:right w:val="single" w:sz="4" w:space="0" w:color="auto"/>
            </w:tcBorders>
            <w:vAlign w:val="center"/>
            <w:hideMark/>
          </w:tcPr>
          <w:p w14:paraId="7EA0EED5"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92031</w:t>
            </w:r>
          </w:p>
        </w:tc>
        <w:tc>
          <w:tcPr>
            <w:tcW w:w="951" w:type="dxa"/>
            <w:tcBorders>
              <w:top w:val="single" w:sz="4" w:space="0" w:color="auto"/>
              <w:left w:val="single" w:sz="4" w:space="0" w:color="auto"/>
              <w:bottom w:val="single" w:sz="4" w:space="0" w:color="auto"/>
              <w:right w:val="single" w:sz="4" w:space="0" w:color="auto"/>
            </w:tcBorders>
            <w:vAlign w:val="center"/>
            <w:hideMark/>
          </w:tcPr>
          <w:p w14:paraId="7EF7689F"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96633</w:t>
            </w:r>
          </w:p>
        </w:tc>
        <w:tc>
          <w:tcPr>
            <w:tcW w:w="951" w:type="dxa"/>
            <w:tcBorders>
              <w:top w:val="single" w:sz="4" w:space="0" w:color="auto"/>
              <w:left w:val="single" w:sz="4" w:space="0" w:color="auto"/>
              <w:bottom w:val="single" w:sz="4" w:space="0" w:color="auto"/>
              <w:right w:val="single" w:sz="4" w:space="0" w:color="auto"/>
            </w:tcBorders>
            <w:vAlign w:val="center"/>
            <w:hideMark/>
          </w:tcPr>
          <w:p w14:paraId="747596B7"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101464</w:t>
            </w:r>
          </w:p>
        </w:tc>
        <w:tc>
          <w:tcPr>
            <w:tcW w:w="951" w:type="dxa"/>
            <w:tcBorders>
              <w:top w:val="single" w:sz="4" w:space="0" w:color="auto"/>
              <w:left w:val="single" w:sz="4" w:space="0" w:color="auto"/>
              <w:bottom w:val="single" w:sz="4" w:space="0" w:color="auto"/>
              <w:right w:val="single" w:sz="4" w:space="0" w:color="auto"/>
            </w:tcBorders>
            <w:vAlign w:val="center"/>
            <w:hideMark/>
          </w:tcPr>
          <w:p w14:paraId="5E23ED87" w14:textId="77777777" w:rsidR="00852A1F" w:rsidRPr="00852A1F" w:rsidRDefault="00000000" w:rsidP="00852A1F">
            <w:pPr>
              <w:tabs>
                <w:tab w:val="left" w:pos="851"/>
              </w:tabs>
              <w:jc w:val="center"/>
              <w:rPr>
                <w:rFonts w:ascii="Times New Roman" w:hAnsi="Times New Roman"/>
                <w:sz w:val="24"/>
                <w:szCs w:val="24"/>
              </w:rPr>
            </w:pPr>
            <w:r w:rsidRPr="00852A1F">
              <w:rPr>
                <w:rFonts w:ascii="Times New Roman" w:hAnsi="Times New Roman"/>
                <w:sz w:val="24"/>
                <w:szCs w:val="24"/>
              </w:rPr>
              <w:t>106538</w:t>
            </w:r>
          </w:p>
        </w:tc>
      </w:tr>
      <w:tr w:rsidR="00F37DCB" w14:paraId="65CC1636" w14:textId="77777777" w:rsidTr="00852A1F">
        <w:trPr>
          <w:trHeight w:val="538"/>
        </w:trPr>
        <w:tc>
          <w:tcPr>
            <w:tcW w:w="2972" w:type="dxa"/>
            <w:tcBorders>
              <w:top w:val="single" w:sz="4" w:space="0" w:color="auto"/>
              <w:left w:val="single" w:sz="4" w:space="0" w:color="auto"/>
              <w:bottom w:val="single" w:sz="4" w:space="0" w:color="auto"/>
              <w:right w:val="single" w:sz="4" w:space="0" w:color="auto"/>
            </w:tcBorders>
            <w:vAlign w:val="center"/>
            <w:hideMark/>
          </w:tcPr>
          <w:p w14:paraId="26529AFE" w14:textId="77777777" w:rsidR="00852A1F" w:rsidRPr="00852A1F" w:rsidRDefault="00000000" w:rsidP="00852A1F">
            <w:pPr>
              <w:tabs>
                <w:tab w:val="left" w:pos="851"/>
              </w:tabs>
              <w:rPr>
                <w:rFonts w:ascii="Times New Roman" w:hAnsi="Times New Roman"/>
                <w:b/>
                <w:bCs/>
                <w:sz w:val="24"/>
                <w:szCs w:val="24"/>
              </w:rPr>
            </w:pPr>
            <w:r w:rsidRPr="00852A1F">
              <w:rPr>
                <w:rFonts w:ascii="Times New Roman" w:hAnsi="Times New Roman"/>
                <w:b/>
                <w:bCs/>
                <w:sz w:val="24"/>
                <w:szCs w:val="24"/>
              </w:rPr>
              <w:t>У середньому по індустріальному парку</w:t>
            </w:r>
          </w:p>
        </w:tc>
        <w:tc>
          <w:tcPr>
            <w:tcW w:w="950" w:type="dxa"/>
            <w:tcBorders>
              <w:top w:val="single" w:sz="4" w:space="0" w:color="auto"/>
              <w:left w:val="single" w:sz="4" w:space="0" w:color="auto"/>
              <w:bottom w:val="single" w:sz="4" w:space="0" w:color="auto"/>
              <w:right w:val="single" w:sz="4" w:space="0" w:color="auto"/>
            </w:tcBorders>
            <w:vAlign w:val="center"/>
            <w:hideMark/>
          </w:tcPr>
          <w:p w14:paraId="4A10DA9D"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83000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39F98CC"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131565</w:t>
            </w:r>
          </w:p>
        </w:tc>
        <w:tc>
          <w:tcPr>
            <w:tcW w:w="951" w:type="dxa"/>
            <w:tcBorders>
              <w:top w:val="single" w:sz="4" w:space="0" w:color="auto"/>
              <w:left w:val="single" w:sz="4" w:space="0" w:color="auto"/>
              <w:bottom w:val="single" w:sz="4" w:space="0" w:color="auto"/>
              <w:right w:val="single" w:sz="4" w:space="0" w:color="auto"/>
            </w:tcBorders>
            <w:vAlign w:val="center"/>
            <w:hideMark/>
          </w:tcPr>
          <w:p w14:paraId="1CB582D5"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122095</w:t>
            </w:r>
          </w:p>
        </w:tc>
        <w:tc>
          <w:tcPr>
            <w:tcW w:w="950" w:type="dxa"/>
            <w:tcBorders>
              <w:top w:val="single" w:sz="4" w:space="0" w:color="auto"/>
              <w:left w:val="single" w:sz="4" w:space="0" w:color="auto"/>
              <w:bottom w:val="single" w:sz="4" w:space="0" w:color="auto"/>
              <w:right w:val="single" w:sz="4" w:space="0" w:color="auto"/>
            </w:tcBorders>
            <w:vAlign w:val="center"/>
            <w:hideMark/>
          </w:tcPr>
          <w:p w14:paraId="7A68EC1C"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95591</w:t>
            </w:r>
          </w:p>
        </w:tc>
        <w:tc>
          <w:tcPr>
            <w:tcW w:w="951" w:type="dxa"/>
            <w:tcBorders>
              <w:top w:val="single" w:sz="4" w:space="0" w:color="auto"/>
              <w:left w:val="single" w:sz="4" w:space="0" w:color="auto"/>
              <w:bottom w:val="single" w:sz="4" w:space="0" w:color="auto"/>
              <w:right w:val="single" w:sz="4" w:space="0" w:color="auto"/>
            </w:tcBorders>
            <w:vAlign w:val="center"/>
            <w:hideMark/>
          </w:tcPr>
          <w:p w14:paraId="2636D9FF"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100370</w:t>
            </w:r>
          </w:p>
        </w:tc>
        <w:tc>
          <w:tcPr>
            <w:tcW w:w="951" w:type="dxa"/>
            <w:tcBorders>
              <w:top w:val="single" w:sz="4" w:space="0" w:color="auto"/>
              <w:left w:val="single" w:sz="4" w:space="0" w:color="auto"/>
              <w:bottom w:val="single" w:sz="4" w:space="0" w:color="auto"/>
              <w:right w:val="single" w:sz="4" w:space="0" w:color="auto"/>
            </w:tcBorders>
            <w:vAlign w:val="center"/>
            <w:hideMark/>
          </w:tcPr>
          <w:p w14:paraId="2155CDCD"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105389</w:t>
            </w:r>
          </w:p>
        </w:tc>
        <w:tc>
          <w:tcPr>
            <w:tcW w:w="951" w:type="dxa"/>
            <w:tcBorders>
              <w:top w:val="single" w:sz="4" w:space="0" w:color="auto"/>
              <w:left w:val="single" w:sz="4" w:space="0" w:color="auto"/>
              <w:bottom w:val="single" w:sz="4" w:space="0" w:color="auto"/>
              <w:right w:val="single" w:sz="4" w:space="0" w:color="auto"/>
            </w:tcBorders>
            <w:vAlign w:val="center"/>
            <w:hideMark/>
          </w:tcPr>
          <w:p w14:paraId="73C4F3DB"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110658</w:t>
            </w:r>
          </w:p>
        </w:tc>
      </w:tr>
    </w:tbl>
    <w:p w14:paraId="617D06FB" w14:textId="77777777" w:rsidR="00852A1F" w:rsidRDefault="00852A1F" w:rsidP="006602C1">
      <w:pPr>
        <w:spacing w:after="0" w:line="240" w:lineRule="auto"/>
        <w:ind w:firstLine="567"/>
        <w:jc w:val="both"/>
        <w:rPr>
          <w:rFonts w:ascii="Times New Roman" w:eastAsia="Calibri" w:hAnsi="Times New Roman" w:cs="Times New Roman"/>
          <w:kern w:val="2"/>
          <w:sz w:val="24"/>
          <w:szCs w:val="24"/>
          <w:lang w:eastAsia="en-US"/>
          <w14:ligatures w14:val="standardContextual"/>
        </w:rPr>
      </w:pPr>
    </w:p>
    <w:p w14:paraId="1481C492"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caps/>
          <w:kern w:val="2"/>
          <w:sz w:val="28"/>
          <w:szCs w:val="28"/>
          <w:lang w:eastAsia="en-US"/>
          <w14:ligatures w14:val="standardContextual"/>
        </w:rPr>
      </w:pPr>
      <w:r w:rsidRPr="00852A1F">
        <w:rPr>
          <w:rFonts w:ascii="Times New Roman" w:eastAsia="Calibri" w:hAnsi="Times New Roman" w:cs="Times New Roman"/>
          <w:b/>
          <w:bCs/>
          <w:caps/>
          <w:kern w:val="2"/>
          <w:sz w:val="28"/>
          <w:szCs w:val="28"/>
          <w:lang w:eastAsia="en-US"/>
          <w14:ligatures w14:val="standardContextual"/>
        </w:rPr>
        <w:t>Фінансові результати діяльності індустріального парку</w:t>
      </w:r>
    </w:p>
    <w:p w14:paraId="515ED268"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Обсяг реалізованої продукції</w:t>
      </w:r>
    </w:p>
    <w:p w14:paraId="3DBAB08E"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Виходячи з перспективи розміщення в індустріальному парку виробництва машин і устатковання та виробництва автотранспортних засобів, причепів і напівпричепів , очікуваний обсяг валового випуску основних учасників індустріального парку становитиме 9 млрд грн, який буде досягнуто на третій рік після запуску парку.</w:t>
      </w:r>
    </w:p>
    <w:p w14:paraId="3E140A15"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Очікуваний обсяг послуг, що надаватимуться суб’єктами індустріального парку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 адміністративними, господарсько-побутовими, логістичними і складськими структурами — розраховано на основі середнього виробітку на одного працівника. Прогнозні показники враховують щорічне зростання валового випуску індустріального парку на 4%, що обумовлено:</w:t>
      </w:r>
    </w:p>
    <w:p w14:paraId="21D3A0F2" w14:textId="77777777" w:rsidR="00852A1F" w:rsidRPr="00852A1F" w:rsidRDefault="00000000" w:rsidP="00852A1F">
      <w:pPr>
        <w:numPr>
          <w:ilvl w:val="0"/>
          <w:numId w:val="6"/>
        </w:numPr>
        <w:tabs>
          <w:tab w:val="num" w:pos="1134"/>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підвищенням продуктивності праці завдяки оптимізації виробничих та логістичних процесів;</w:t>
      </w:r>
    </w:p>
    <w:p w14:paraId="4ED22B2C" w14:textId="77777777" w:rsidR="00852A1F" w:rsidRPr="00852A1F" w:rsidRDefault="00000000" w:rsidP="00852A1F">
      <w:pPr>
        <w:numPr>
          <w:ilvl w:val="0"/>
          <w:numId w:val="6"/>
        </w:numPr>
        <w:tabs>
          <w:tab w:val="num" w:pos="1134"/>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lastRenderedPageBreak/>
        <w:t>вдосконаленням бізнес-моделі управління парком, спрямованим на підвищення ефективності операційної діяльності (табл. 13).</w:t>
      </w:r>
    </w:p>
    <w:p w14:paraId="6FCF06DB"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13.</w:t>
      </w:r>
      <w:r w:rsidRPr="00852A1F">
        <w:rPr>
          <w:rFonts w:ascii="Times New Roman" w:eastAsia="Calibri" w:hAnsi="Times New Roman" w:cs="Times New Roman"/>
          <w:kern w:val="2"/>
          <w:sz w:val="28"/>
          <w:szCs w:val="28"/>
          <w:lang w:eastAsia="en-US"/>
          <w14:ligatures w14:val="standardContextual"/>
        </w:rPr>
        <w:t xml:space="preserve"> Прогнозна динаміка обсягу валового випуску ІП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млн грн</w:t>
      </w:r>
    </w:p>
    <w:tbl>
      <w:tblPr>
        <w:tblStyle w:val="13"/>
        <w:tblW w:w="0" w:type="auto"/>
        <w:tblLook w:val="04A0" w:firstRow="1" w:lastRow="0" w:firstColumn="1" w:lastColumn="0" w:noHBand="0" w:noVBand="1"/>
      </w:tblPr>
      <w:tblGrid>
        <w:gridCol w:w="2483"/>
        <w:gridCol w:w="998"/>
        <w:gridCol w:w="998"/>
        <w:gridCol w:w="999"/>
        <w:gridCol w:w="998"/>
        <w:gridCol w:w="999"/>
        <w:gridCol w:w="1006"/>
        <w:gridCol w:w="1007"/>
      </w:tblGrid>
      <w:tr w:rsidR="00F37DCB" w14:paraId="17904EE6" w14:textId="77777777" w:rsidTr="00852A1F">
        <w:tc>
          <w:tcPr>
            <w:tcW w:w="2547" w:type="dxa"/>
            <w:tcBorders>
              <w:top w:val="single" w:sz="4" w:space="0" w:color="auto"/>
              <w:left w:val="single" w:sz="4" w:space="0" w:color="auto"/>
              <w:bottom w:val="single" w:sz="4" w:space="0" w:color="auto"/>
              <w:right w:val="single" w:sz="4" w:space="0" w:color="auto"/>
            </w:tcBorders>
            <w:shd w:val="clear" w:color="auto" w:fill="809EC2"/>
            <w:hideMark/>
          </w:tcPr>
          <w:p w14:paraId="7446F186"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Сфера діяльності</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0AC8628"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2029</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5A39CB3"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2030</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0BF55A6"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2031</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74573E2"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2032</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E7B6FE1"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2033</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07FFAAE"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2034</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8C0CD48"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2035</w:t>
            </w:r>
          </w:p>
        </w:tc>
      </w:tr>
      <w:tr w:rsidR="00F37DCB" w14:paraId="6817BF9B"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162F9E41"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Виробництво промислової продукції</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BD6EF24"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4182,7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FA11584"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5784,6</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1C32FD6"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8000,0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80EF823"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8320,0</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15236EC"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8652,8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A11DE44"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8998,9</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A88AB1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9358,9</w:t>
            </w:r>
          </w:p>
        </w:tc>
      </w:tr>
      <w:tr w:rsidR="00F37DCB" w14:paraId="788B0911"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721E9710"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Ремонт машин та устаткування</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A964763"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117,6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23D5D23"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162,7</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72AB5B8"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225,0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C8A41EA"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234,0</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F0F8153"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243,4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0E14CC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253,1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E4A6ED7"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263,2</w:t>
            </w:r>
          </w:p>
        </w:tc>
      </w:tr>
      <w:tr w:rsidR="00F37DCB" w14:paraId="31282E4D"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08E7BEA6"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Транспортне і складське господарство</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D89A85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385,4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50B063D"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440,4</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2FB31B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646,8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9AE43D8"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672,7</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D6D88B7"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699,6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E22A6C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727,6</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263FE85"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756,7</w:t>
            </w:r>
          </w:p>
        </w:tc>
      </w:tr>
      <w:tr w:rsidR="00F37DCB" w14:paraId="264C2678"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6D850EB8"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Інші послуги</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492A560"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91,6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8DF2985"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164,8</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4489E66"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128,2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0F162AE"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133,3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7638CD3"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138,7</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11E257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144,2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C8F08A9"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150,0</w:t>
            </w:r>
          </w:p>
        </w:tc>
      </w:tr>
      <w:tr w:rsidR="00F37DCB" w14:paraId="77EE0850"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526C92B9" w14:textId="77777777" w:rsidR="00852A1F" w:rsidRPr="00852A1F" w:rsidRDefault="00000000" w:rsidP="00852A1F">
            <w:pPr>
              <w:tabs>
                <w:tab w:val="left" w:pos="851"/>
              </w:tabs>
              <w:ind w:right="-57"/>
              <w:jc w:val="both"/>
              <w:rPr>
                <w:rFonts w:ascii="Times New Roman" w:hAnsi="Times New Roman"/>
                <w:sz w:val="24"/>
                <w:szCs w:val="28"/>
              </w:rPr>
            </w:pPr>
            <w:r w:rsidRPr="00852A1F">
              <w:rPr>
                <w:rFonts w:ascii="Times New Roman" w:hAnsi="Times New Roman"/>
                <w:sz w:val="24"/>
                <w:szCs w:val="28"/>
              </w:rPr>
              <w:t>Разом</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A45A7D6"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4777,3</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D449468"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6552,5</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AFE478D" w14:textId="77777777" w:rsidR="00852A1F" w:rsidRPr="00852A1F" w:rsidRDefault="00000000" w:rsidP="00852A1F">
            <w:pPr>
              <w:tabs>
                <w:tab w:val="left" w:pos="851"/>
              </w:tabs>
              <w:ind w:left="-57" w:right="-57"/>
              <w:jc w:val="right"/>
              <w:rPr>
                <w:rFonts w:ascii="Times New Roman" w:hAnsi="Times New Roman"/>
                <w:b/>
                <w:bCs/>
                <w:sz w:val="24"/>
                <w:szCs w:val="28"/>
              </w:rPr>
            </w:pPr>
            <w:r w:rsidRPr="00852A1F">
              <w:rPr>
                <w:rFonts w:ascii="Times New Roman" w:hAnsi="Times New Roman"/>
                <w:b/>
                <w:bCs/>
                <w:sz w:val="24"/>
                <w:szCs w:val="28"/>
              </w:rPr>
              <w:t>9000,0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80BCA08"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9360,0</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7527EA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9734,4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2D0CBA5"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10123,8</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F2134A9"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10528,7</w:t>
            </w:r>
          </w:p>
        </w:tc>
      </w:tr>
    </w:tbl>
    <w:p w14:paraId="01C1EBDD" w14:textId="77777777" w:rsidR="00852A1F" w:rsidRPr="00852A1F" w:rsidRDefault="00000000" w:rsidP="00852A1F">
      <w:pPr>
        <w:tabs>
          <w:tab w:val="left" w:pos="851"/>
        </w:tabs>
        <w:spacing w:before="240"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Податок на додану вартість</w:t>
      </w:r>
    </w:p>
    <w:p w14:paraId="07822813"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Для розрахунку наступних показників необхідно визначити показник матеріалоємності, який визначається у відсотках від валового продукту індустріального парку. Відповідно до статичних даних показник матеріалоємності, розрахований на основі даних міжгалузевого балансу «витрати–випуск», становить: у машинобудуванні – 70,4%, ремонті устаткування та машин – 63,6%, транспорті і складському господарстві – 56,3%, діяльність у сфері адміністративного та допоміжного обслуговування – 49,4%. На основі аналізу вказаних даних визначено відповідну частку даного показника за галузями і розраховано значення у вартісному вираженні (табл. 14).</w:t>
      </w:r>
    </w:p>
    <w:p w14:paraId="27480985"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14.</w:t>
      </w:r>
      <w:r w:rsidRPr="00852A1F">
        <w:rPr>
          <w:rFonts w:ascii="Times New Roman" w:eastAsia="Calibri" w:hAnsi="Times New Roman" w:cs="Times New Roman"/>
          <w:kern w:val="2"/>
          <w:sz w:val="28"/>
          <w:szCs w:val="28"/>
          <w:lang w:eastAsia="en-US"/>
          <w14:ligatures w14:val="standardContextual"/>
        </w:rPr>
        <w:t xml:space="preserve"> Прогнозна матеріалоємність валового випуску ІП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млн грн</w:t>
      </w:r>
    </w:p>
    <w:tbl>
      <w:tblPr>
        <w:tblStyle w:val="13"/>
        <w:tblW w:w="0" w:type="auto"/>
        <w:tblLook w:val="04A0" w:firstRow="1" w:lastRow="0" w:firstColumn="1" w:lastColumn="0" w:noHBand="0" w:noVBand="1"/>
      </w:tblPr>
      <w:tblGrid>
        <w:gridCol w:w="2490"/>
        <w:gridCol w:w="1000"/>
        <w:gridCol w:w="1000"/>
        <w:gridCol w:w="1000"/>
        <w:gridCol w:w="999"/>
        <w:gridCol w:w="1000"/>
        <w:gridCol w:w="999"/>
        <w:gridCol w:w="1000"/>
      </w:tblGrid>
      <w:tr w:rsidR="00F37DCB" w14:paraId="6D86744E" w14:textId="77777777" w:rsidTr="00852A1F">
        <w:tc>
          <w:tcPr>
            <w:tcW w:w="2547" w:type="dxa"/>
            <w:tcBorders>
              <w:top w:val="single" w:sz="4" w:space="0" w:color="auto"/>
              <w:left w:val="single" w:sz="4" w:space="0" w:color="auto"/>
              <w:bottom w:val="single" w:sz="4" w:space="0" w:color="auto"/>
              <w:right w:val="single" w:sz="4" w:space="0" w:color="auto"/>
            </w:tcBorders>
            <w:shd w:val="clear" w:color="auto" w:fill="809EC2"/>
            <w:hideMark/>
          </w:tcPr>
          <w:p w14:paraId="11A1E8A9"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Сфера діяльності</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B674C37"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2029</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14E38747"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2030</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7C96DD8"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2031</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587DEC3"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2032</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8798E45"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2033</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A53C614"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2034</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AE2E55F"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2035</w:t>
            </w:r>
          </w:p>
        </w:tc>
      </w:tr>
      <w:tr w:rsidR="00F37DCB" w14:paraId="5E44D57A"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5A28CBD8"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Виробництво промислової продукції</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A2112E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2943,8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1DE33C8"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4071,2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47544AB"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5630,4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1D812C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5855,6</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95496FD"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6089,8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D311ACA"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6333,4</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FDD77AC"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6586,8</w:t>
            </w:r>
          </w:p>
        </w:tc>
      </w:tr>
      <w:tr w:rsidR="00F37DCB" w14:paraId="10CF6733"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11BE9AEA"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Ремонт машин та устаткування</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849C49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82,8</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106EC68"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114,5</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1A823AE"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158,4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A6D9224"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164,7</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88C574D"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171,3</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AFE1836"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178,1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0F3B765"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185,3</w:t>
            </w:r>
          </w:p>
        </w:tc>
      </w:tr>
      <w:tr w:rsidR="00F37DCB" w14:paraId="1525129A"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7FB6CA44"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Транспортне і складське господарство</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27AA27E"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271,2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5B8852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310,0</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2D81629"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455,2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6D6EE3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473,4</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E7CE310"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492,4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81F89B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512,1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CF243F0"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532,5</w:t>
            </w:r>
          </w:p>
        </w:tc>
      </w:tr>
      <w:tr w:rsidR="00F37DCB" w14:paraId="4E059820"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4A474B34" w14:textId="77777777" w:rsidR="00852A1F" w:rsidRPr="00852A1F" w:rsidRDefault="00000000" w:rsidP="00852A1F">
            <w:pPr>
              <w:tabs>
                <w:tab w:val="left" w:pos="851"/>
              </w:tabs>
              <w:ind w:right="-57"/>
              <w:rPr>
                <w:rFonts w:ascii="Times New Roman" w:hAnsi="Times New Roman"/>
                <w:sz w:val="24"/>
                <w:szCs w:val="28"/>
              </w:rPr>
            </w:pPr>
            <w:r w:rsidRPr="00852A1F">
              <w:rPr>
                <w:rFonts w:ascii="Times New Roman" w:hAnsi="Times New Roman"/>
                <w:sz w:val="24"/>
                <w:szCs w:val="28"/>
              </w:rPr>
              <w:t>Інші послуги</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C1CD8A4"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64,4</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9AFE1BE"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116,0</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B7431E2"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90,2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3AA683E"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93,8</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B6DF4C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97,6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4536EF9"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101,5</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FD51EA6"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105,6</w:t>
            </w:r>
          </w:p>
        </w:tc>
      </w:tr>
      <w:tr w:rsidR="00F37DCB" w14:paraId="5B6C07DF" w14:textId="77777777" w:rsidTr="00852A1F">
        <w:tc>
          <w:tcPr>
            <w:tcW w:w="2547" w:type="dxa"/>
            <w:tcBorders>
              <w:top w:val="single" w:sz="4" w:space="0" w:color="auto"/>
              <w:left w:val="single" w:sz="4" w:space="0" w:color="auto"/>
              <w:bottom w:val="single" w:sz="4" w:space="0" w:color="auto"/>
              <w:right w:val="single" w:sz="4" w:space="0" w:color="auto"/>
            </w:tcBorders>
            <w:hideMark/>
          </w:tcPr>
          <w:p w14:paraId="47A9EAF3" w14:textId="77777777" w:rsidR="00852A1F" w:rsidRPr="00852A1F" w:rsidRDefault="00000000" w:rsidP="00852A1F">
            <w:pPr>
              <w:tabs>
                <w:tab w:val="left" w:pos="851"/>
              </w:tabs>
              <w:ind w:right="-57"/>
              <w:jc w:val="both"/>
              <w:rPr>
                <w:rFonts w:ascii="Times New Roman" w:hAnsi="Times New Roman"/>
                <w:sz w:val="24"/>
                <w:szCs w:val="28"/>
              </w:rPr>
            </w:pPr>
            <w:r w:rsidRPr="00852A1F">
              <w:rPr>
                <w:rFonts w:ascii="Times New Roman" w:hAnsi="Times New Roman"/>
                <w:sz w:val="24"/>
                <w:szCs w:val="28"/>
              </w:rPr>
              <w:t>Разом</w:t>
            </w:r>
          </w:p>
        </w:tc>
        <w:tc>
          <w:tcPr>
            <w:tcW w:w="1011" w:type="dxa"/>
            <w:tcBorders>
              <w:top w:val="single" w:sz="4" w:space="0" w:color="auto"/>
              <w:left w:val="single" w:sz="4" w:space="0" w:color="auto"/>
              <w:bottom w:val="single" w:sz="4" w:space="0" w:color="auto"/>
              <w:right w:val="single" w:sz="4" w:space="0" w:color="auto"/>
            </w:tcBorders>
            <w:vAlign w:val="center"/>
            <w:hideMark/>
          </w:tcPr>
          <w:p w14:paraId="5CA7589F"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3362,3</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AFFBEA1"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4611,7</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040EB6C"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6334,2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5946C45"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6587,6</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A0A6B56"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6851,1</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CC474AC"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7125,1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7BCA754" w14:textId="77777777" w:rsidR="00852A1F" w:rsidRPr="00852A1F" w:rsidRDefault="00000000" w:rsidP="00852A1F">
            <w:pPr>
              <w:tabs>
                <w:tab w:val="left" w:pos="851"/>
              </w:tabs>
              <w:ind w:left="-57" w:right="-57"/>
              <w:jc w:val="right"/>
              <w:rPr>
                <w:rFonts w:ascii="Times New Roman" w:hAnsi="Times New Roman"/>
                <w:sz w:val="24"/>
                <w:szCs w:val="28"/>
              </w:rPr>
            </w:pPr>
            <w:r w:rsidRPr="00852A1F">
              <w:rPr>
                <w:rFonts w:ascii="Times New Roman" w:hAnsi="Times New Roman"/>
                <w:sz w:val="24"/>
                <w:szCs w:val="28"/>
              </w:rPr>
              <w:t>7410,1</w:t>
            </w:r>
          </w:p>
        </w:tc>
      </w:tr>
    </w:tbl>
    <w:p w14:paraId="5A76E55B" w14:textId="77777777" w:rsidR="00852A1F" w:rsidRPr="00852A1F" w:rsidRDefault="00852A1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1E49AAC1" w14:textId="77777777" w:rsidR="00852A1F" w:rsidRPr="00852A1F" w:rsidRDefault="00000000" w:rsidP="00852A1F">
      <w:pPr>
        <w:widowControl w:val="0"/>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На основі визначеного значення матеріалоємності випуску в парку розраховується сума податкового кредиту, що становить 20% від одержаного обсягу. Поряд з цим, визначивши далі податкові зобов’язання учасників індустріального парку зі сплати ПДВ, можна розрахувати їх чистий внесок у сплату цього податку до бюджету як різницю між значенням цих зобов’язань та сумою податкового кредиту. Розрахунки свідчать, що сплата ПДВ учасниками й іншими суб’єктами парку сягне 623,7 млн грн на рік у 2035 році (табл. 15).</w:t>
      </w:r>
    </w:p>
    <w:p w14:paraId="0B2867A9" w14:textId="77777777" w:rsidR="00852A1F" w:rsidRPr="00852A1F" w:rsidRDefault="00852A1F" w:rsidP="00852A1F">
      <w:pPr>
        <w:widowControl w:val="0"/>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281D850E" w14:textId="77777777" w:rsidR="00852A1F" w:rsidRPr="00852A1F" w:rsidRDefault="00000000" w:rsidP="00852A1F">
      <w:pPr>
        <w:tabs>
          <w:tab w:val="left" w:pos="851"/>
        </w:tabs>
        <w:spacing w:after="0" w:line="240" w:lineRule="auto"/>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lastRenderedPageBreak/>
        <w:t>Табл. 15.</w:t>
      </w:r>
      <w:r w:rsidRPr="00852A1F">
        <w:rPr>
          <w:rFonts w:ascii="Times New Roman" w:eastAsia="Calibri" w:hAnsi="Times New Roman" w:cs="Times New Roman"/>
          <w:kern w:val="2"/>
          <w:sz w:val="28"/>
          <w:szCs w:val="28"/>
          <w:lang w:eastAsia="en-US"/>
          <w14:ligatures w14:val="standardContextual"/>
        </w:rPr>
        <w:t xml:space="preserve"> Розрахунок сплати ПДВ учасниками ІП «БУДШЛЯХМАШ», млн грн</w:t>
      </w:r>
    </w:p>
    <w:tbl>
      <w:tblPr>
        <w:tblStyle w:val="13"/>
        <w:tblW w:w="0" w:type="auto"/>
        <w:tblLook w:val="04A0" w:firstRow="1" w:lastRow="0" w:firstColumn="1" w:lastColumn="0" w:noHBand="0" w:noVBand="1"/>
      </w:tblPr>
      <w:tblGrid>
        <w:gridCol w:w="2894"/>
        <w:gridCol w:w="937"/>
        <w:gridCol w:w="943"/>
        <w:gridCol w:w="943"/>
        <w:gridCol w:w="942"/>
        <w:gridCol w:w="943"/>
        <w:gridCol w:w="943"/>
        <w:gridCol w:w="943"/>
      </w:tblGrid>
      <w:tr w:rsidR="00F37DCB" w14:paraId="155B307E" w14:textId="77777777" w:rsidTr="00852A1F">
        <w:tc>
          <w:tcPr>
            <w:tcW w:w="2972" w:type="dxa"/>
            <w:tcBorders>
              <w:top w:val="single" w:sz="4" w:space="0" w:color="auto"/>
              <w:left w:val="single" w:sz="4" w:space="0" w:color="auto"/>
              <w:bottom w:val="single" w:sz="4" w:space="0" w:color="auto"/>
              <w:right w:val="single" w:sz="4" w:space="0" w:color="auto"/>
            </w:tcBorders>
            <w:shd w:val="clear" w:color="auto" w:fill="809EC2"/>
            <w:hideMark/>
          </w:tcPr>
          <w:p w14:paraId="0F862894"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Сфера діяльності</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8CF7BFA"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3AD3E0DD"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D665D38"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B130C82"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4D37EB6"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0B101C1"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19D29D8"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0E5CC6EA" w14:textId="77777777" w:rsidTr="00852A1F">
        <w:tc>
          <w:tcPr>
            <w:tcW w:w="9627" w:type="dxa"/>
            <w:gridSpan w:val="8"/>
            <w:tcBorders>
              <w:top w:val="single" w:sz="4" w:space="0" w:color="auto"/>
              <w:left w:val="single" w:sz="4" w:space="0" w:color="auto"/>
              <w:bottom w:val="single" w:sz="4" w:space="0" w:color="auto"/>
              <w:right w:val="single" w:sz="4" w:space="0" w:color="auto"/>
            </w:tcBorders>
            <w:hideMark/>
          </w:tcPr>
          <w:p w14:paraId="66601043" w14:textId="77777777" w:rsidR="00852A1F" w:rsidRPr="00852A1F" w:rsidRDefault="00000000" w:rsidP="00852A1F">
            <w:pPr>
              <w:tabs>
                <w:tab w:val="left" w:pos="851"/>
              </w:tabs>
              <w:spacing w:before="40"/>
              <w:ind w:right="-57"/>
              <w:rPr>
                <w:rFonts w:ascii="Times New Roman" w:hAnsi="Times New Roman"/>
                <w:b/>
                <w:bCs/>
                <w:sz w:val="24"/>
                <w:szCs w:val="24"/>
              </w:rPr>
            </w:pPr>
            <w:r w:rsidRPr="00852A1F">
              <w:rPr>
                <w:rFonts w:ascii="Times New Roman" w:hAnsi="Times New Roman"/>
                <w:b/>
                <w:bCs/>
                <w:sz w:val="24"/>
                <w:szCs w:val="24"/>
              </w:rPr>
              <w:t>Податковий кредит зі сплати ПДВ</w:t>
            </w:r>
          </w:p>
        </w:tc>
      </w:tr>
      <w:tr w:rsidR="00F37DCB" w14:paraId="661E255B"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1847BA0E"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vAlign w:val="center"/>
            <w:hideMark/>
          </w:tcPr>
          <w:p w14:paraId="12B963A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588,8</w:t>
            </w:r>
          </w:p>
        </w:tc>
        <w:tc>
          <w:tcPr>
            <w:tcW w:w="951" w:type="dxa"/>
            <w:tcBorders>
              <w:top w:val="single" w:sz="4" w:space="0" w:color="auto"/>
              <w:left w:val="single" w:sz="4" w:space="0" w:color="auto"/>
              <w:bottom w:val="single" w:sz="4" w:space="0" w:color="auto"/>
              <w:right w:val="single" w:sz="4" w:space="0" w:color="auto"/>
            </w:tcBorders>
            <w:vAlign w:val="center"/>
            <w:hideMark/>
          </w:tcPr>
          <w:p w14:paraId="6D31033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814,2</w:t>
            </w:r>
          </w:p>
        </w:tc>
        <w:tc>
          <w:tcPr>
            <w:tcW w:w="951" w:type="dxa"/>
            <w:tcBorders>
              <w:top w:val="single" w:sz="4" w:space="0" w:color="auto"/>
              <w:left w:val="single" w:sz="4" w:space="0" w:color="auto"/>
              <w:bottom w:val="single" w:sz="4" w:space="0" w:color="auto"/>
              <w:right w:val="single" w:sz="4" w:space="0" w:color="auto"/>
            </w:tcBorders>
            <w:vAlign w:val="center"/>
            <w:hideMark/>
          </w:tcPr>
          <w:p w14:paraId="0C543C8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1126,1</w:t>
            </w:r>
          </w:p>
        </w:tc>
        <w:tc>
          <w:tcPr>
            <w:tcW w:w="950" w:type="dxa"/>
            <w:tcBorders>
              <w:top w:val="single" w:sz="4" w:space="0" w:color="auto"/>
              <w:left w:val="single" w:sz="4" w:space="0" w:color="auto"/>
              <w:bottom w:val="single" w:sz="4" w:space="0" w:color="auto"/>
              <w:right w:val="single" w:sz="4" w:space="0" w:color="auto"/>
            </w:tcBorders>
            <w:vAlign w:val="center"/>
            <w:hideMark/>
          </w:tcPr>
          <w:p w14:paraId="16A1E24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1171,1</w:t>
            </w:r>
          </w:p>
        </w:tc>
        <w:tc>
          <w:tcPr>
            <w:tcW w:w="951" w:type="dxa"/>
            <w:tcBorders>
              <w:top w:val="single" w:sz="4" w:space="0" w:color="auto"/>
              <w:left w:val="single" w:sz="4" w:space="0" w:color="auto"/>
              <w:bottom w:val="single" w:sz="4" w:space="0" w:color="auto"/>
              <w:right w:val="single" w:sz="4" w:space="0" w:color="auto"/>
            </w:tcBorders>
            <w:vAlign w:val="center"/>
            <w:hideMark/>
          </w:tcPr>
          <w:p w14:paraId="5B72873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1218,0</w:t>
            </w:r>
          </w:p>
        </w:tc>
        <w:tc>
          <w:tcPr>
            <w:tcW w:w="951" w:type="dxa"/>
            <w:tcBorders>
              <w:top w:val="single" w:sz="4" w:space="0" w:color="auto"/>
              <w:left w:val="single" w:sz="4" w:space="0" w:color="auto"/>
              <w:bottom w:val="single" w:sz="4" w:space="0" w:color="auto"/>
              <w:right w:val="single" w:sz="4" w:space="0" w:color="auto"/>
            </w:tcBorders>
            <w:vAlign w:val="center"/>
            <w:hideMark/>
          </w:tcPr>
          <w:p w14:paraId="53BA6FD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1266,7</w:t>
            </w:r>
          </w:p>
        </w:tc>
        <w:tc>
          <w:tcPr>
            <w:tcW w:w="951" w:type="dxa"/>
            <w:tcBorders>
              <w:top w:val="single" w:sz="4" w:space="0" w:color="auto"/>
              <w:left w:val="single" w:sz="4" w:space="0" w:color="auto"/>
              <w:bottom w:val="single" w:sz="4" w:space="0" w:color="auto"/>
              <w:right w:val="single" w:sz="4" w:space="0" w:color="auto"/>
            </w:tcBorders>
            <w:vAlign w:val="center"/>
            <w:hideMark/>
          </w:tcPr>
          <w:p w14:paraId="32619F0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1317,4</w:t>
            </w:r>
          </w:p>
        </w:tc>
      </w:tr>
      <w:tr w:rsidR="00F37DCB" w14:paraId="245661BE"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2D8C0A26"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vAlign w:val="center"/>
            <w:hideMark/>
          </w:tcPr>
          <w:p w14:paraId="706E117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16,6</w:t>
            </w:r>
          </w:p>
        </w:tc>
        <w:tc>
          <w:tcPr>
            <w:tcW w:w="951" w:type="dxa"/>
            <w:tcBorders>
              <w:top w:val="single" w:sz="4" w:space="0" w:color="auto"/>
              <w:left w:val="single" w:sz="4" w:space="0" w:color="auto"/>
              <w:bottom w:val="single" w:sz="4" w:space="0" w:color="auto"/>
              <w:right w:val="single" w:sz="4" w:space="0" w:color="auto"/>
            </w:tcBorders>
            <w:vAlign w:val="center"/>
            <w:hideMark/>
          </w:tcPr>
          <w:p w14:paraId="49A1153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22,9</w:t>
            </w:r>
          </w:p>
        </w:tc>
        <w:tc>
          <w:tcPr>
            <w:tcW w:w="951" w:type="dxa"/>
            <w:tcBorders>
              <w:top w:val="single" w:sz="4" w:space="0" w:color="auto"/>
              <w:left w:val="single" w:sz="4" w:space="0" w:color="auto"/>
              <w:bottom w:val="single" w:sz="4" w:space="0" w:color="auto"/>
              <w:right w:val="single" w:sz="4" w:space="0" w:color="auto"/>
            </w:tcBorders>
            <w:vAlign w:val="center"/>
            <w:hideMark/>
          </w:tcPr>
          <w:p w14:paraId="43B8ADA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31,7</w:t>
            </w:r>
          </w:p>
        </w:tc>
        <w:tc>
          <w:tcPr>
            <w:tcW w:w="950" w:type="dxa"/>
            <w:tcBorders>
              <w:top w:val="single" w:sz="4" w:space="0" w:color="auto"/>
              <w:left w:val="single" w:sz="4" w:space="0" w:color="auto"/>
              <w:bottom w:val="single" w:sz="4" w:space="0" w:color="auto"/>
              <w:right w:val="single" w:sz="4" w:space="0" w:color="auto"/>
            </w:tcBorders>
            <w:vAlign w:val="center"/>
            <w:hideMark/>
          </w:tcPr>
          <w:p w14:paraId="1EEBFB5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32,9</w:t>
            </w:r>
          </w:p>
        </w:tc>
        <w:tc>
          <w:tcPr>
            <w:tcW w:w="951" w:type="dxa"/>
            <w:tcBorders>
              <w:top w:val="single" w:sz="4" w:space="0" w:color="auto"/>
              <w:left w:val="single" w:sz="4" w:space="0" w:color="auto"/>
              <w:bottom w:val="single" w:sz="4" w:space="0" w:color="auto"/>
              <w:right w:val="single" w:sz="4" w:space="0" w:color="auto"/>
            </w:tcBorders>
            <w:vAlign w:val="center"/>
            <w:hideMark/>
          </w:tcPr>
          <w:p w14:paraId="5E15767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34,3</w:t>
            </w:r>
          </w:p>
        </w:tc>
        <w:tc>
          <w:tcPr>
            <w:tcW w:w="951" w:type="dxa"/>
            <w:tcBorders>
              <w:top w:val="single" w:sz="4" w:space="0" w:color="auto"/>
              <w:left w:val="single" w:sz="4" w:space="0" w:color="auto"/>
              <w:bottom w:val="single" w:sz="4" w:space="0" w:color="auto"/>
              <w:right w:val="single" w:sz="4" w:space="0" w:color="auto"/>
            </w:tcBorders>
            <w:vAlign w:val="center"/>
            <w:hideMark/>
          </w:tcPr>
          <w:p w14:paraId="786DBE5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35,6</w:t>
            </w:r>
          </w:p>
        </w:tc>
        <w:tc>
          <w:tcPr>
            <w:tcW w:w="951" w:type="dxa"/>
            <w:tcBorders>
              <w:top w:val="single" w:sz="4" w:space="0" w:color="auto"/>
              <w:left w:val="single" w:sz="4" w:space="0" w:color="auto"/>
              <w:bottom w:val="single" w:sz="4" w:space="0" w:color="auto"/>
              <w:right w:val="single" w:sz="4" w:space="0" w:color="auto"/>
            </w:tcBorders>
            <w:vAlign w:val="center"/>
            <w:hideMark/>
          </w:tcPr>
          <w:p w14:paraId="252C020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37,1</w:t>
            </w:r>
          </w:p>
        </w:tc>
      </w:tr>
      <w:tr w:rsidR="00F37DCB" w14:paraId="482BB77D"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20F08D64"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vAlign w:val="center"/>
            <w:hideMark/>
          </w:tcPr>
          <w:p w14:paraId="476D073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54,2</w:t>
            </w:r>
          </w:p>
        </w:tc>
        <w:tc>
          <w:tcPr>
            <w:tcW w:w="951" w:type="dxa"/>
            <w:tcBorders>
              <w:top w:val="single" w:sz="4" w:space="0" w:color="auto"/>
              <w:left w:val="single" w:sz="4" w:space="0" w:color="auto"/>
              <w:bottom w:val="single" w:sz="4" w:space="0" w:color="auto"/>
              <w:right w:val="single" w:sz="4" w:space="0" w:color="auto"/>
            </w:tcBorders>
            <w:vAlign w:val="center"/>
            <w:hideMark/>
          </w:tcPr>
          <w:p w14:paraId="3CBB040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62,0</w:t>
            </w:r>
          </w:p>
        </w:tc>
        <w:tc>
          <w:tcPr>
            <w:tcW w:w="951" w:type="dxa"/>
            <w:tcBorders>
              <w:top w:val="single" w:sz="4" w:space="0" w:color="auto"/>
              <w:left w:val="single" w:sz="4" w:space="0" w:color="auto"/>
              <w:bottom w:val="single" w:sz="4" w:space="0" w:color="auto"/>
              <w:right w:val="single" w:sz="4" w:space="0" w:color="auto"/>
            </w:tcBorders>
            <w:vAlign w:val="center"/>
            <w:hideMark/>
          </w:tcPr>
          <w:p w14:paraId="6D955C3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91,0</w:t>
            </w:r>
          </w:p>
        </w:tc>
        <w:tc>
          <w:tcPr>
            <w:tcW w:w="950" w:type="dxa"/>
            <w:tcBorders>
              <w:top w:val="single" w:sz="4" w:space="0" w:color="auto"/>
              <w:left w:val="single" w:sz="4" w:space="0" w:color="auto"/>
              <w:bottom w:val="single" w:sz="4" w:space="0" w:color="auto"/>
              <w:right w:val="single" w:sz="4" w:space="0" w:color="auto"/>
            </w:tcBorders>
            <w:vAlign w:val="center"/>
            <w:hideMark/>
          </w:tcPr>
          <w:p w14:paraId="15FFE9F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94,7</w:t>
            </w:r>
          </w:p>
        </w:tc>
        <w:tc>
          <w:tcPr>
            <w:tcW w:w="951" w:type="dxa"/>
            <w:tcBorders>
              <w:top w:val="single" w:sz="4" w:space="0" w:color="auto"/>
              <w:left w:val="single" w:sz="4" w:space="0" w:color="auto"/>
              <w:bottom w:val="single" w:sz="4" w:space="0" w:color="auto"/>
              <w:right w:val="single" w:sz="4" w:space="0" w:color="auto"/>
            </w:tcBorders>
            <w:vAlign w:val="center"/>
            <w:hideMark/>
          </w:tcPr>
          <w:p w14:paraId="15BED0D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98,5</w:t>
            </w:r>
          </w:p>
        </w:tc>
        <w:tc>
          <w:tcPr>
            <w:tcW w:w="951" w:type="dxa"/>
            <w:tcBorders>
              <w:top w:val="single" w:sz="4" w:space="0" w:color="auto"/>
              <w:left w:val="single" w:sz="4" w:space="0" w:color="auto"/>
              <w:bottom w:val="single" w:sz="4" w:space="0" w:color="auto"/>
              <w:right w:val="single" w:sz="4" w:space="0" w:color="auto"/>
            </w:tcBorders>
            <w:vAlign w:val="center"/>
            <w:hideMark/>
          </w:tcPr>
          <w:p w14:paraId="545E9F7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102,4</w:t>
            </w:r>
          </w:p>
        </w:tc>
        <w:tc>
          <w:tcPr>
            <w:tcW w:w="951" w:type="dxa"/>
            <w:tcBorders>
              <w:top w:val="single" w:sz="4" w:space="0" w:color="auto"/>
              <w:left w:val="single" w:sz="4" w:space="0" w:color="auto"/>
              <w:bottom w:val="single" w:sz="4" w:space="0" w:color="auto"/>
              <w:right w:val="single" w:sz="4" w:space="0" w:color="auto"/>
            </w:tcBorders>
            <w:vAlign w:val="center"/>
            <w:hideMark/>
          </w:tcPr>
          <w:p w14:paraId="4D18B6D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106,5</w:t>
            </w:r>
          </w:p>
        </w:tc>
      </w:tr>
      <w:tr w:rsidR="00F37DCB" w14:paraId="5AC255DB"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502B1EA2"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Інші послуги</w:t>
            </w:r>
          </w:p>
        </w:tc>
        <w:tc>
          <w:tcPr>
            <w:tcW w:w="950" w:type="dxa"/>
            <w:tcBorders>
              <w:top w:val="single" w:sz="4" w:space="0" w:color="auto"/>
              <w:left w:val="single" w:sz="4" w:space="0" w:color="auto"/>
              <w:bottom w:val="single" w:sz="4" w:space="0" w:color="auto"/>
              <w:right w:val="single" w:sz="4" w:space="0" w:color="auto"/>
            </w:tcBorders>
            <w:vAlign w:val="center"/>
            <w:hideMark/>
          </w:tcPr>
          <w:p w14:paraId="2143201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12,9</w:t>
            </w:r>
          </w:p>
        </w:tc>
        <w:tc>
          <w:tcPr>
            <w:tcW w:w="951" w:type="dxa"/>
            <w:tcBorders>
              <w:top w:val="single" w:sz="4" w:space="0" w:color="auto"/>
              <w:left w:val="single" w:sz="4" w:space="0" w:color="auto"/>
              <w:bottom w:val="single" w:sz="4" w:space="0" w:color="auto"/>
              <w:right w:val="single" w:sz="4" w:space="0" w:color="auto"/>
            </w:tcBorders>
            <w:vAlign w:val="center"/>
            <w:hideMark/>
          </w:tcPr>
          <w:p w14:paraId="2732FA2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23,2</w:t>
            </w:r>
          </w:p>
        </w:tc>
        <w:tc>
          <w:tcPr>
            <w:tcW w:w="951" w:type="dxa"/>
            <w:tcBorders>
              <w:top w:val="single" w:sz="4" w:space="0" w:color="auto"/>
              <w:left w:val="single" w:sz="4" w:space="0" w:color="auto"/>
              <w:bottom w:val="single" w:sz="4" w:space="0" w:color="auto"/>
              <w:right w:val="single" w:sz="4" w:space="0" w:color="auto"/>
            </w:tcBorders>
            <w:vAlign w:val="center"/>
            <w:hideMark/>
          </w:tcPr>
          <w:p w14:paraId="69B2B3C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18,0</w:t>
            </w:r>
          </w:p>
        </w:tc>
        <w:tc>
          <w:tcPr>
            <w:tcW w:w="950" w:type="dxa"/>
            <w:tcBorders>
              <w:top w:val="single" w:sz="4" w:space="0" w:color="auto"/>
              <w:left w:val="single" w:sz="4" w:space="0" w:color="auto"/>
              <w:bottom w:val="single" w:sz="4" w:space="0" w:color="auto"/>
              <w:right w:val="single" w:sz="4" w:space="0" w:color="auto"/>
            </w:tcBorders>
            <w:vAlign w:val="center"/>
            <w:hideMark/>
          </w:tcPr>
          <w:p w14:paraId="07A7D9C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18,8</w:t>
            </w:r>
          </w:p>
        </w:tc>
        <w:tc>
          <w:tcPr>
            <w:tcW w:w="951" w:type="dxa"/>
            <w:tcBorders>
              <w:top w:val="single" w:sz="4" w:space="0" w:color="auto"/>
              <w:left w:val="single" w:sz="4" w:space="0" w:color="auto"/>
              <w:bottom w:val="single" w:sz="4" w:space="0" w:color="auto"/>
              <w:right w:val="single" w:sz="4" w:space="0" w:color="auto"/>
            </w:tcBorders>
            <w:vAlign w:val="center"/>
            <w:hideMark/>
          </w:tcPr>
          <w:p w14:paraId="4D5B2E4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19,5</w:t>
            </w:r>
          </w:p>
        </w:tc>
        <w:tc>
          <w:tcPr>
            <w:tcW w:w="951" w:type="dxa"/>
            <w:tcBorders>
              <w:top w:val="single" w:sz="4" w:space="0" w:color="auto"/>
              <w:left w:val="single" w:sz="4" w:space="0" w:color="auto"/>
              <w:bottom w:val="single" w:sz="4" w:space="0" w:color="auto"/>
              <w:right w:val="single" w:sz="4" w:space="0" w:color="auto"/>
            </w:tcBorders>
            <w:vAlign w:val="center"/>
            <w:hideMark/>
          </w:tcPr>
          <w:p w14:paraId="3E0BBC2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20,3</w:t>
            </w:r>
          </w:p>
        </w:tc>
        <w:tc>
          <w:tcPr>
            <w:tcW w:w="951" w:type="dxa"/>
            <w:tcBorders>
              <w:top w:val="single" w:sz="4" w:space="0" w:color="auto"/>
              <w:left w:val="single" w:sz="4" w:space="0" w:color="auto"/>
              <w:bottom w:val="single" w:sz="4" w:space="0" w:color="auto"/>
              <w:right w:val="single" w:sz="4" w:space="0" w:color="auto"/>
            </w:tcBorders>
            <w:vAlign w:val="center"/>
            <w:hideMark/>
          </w:tcPr>
          <w:p w14:paraId="633DF3E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21,1</w:t>
            </w:r>
          </w:p>
        </w:tc>
      </w:tr>
      <w:tr w:rsidR="00F37DCB" w14:paraId="3FC372E4"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6C649F34" w14:textId="77777777" w:rsidR="00852A1F" w:rsidRPr="00852A1F" w:rsidRDefault="00000000" w:rsidP="00852A1F">
            <w:pPr>
              <w:tabs>
                <w:tab w:val="left" w:pos="851"/>
              </w:tabs>
              <w:ind w:right="-57"/>
              <w:jc w:val="both"/>
              <w:rPr>
                <w:rFonts w:ascii="Times New Roman" w:hAnsi="Times New Roman"/>
                <w:sz w:val="24"/>
                <w:szCs w:val="24"/>
              </w:rPr>
            </w:pPr>
            <w:r w:rsidRPr="00852A1F">
              <w:rPr>
                <w:rFonts w:ascii="Times New Roman" w:hAnsi="Times New Roman"/>
                <w:sz w:val="24"/>
                <w:szCs w:val="24"/>
              </w:rPr>
              <w:t>Разом</w:t>
            </w:r>
          </w:p>
        </w:tc>
        <w:tc>
          <w:tcPr>
            <w:tcW w:w="950" w:type="dxa"/>
            <w:tcBorders>
              <w:top w:val="single" w:sz="4" w:space="0" w:color="auto"/>
              <w:left w:val="single" w:sz="4" w:space="0" w:color="auto"/>
              <w:bottom w:val="single" w:sz="4" w:space="0" w:color="auto"/>
              <w:right w:val="single" w:sz="4" w:space="0" w:color="auto"/>
            </w:tcBorders>
            <w:vAlign w:val="center"/>
            <w:hideMark/>
          </w:tcPr>
          <w:p w14:paraId="6B3C764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672,5</w:t>
            </w:r>
          </w:p>
        </w:tc>
        <w:tc>
          <w:tcPr>
            <w:tcW w:w="951" w:type="dxa"/>
            <w:tcBorders>
              <w:top w:val="single" w:sz="4" w:space="0" w:color="auto"/>
              <w:left w:val="single" w:sz="4" w:space="0" w:color="auto"/>
              <w:bottom w:val="single" w:sz="4" w:space="0" w:color="auto"/>
              <w:right w:val="single" w:sz="4" w:space="0" w:color="auto"/>
            </w:tcBorders>
            <w:vAlign w:val="center"/>
            <w:hideMark/>
          </w:tcPr>
          <w:p w14:paraId="0991E99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922,3</w:t>
            </w:r>
          </w:p>
        </w:tc>
        <w:tc>
          <w:tcPr>
            <w:tcW w:w="951" w:type="dxa"/>
            <w:tcBorders>
              <w:top w:val="single" w:sz="4" w:space="0" w:color="auto"/>
              <w:left w:val="single" w:sz="4" w:space="0" w:color="auto"/>
              <w:bottom w:val="single" w:sz="4" w:space="0" w:color="auto"/>
              <w:right w:val="single" w:sz="4" w:space="0" w:color="auto"/>
            </w:tcBorders>
            <w:vAlign w:val="center"/>
            <w:hideMark/>
          </w:tcPr>
          <w:p w14:paraId="3DBB2C6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1266,8</w:t>
            </w:r>
          </w:p>
        </w:tc>
        <w:tc>
          <w:tcPr>
            <w:tcW w:w="950" w:type="dxa"/>
            <w:tcBorders>
              <w:top w:val="single" w:sz="4" w:space="0" w:color="auto"/>
              <w:left w:val="single" w:sz="4" w:space="0" w:color="auto"/>
              <w:bottom w:val="single" w:sz="4" w:space="0" w:color="auto"/>
              <w:right w:val="single" w:sz="4" w:space="0" w:color="auto"/>
            </w:tcBorders>
            <w:vAlign w:val="center"/>
            <w:hideMark/>
          </w:tcPr>
          <w:p w14:paraId="50A46B5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1317,5</w:t>
            </w:r>
          </w:p>
        </w:tc>
        <w:tc>
          <w:tcPr>
            <w:tcW w:w="951" w:type="dxa"/>
            <w:tcBorders>
              <w:top w:val="single" w:sz="4" w:space="0" w:color="auto"/>
              <w:left w:val="single" w:sz="4" w:space="0" w:color="auto"/>
              <w:bottom w:val="single" w:sz="4" w:space="0" w:color="auto"/>
              <w:right w:val="single" w:sz="4" w:space="0" w:color="auto"/>
            </w:tcBorders>
            <w:vAlign w:val="center"/>
            <w:hideMark/>
          </w:tcPr>
          <w:p w14:paraId="4EB72B0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1370,2</w:t>
            </w:r>
          </w:p>
        </w:tc>
        <w:tc>
          <w:tcPr>
            <w:tcW w:w="951" w:type="dxa"/>
            <w:tcBorders>
              <w:top w:val="single" w:sz="4" w:space="0" w:color="auto"/>
              <w:left w:val="single" w:sz="4" w:space="0" w:color="auto"/>
              <w:bottom w:val="single" w:sz="4" w:space="0" w:color="auto"/>
              <w:right w:val="single" w:sz="4" w:space="0" w:color="auto"/>
            </w:tcBorders>
            <w:vAlign w:val="center"/>
            <w:hideMark/>
          </w:tcPr>
          <w:p w14:paraId="63FB2C8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1425,0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35E8D1C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1482,0</w:t>
            </w:r>
          </w:p>
        </w:tc>
      </w:tr>
      <w:tr w:rsidR="00F37DCB" w14:paraId="5C7A89EF" w14:textId="77777777" w:rsidTr="00852A1F">
        <w:tc>
          <w:tcPr>
            <w:tcW w:w="9627" w:type="dxa"/>
            <w:gridSpan w:val="8"/>
            <w:tcBorders>
              <w:top w:val="single" w:sz="4" w:space="0" w:color="auto"/>
              <w:left w:val="single" w:sz="4" w:space="0" w:color="auto"/>
              <w:bottom w:val="single" w:sz="4" w:space="0" w:color="auto"/>
              <w:right w:val="single" w:sz="4" w:space="0" w:color="auto"/>
            </w:tcBorders>
            <w:hideMark/>
          </w:tcPr>
          <w:p w14:paraId="481B5AE3" w14:textId="77777777" w:rsidR="00852A1F" w:rsidRPr="00852A1F" w:rsidRDefault="00000000" w:rsidP="00852A1F">
            <w:pPr>
              <w:tabs>
                <w:tab w:val="left" w:pos="851"/>
              </w:tabs>
              <w:spacing w:before="40"/>
              <w:ind w:right="-57"/>
              <w:rPr>
                <w:rFonts w:ascii="Times New Roman" w:hAnsi="Times New Roman"/>
                <w:b/>
                <w:bCs/>
                <w:sz w:val="24"/>
                <w:szCs w:val="24"/>
              </w:rPr>
            </w:pPr>
            <w:r w:rsidRPr="00852A1F">
              <w:rPr>
                <w:rFonts w:ascii="Times New Roman" w:hAnsi="Times New Roman"/>
                <w:b/>
                <w:bCs/>
                <w:sz w:val="24"/>
                <w:szCs w:val="24"/>
              </w:rPr>
              <w:t xml:space="preserve">Податкові зобов’язання зі сплати ПДВ </w:t>
            </w:r>
          </w:p>
        </w:tc>
      </w:tr>
      <w:tr w:rsidR="00F37DCB" w14:paraId="75A4EDCE"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640A7D00"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vAlign w:val="center"/>
            <w:hideMark/>
          </w:tcPr>
          <w:p w14:paraId="016A476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836,5</w:t>
            </w:r>
          </w:p>
        </w:tc>
        <w:tc>
          <w:tcPr>
            <w:tcW w:w="951" w:type="dxa"/>
            <w:tcBorders>
              <w:top w:val="single" w:sz="4" w:space="0" w:color="auto"/>
              <w:left w:val="single" w:sz="4" w:space="0" w:color="auto"/>
              <w:bottom w:val="single" w:sz="4" w:space="0" w:color="auto"/>
              <w:right w:val="single" w:sz="4" w:space="0" w:color="auto"/>
            </w:tcBorders>
            <w:vAlign w:val="center"/>
            <w:hideMark/>
          </w:tcPr>
          <w:p w14:paraId="65425BE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1156,9</w:t>
            </w:r>
          </w:p>
        </w:tc>
        <w:tc>
          <w:tcPr>
            <w:tcW w:w="951" w:type="dxa"/>
            <w:tcBorders>
              <w:top w:val="single" w:sz="4" w:space="0" w:color="auto"/>
              <w:left w:val="single" w:sz="4" w:space="0" w:color="auto"/>
              <w:bottom w:val="single" w:sz="4" w:space="0" w:color="auto"/>
              <w:right w:val="single" w:sz="4" w:space="0" w:color="auto"/>
            </w:tcBorders>
            <w:vAlign w:val="center"/>
            <w:hideMark/>
          </w:tcPr>
          <w:p w14:paraId="3DCBFE0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1600,0</w:t>
            </w:r>
          </w:p>
        </w:tc>
        <w:tc>
          <w:tcPr>
            <w:tcW w:w="950" w:type="dxa"/>
            <w:tcBorders>
              <w:top w:val="single" w:sz="4" w:space="0" w:color="auto"/>
              <w:left w:val="single" w:sz="4" w:space="0" w:color="auto"/>
              <w:bottom w:val="single" w:sz="4" w:space="0" w:color="auto"/>
              <w:right w:val="single" w:sz="4" w:space="0" w:color="auto"/>
            </w:tcBorders>
            <w:vAlign w:val="center"/>
            <w:hideMark/>
          </w:tcPr>
          <w:p w14:paraId="55DCA9A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1664,0</w:t>
            </w:r>
          </w:p>
        </w:tc>
        <w:tc>
          <w:tcPr>
            <w:tcW w:w="951" w:type="dxa"/>
            <w:tcBorders>
              <w:top w:val="single" w:sz="4" w:space="0" w:color="auto"/>
              <w:left w:val="single" w:sz="4" w:space="0" w:color="auto"/>
              <w:bottom w:val="single" w:sz="4" w:space="0" w:color="auto"/>
              <w:right w:val="single" w:sz="4" w:space="0" w:color="auto"/>
            </w:tcBorders>
            <w:vAlign w:val="center"/>
            <w:hideMark/>
          </w:tcPr>
          <w:p w14:paraId="0D647EF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1730,6</w:t>
            </w:r>
          </w:p>
        </w:tc>
        <w:tc>
          <w:tcPr>
            <w:tcW w:w="951" w:type="dxa"/>
            <w:tcBorders>
              <w:top w:val="single" w:sz="4" w:space="0" w:color="auto"/>
              <w:left w:val="single" w:sz="4" w:space="0" w:color="auto"/>
              <w:bottom w:val="single" w:sz="4" w:space="0" w:color="auto"/>
              <w:right w:val="single" w:sz="4" w:space="0" w:color="auto"/>
            </w:tcBorders>
            <w:vAlign w:val="center"/>
            <w:hideMark/>
          </w:tcPr>
          <w:p w14:paraId="6366F49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1799,8</w:t>
            </w:r>
          </w:p>
        </w:tc>
        <w:tc>
          <w:tcPr>
            <w:tcW w:w="951" w:type="dxa"/>
            <w:tcBorders>
              <w:top w:val="single" w:sz="4" w:space="0" w:color="auto"/>
              <w:left w:val="single" w:sz="4" w:space="0" w:color="auto"/>
              <w:bottom w:val="single" w:sz="4" w:space="0" w:color="auto"/>
              <w:right w:val="single" w:sz="4" w:space="0" w:color="auto"/>
            </w:tcBorders>
            <w:vAlign w:val="center"/>
            <w:hideMark/>
          </w:tcPr>
          <w:p w14:paraId="7FC2F7A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1871,8</w:t>
            </w:r>
          </w:p>
        </w:tc>
      </w:tr>
      <w:tr w:rsidR="00F37DCB" w14:paraId="7F89B7F5"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5343F424"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vAlign w:val="center"/>
            <w:hideMark/>
          </w:tcPr>
          <w:p w14:paraId="70F9F01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23,5</w:t>
            </w:r>
          </w:p>
        </w:tc>
        <w:tc>
          <w:tcPr>
            <w:tcW w:w="951" w:type="dxa"/>
            <w:tcBorders>
              <w:top w:val="single" w:sz="4" w:space="0" w:color="auto"/>
              <w:left w:val="single" w:sz="4" w:space="0" w:color="auto"/>
              <w:bottom w:val="single" w:sz="4" w:space="0" w:color="auto"/>
              <w:right w:val="single" w:sz="4" w:space="0" w:color="auto"/>
            </w:tcBorders>
            <w:vAlign w:val="center"/>
            <w:hideMark/>
          </w:tcPr>
          <w:p w14:paraId="3F7D0C4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14:paraId="3B4D034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45,0</w:t>
            </w:r>
          </w:p>
        </w:tc>
        <w:tc>
          <w:tcPr>
            <w:tcW w:w="950" w:type="dxa"/>
            <w:tcBorders>
              <w:top w:val="single" w:sz="4" w:space="0" w:color="auto"/>
              <w:left w:val="single" w:sz="4" w:space="0" w:color="auto"/>
              <w:bottom w:val="single" w:sz="4" w:space="0" w:color="auto"/>
              <w:right w:val="single" w:sz="4" w:space="0" w:color="auto"/>
            </w:tcBorders>
            <w:vAlign w:val="center"/>
            <w:hideMark/>
          </w:tcPr>
          <w:p w14:paraId="1484259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46,8</w:t>
            </w:r>
          </w:p>
        </w:tc>
        <w:tc>
          <w:tcPr>
            <w:tcW w:w="951" w:type="dxa"/>
            <w:tcBorders>
              <w:top w:val="single" w:sz="4" w:space="0" w:color="auto"/>
              <w:left w:val="single" w:sz="4" w:space="0" w:color="auto"/>
              <w:bottom w:val="single" w:sz="4" w:space="0" w:color="auto"/>
              <w:right w:val="single" w:sz="4" w:space="0" w:color="auto"/>
            </w:tcBorders>
            <w:vAlign w:val="center"/>
            <w:hideMark/>
          </w:tcPr>
          <w:p w14:paraId="2CA4024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48,7</w:t>
            </w:r>
          </w:p>
        </w:tc>
        <w:tc>
          <w:tcPr>
            <w:tcW w:w="951" w:type="dxa"/>
            <w:tcBorders>
              <w:top w:val="single" w:sz="4" w:space="0" w:color="auto"/>
              <w:left w:val="single" w:sz="4" w:space="0" w:color="auto"/>
              <w:bottom w:val="single" w:sz="4" w:space="0" w:color="auto"/>
              <w:right w:val="single" w:sz="4" w:space="0" w:color="auto"/>
            </w:tcBorders>
            <w:vAlign w:val="center"/>
            <w:hideMark/>
          </w:tcPr>
          <w:p w14:paraId="2AF83C8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50,6</w:t>
            </w:r>
          </w:p>
        </w:tc>
        <w:tc>
          <w:tcPr>
            <w:tcW w:w="951" w:type="dxa"/>
            <w:tcBorders>
              <w:top w:val="single" w:sz="4" w:space="0" w:color="auto"/>
              <w:left w:val="single" w:sz="4" w:space="0" w:color="auto"/>
              <w:bottom w:val="single" w:sz="4" w:space="0" w:color="auto"/>
              <w:right w:val="single" w:sz="4" w:space="0" w:color="auto"/>
            </w:tcBorders>
            <w:vAlign w:val="center"/>
            <w:hideMark/>
          </w:tcPr>
          <w:p w14:paraId="1035EB1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52,6</w:t>
            </w:r>
          </w:p>
        </w:tc>
      </w:tr>
      <w:tr w:rsidR="00F37DCB" w14:paraId="37F75650"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61633EF1"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vAlign w:val="center"/>
            <w:hideMark/>
          </w:tcPr>
          <w:p w14:paraId="3772970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77,1</w:t>
            </w:r>
          </w:p>
        </w:tc>
        <w:tc>
          <w:tcPr>
            <w:tcW w:w="951" w:type="dxa"/>
            <w:tcBorders>
              <w:top w:val="single" w:sz="4" w:space="0" w:color="auto"/>
              <w:left w:val="single" w:sz="4" w:space="0" w:color="auto"/>
              <w:bottom w:val="single" w:sz="4" w:space="0" w:color="auto"/>
              <w:right w:val="single" w:sz="4" w:space="0" w:color="auto"/>
            </w:tcBorders>
            <w:vAlign w:val="center"/>
            <w:hideMark/>
          </w:tcPr>
          <w:p w14:paraId="42184AC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88,1</w:t>
            </w:r>
          </w:p>
        </w:tc>
        <w:tc>
          <w:tcPr>
            <w:tcW w:w="951" w:type="dxa"/>
            <w:tcBorders>
              <w:top w:val="single" w:sz="4" w:space="0" w:color="auto"/>
              <w:left w:val="single" w:sz="4" w:space="0" w:color="auto"/>
              <w:bottom w:val="single" w:sz="4" w:space="0" w:color="auto"/>
              <w:right w:val="single" w:sz="4" w:space="0" w:color="auto"/>
            </w:tcBorders>
            <w:vAlign w:val="center"/>
            <w:hideMark/>
          </w:tcPr>
          <w:p w14:paraId="38F94AF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129,4</w:t>
            </w:r>
          </w:p>
        </w:tc>
        <w:tc>
          <w:tcPr>
            <w:tcW w:w="950" w:type="dxa"/>
            <w:tcBorders>
              <w:top w:val="single" w:sz="4" w:space="0" w:color="auto"/>
              <w:left w:val="single" w:sz="4" w:space="0" w:color="auto"/>
              <w:bottom w:val="single" w:sz="4" w:space="0" w:color="auto"/>
              <w:right w:val="single" w:sz="4" w:space="0" w:color="auto"/>
            </w:tcBorders>
            <w:vAlign w:val="center"/>
            <w:hideMark/>
          </w:tcPr>
          <w:p w14:paraId="4EBEF3E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134,5</w:t>
            </w:r>
          </w:p>
        </w:tc>
        <w:tc>
          <w:tcPr>
            <w:tcW w:w="951" w:type="dxa"/>
            <w:tcBorders>
              <w:top w:val="single" w:sz="4" w:space="0" w:color="auto"/>
              <w:left w:val="single" w:sz="4" w:space="0" w:color="auto"/>
              <w:bottom w:val="single" w:sz="4" w:space="0" w:color="auto"/>
              <w:right w:val="single" w:sz="4" w:space="0" w:color="auto"/>
            </w:tcBorders>
            <w:vAlign w:val="center"/>
            <w:hideMark/>
          </w:tcPr>
          <w:p w14:paraId="0E9FA18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139,9</w:t>
            </w:r>
          </w:p>
        </w:tc>
        <w:tc>
          <w:tcPr>
            <w:tcW w:w="951" w:type="dxa"/>
            <w:tcBorders>
              <w:top w:val="single" w:sz="4" w:space="0" w:color="auto"/>
              <w:left w:val="single" w:sz="4" w:space="0" w:color="auto"/>
              <w:bottom w:val="single" w:sz="4" w:space="0" w:color="auto"/>
              <w:right w:val="single" w:sz="4" w:space="0" w:color="auto"/>
            </w:tcBorders>
            <w:vAlign w:val="center"/>
            <w:hideMark/>
          </w:tcPr>
          <w:p w14:paraId="1D04DC9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145,5</w:t>
            </w:r>
          </w:p>
        </w:tc>
        <w:tc>
          <w:tcPr>
            <w:tcW w:w="951" w:type="dxa"/>
            <w:tcBorders>
              <w:top w:val="single" w:sz="4" w:space="0" w:color="auto"/>
              <w:left w:val="single" w:sz="4" w:space="0" w:color="auto"/>
              <w:bottom w:val="single" w:sz="4" w:space="0" w:color="auto"/>
              <w:right w:val="single" w:sz="4" w:space="0" w:color="auto"/>
            </w:tcBorders>
            <w:vAlign w:val="center"/>
            <w:hideMark/>
          </w:tcPr>
          <w:p w14:paraId="5E8F3BD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151,3</w:t>
            </w:r>
          </w:p>
        </w:tc>
      </w:tr>
      <w:tr w:rsidR="00F37DCB" w14:paraId="6830DEEB"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26B6FF2D"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Інші послуги</w:t>
            </w:r>
          </w:p>
        </w:tc>
        <w:tc>
          <w:tcPr>
            <w:tcW w:w="950" w:type="dxa"/>
            <w:tcBorders>
              <w:top w:val="single" w:sz="4" w:space="0" w:color="auto"/>
              <w:left w:val="single" w:sz="4" w:space="0" w:color="auto"/>
              <w:bottom w:val="single" w:sz="4" w:space="0" w:color="auto"/>
              <w:right w:val="single" w:sz="4" w:space="0" w:color="auto"/>
            </w:tcBorders>
            <w:vAlign w:val="center"/>
            <w:hideMark/>
          </w:tcPr>
          <w:p w14:paraId="5568191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18,3</w:t>
            </w:r>
          </w:p>
        </w:tc>
        <w:tc>
          <w:tcPr>
            <w:tcW w:w="951" w:type="dxa"/>
            <w:tcBorders>
              <w:top w:val="single" w:sz="4" w:space="0" w:color="auto"/>
              <w:left w:val="single" w:sz="4" w:space="0" w:color="auto"/>
              <w:bottom w:val="single" w:sz="4" w:space="0" w:color="auto"/>
              <w:right w:val="single" w:sz="4" w:space="0" w:color="auto"/>
            </w:tcBorders>
            <w:vAlign w:val="center"/>
            <w:hideMark/>
          </w:tcPr>
          <w:p w14:paraId="15978CF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33,0</w:t>
            </w:r>
          </w:p>
        </w:tc>
        <w:tc>
          <w:tcPr>
            <w:tcW w:w="951" w:type="dxa"/>
            <w:tcBorders>
              <w:top w:val="single" w:sz="4" w:space="0" w:color="auto"/>
              <w:left w:val="single" w:sz="4" w:space="0" w:color="auto"/>
              <w:bottom w:val="single" w:sz="4" w:space="0" w:color="auto"/>
              <w:right w:val="single" w:sz="4" w:space="0" w:color="auto"/>
            </w:tcBorders>
            <w:vAlign w:val="center"/>
            <w:hideMark/>
          </w:tcPr>
          <w:p w14:paraId="7207414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25,6</w:t>
            </w:r>
          </w:p>
        </w:tc>
        <w:tc>
          <w:tcPr>
            <w:tcW w:w="950" w:type="dxa"/>
            <w:tcBorders>
              <w:top w:val="single" w:sz="4" w:space="0" w:color="auto"/>
              <w:left w:val="single" w:sz="4" w:space="0" w:color="auto"/>
              <w:bottom w:val="single" w:sz="4" w:space="0" w:color="auto"/>
              <w:right w:val="single" w:sz="4" w:space="0" w:color="auto"/>
            </w:tcBorders>
            <w:vAlign w:val="center"/>
            <w:hideMark/>
          </w:tcPr>
          <w:p w14:paraId="1B61574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26,7</w:t>
            </w:r>
          </w:p>
        </w:tc>
        <w:tc>
          <w:tcPr>
            <w:tcW w:w="951" w:type="dxa"/>
            <w:tcBorders>
              <w:top w:val="single" w:sz="4" w:space="0" w:color="auto"/>
              <w:left w:val="single" w:sz="4" w:space="0" w:color="auto"/>
              <w:bottom w:val="single" w:sz="4" w:space="0" w:color="auto"/>
              <w:right w:val="single" w:sz="4" w:space="0" w:color="auto"/>
            </w:tcBorders>
            <w:vAlign w:val="center"/>
            <w:hideMark/>
          </w:tcPr>
          <w:p w14:paraId="005E281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27,7</w:t>
            </w:r>
          </w:p>
        </w:tc>
        <w:tc>
          <w:tcPr>
            <w:tcW w:w="951" w:type="dxa"/>
            <w:tcBorders>
              <w:top w:val="single" w:sz="4" w:space="0" w:color="auto"/>
              <w:left w:val="single" w:sz="4" w:space="0" w:color="auto"/>
              <w:bottom w:val="single" w:sz="4" w:space="0" w:color="auto"/>
              <w:right w:val="single" w:sz="4" w:space="0" w:color="auto"/>
            </w:tcBorders>
            <w:vAlign w:val="center"/>
            <w:hideMark/>
          </w:tcPr>
          <w:p w14:paraId="3733F5E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28,8</w:t>
            </w:r>
          </w:p>
        </w:tc>
        <w:tc>
          <w:tcPr>
            <w:tcW w:w="951" w:type="dxa"/>
            <w:tcBorders>
              <w:top w:val="single" w:sz="4" w:space="0" w:color="auto"/>
              <w:left w:val="single" w:sz="4" w:space="0" w:color="auto"/>
              <w:bottom w:val="single" w:sz="4" w:space="0" w:color="auto"/>
              <w:right w:val="single" w:sz="4" w:space="0" w:color="auto"/>
            </w:tcBorders>
            <w:vAlign w:val="center"/>
            <w:hideMark/>
          </w:tcPr>
          <w:p w14:paraId="5F6CB38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30,0</w:t>
            </w:r>
          </w:p>
        </w:tc>
      </w:tr>
      <w:tr w:rsidR="00F37DCB" w14:paraId="284B1B65"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35E4CE24"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Разом</w:t>
            </w:r>
          </w:p>
        </w:tc>
        <w:tc>
          <w:tcPr>
            <w:tcW w:w="950" w:type="dxa"/>
            <w:tcBorders>
              <w:top w:val="single" w:sz="4" w:space="0" w:color="auto"/>
              <w:left w:val="single" w:sz="4" w:space="0" w:color="auto"/>
              <w:bottom w:val="single" w:sz="4" w:space="0" w:color="auto"/>
              <w:right w:val="single" w:sz="4" w:space="0" w:color="auto"/>
            </w:tcBorders>
            <w:vAlign w:val="center"/>
            <w:hideMark/>
          </w:tcPr>
          <w:p w14:paraId="25C4FCB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955,5</w:t>
            </w:r>
          </w:p>
        </w:tc>
        <w:tc>
          <w:tcPr>
            <w:tcW w:w="951" w:type="dxa"/>
            <w:tcBorders>
              <w:top w:val="single" w:sz="4" w:space="0" w:color="auto"/>
              <w:left w:val="single" w:sz="4" w:space="0" w:color="auto"/>
              <w:bottom w:val="single" w:sz="4" w:space="0" w:color="auto"/>
              <w:right w:val="single" w:sz="4" w:space="0" w:color="auto"/>
            </w:tcBorders>
            <w:vAlign w:val="center"/>
            <w:hideMark/>
          </w:tcPr>
          <w:p w14:paraId="111FD6D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1310,5</w:t>
            </w:r>
          </w:p>
        </w:tc>
        <w:tc>
          <w:tcPr>
            <w:tcW w:w="951" w:type="dxa"/>
            <w:tcBorders>
              <w:top w:val="single" w:sz="4" w:space="0" w:color="auto"/>
              <w:left w:val="single" w:sz="4" w:space="0" w:color="auto"/>
              <w:bottom w:val="single" w:sz="4" w:space="0" w:color="auto"/>
              <w:right w:val="single" w:sz="4" w:space="0" w:color="auto"/>
            </w:tcBorders>
            <w:vAlign w:val="center"/>
            <w:hideMark/>
          </w:tcPr>
          <w:p w14:paraId="0D80DDB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1800,0</w:t>
            </w:r>
          </w:p>
        </w:tc>
        <w:tc>
          <w:tcPr>
            <w:tcW w:w="950" w:type="dxa"/>
            <w:tcBorders>
              <w:top w:val="single" w:sz="4" w:space="0" w:color="auto"/>
              <w:left w:val="single" w:sz="4" w:space="0" w:color="auto"/>
              <w:bottom w:val="single" w:sz="4" w:space="0" w:color="auto"/>
              <w:right w:val="single" w:sz="4" w:space="0" w:color="auto"/>
            </w:tcBorders>
            <w:vAlign w:val="center"/>
            <w:hideMark/>
          </w:tcPr>
          <w:p w14:paraId="23C60AB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1872,0</w:t>
            </w:r>
          </w:p>
        </w:tc>
        <w:tc>
          <w:tcPr>
            <w:tcW w:w="951" w:type="dxa"/>
            <w:tcBorders>
              <w:top w:val="single" w:sz="4" w:space="0" w:color="auto"/>
              <w:left w:val="single" w:sz="4" w:space="0" w:color="auto"/>
              <w:bottom w:val="single" w:sz="4" w:space="0" w:color="auto"/>
              <w:right w:val="single" w:sz="4" w:space="0" w:color="auto"/>
            </w:tcBorders>
            <w:vAlign w:val="center"/>
            <w:hideMark/>
          </w:tcPr>
          <w:p w14:paraId="7F95335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1946,9</w:t>
            </w:r>
          </w:p>
        </w:tc>
        <w:tc>
          <w:tcPr>
            <w:tcW w:w="951" w:type="dxa"/>
            <w:tcBorders>
              <w:top w:val="single" w:sz="4" w:space="0" w:color="auto"/>
              <w:left w:val="single" w:sz="4" w:space="0" w:color="auto"/>
              <w:bottom w:val="single" w:sz="4" w:space="0" w:color="auto"/>
              <w:right w:val="single" w:sz="4" w:space="0" w:color="auto"/>
            </w:tcBorders>
            <w:vAlign w:val="center"/>
            <w:hideMark/>
          </w:tcPr>
          <w:p w14:paraId="19E07BC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2024,8</w:t>
            </w:r>
          </w:p>
        </w:tc>
        <w:tc>
          <w:tcPr>
            <w:tcW w:w="951" w:type="dxa"/>
            <w:tcBorders>
              <w:top w:val="single" w:sz="4" w:space="0" w:color="auto"/>
              <w:left w:val="single" w:sz="4" w:space="0" w:color="auto"/>
              <w:bottom w:val="single" w:sz="4" w:space="0" w:color="auto"/>
              <w:right w:val="single" w:sz="4" w:space="0" w:color="auto"/>
            </w:tcBorders>
            <w:vAlign w:val="center"/>
            <w:hideMark/>
          </w:tcPr>
          <w:p w14:paraId="53F9916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2105,7</w:t>
            </w:r>
          </w:p>
        </w:tc>
      </w:tr>
      <w:tr w:rsidR="00F37DCB" w14:paraId="52176611" w14:textId="77777777" w:rsidTr="00852A1F">
        <w:tc>
          <w:tcPr>
            <w:tcW w:w="9627" w:type="dxa"/>
            <w:gridSpan w:val="8"/>
            <w:tcBorders>
              <w:top w:val="single" w:sz="4" w:space="0" w:color="auto"/>
              <w:left w:val="single" w:sz="4" w:space="0" w:color="auto"/>
              <w:bottom w:val="single" w:sz="4" w:space="0" w:color="auto"/>
              <w:right w:val="single" w:sz="4" w:space="0" w:color="auto"/>
            </w:tcBorders>
            <w:hideMark/>
          </w:tcPr>
          <w:p w14:paraId="6466AD68" w14:textId="77777777" w:rsidR="00852A1F" w:rsidRPr="00852A1F" w:rsidRDefault="00000000" w:rsidP="00852A1F">
            <w:pPr>
              <w:tabs>
                <w:tab w:val="left" w:pos="851"/>
              </w:tabs>
              <w:spacing w:before="40"/>
              <w:ind w:right="-57"/>
              <w:rPr>
                <w:rFonts w:ascii="Times New Roman" w:hAnsi="Times New Roman"/>
                <w:b/>
                <w:bCs/>
                <w:sz w:val="24"/>
                <w:szCs w:val="24"/>
              </w:rPr>
            </w:pPr>
            <w:r w:rsidRPr="00852A1F">
              <w:rPr>
                <w:rFonts w:ascii="Times New Roman" w:hAnsi="Times New Roman"/>
                <w:b/>
                <w:bCs/>
                <w:sz w:val="24"/>
                <w:szCs w:val="24"/>
              </w:rPr>
              <w:t>Очікувана сплата ПДВ</w:t>
            </w:r>
          </w:p>
        </w:tc>
      </w:tr>
      <w:tr w:rsidR="00F37DCB" w14:paraId="1F51A894"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66B37A9B"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vAlign w:val="center"/>
            <w:hideMark/>
          </w:tcPr>
          <w:p w14:paraId="0E7383B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247,8</w:t>
            </w:r>
          </w:p>
        </w:tc>
        <w:tc>
          <w:tcPr>
            <w:tcW w:w="951" w:type="dxa"/>
            <w:tcBorders>
              <w:top w:val="single" w:sz="4" w:space="0" w:color="auto"/>
              <w:left w:val="single" w:sz="4" w:space="0" w:color="auto"/>
              <w:bottom w:val="single" w:sz="4" w:space="0" w:color="auto"/>
              <w:right w:val="single" w:sz="4" w:space="0" w:color="auto"/>
            </w:tcBorders>
            <w:vAlign w:val="center"/>
            <w:hideMark/>
          </w:tcPr>
          <w:p w14:paraId="0091FE6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342,7</w:t>
            </w:r>
          </w:p>
        </w:tc>
        <w:tc>
          <w:tcPr>
            <w:tcW w:w="951" w:type="dxa"/>
            <w:tcBorders>
              <w:top w:val="single" w:sz="4" w:space="0" w:color="auto"/>
              <w:left w:val="single" w:sz="4" w:space="0" w:color="auto"/>
              <w:bottom w:val="single" w:sz="4" w:space="0" w:color="auto"/>
              <w:right w:val="single" w:sz="4" w:space="0" w:color="auto"/>
            </w:tcBorders>
            <w:vAlign w:val="center"/>
            <w:hideMark/>
          </w:tcPr>
          <w:p w14:paraId="7BD9318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473,9</w:t>
            </w:r>
          </w:p>
        </w:tc>
        <w:tc>
          <w:tcPr>
            <w:tcW w:w="950" w:type="dxa"/>
            <w:tcBorders>
              <w:top w:val="single" w:sz="4" w:space="0" w:color="auto"/>
              <w:left w:val="single" w:sz="4" w:space="0" w:color="auto"/>
              <w:bottom w:val="single" w:sz="4" w:space="0" w:color="auto"/>
              <w:right w:val="single" w:sz="4" w:space="0" w:color="auto"/>
            </w:tcBorders>
            <w:vAlign w:val="center"/>
            <w:hideMark/>
          </w:tcPr>
          <w:p w14:paraId="564DAA6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492,9</w:t>
            </w:r>
          </w:p>
        </w:tc>
        <w:tc>
          <w:tcPr>
            <w:tcW w:w="951" w:type="dxa"/>
            <w:tcBorders>
              <w:top w:val="single" w:sz="4" w:space="0" w:color="auto"/>
              <w:left w:val="single" w:sz="4" w:space="0" w:color="auto"/>
              <w:bottom w:val="single" w:sz="4" w:space="0" w:color="auto"/>
              <w:right w:val="single" w:sz="4" w:space="0" w:color="auto"/>
            </w:tcBorders>
            <w:vAlign w:val="center"/>
            <w:hideMark/>
          </w:tcPr>
          <w:p w14:paraId="7C90581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512,6</w:t>
            </w:r>
          </w:p>
        </w:tc>
        <w:tc>
          <w:tcPr>
            <w:tcW w:w="951" w:type="dxa"/>
            <w:tcBorders>
              <w:top w:val="single" w:sz="4" w:space="0" w:color="auto"/>
              <w:left w:val="single" w:sz="4" w:space="0" w:color="auto"/>
              <w:bottom w:val="single" w:sz="4" w:space="0" w:color="auto"/>
              <w:right w:val="single" w:sz="4" w:space="0" w:color="auto"/>
            </w:tcBorders>
            <w:vAlign w:val="center"/>
            <w:hideMark/>
          </w:tcPr>
          <w:p w14:paraId="4890362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533,1</w:t>
            </w:r>
          </w:p>
        </w:tc>
        <w:tc>
          <w:tcPr>
            <w:tcW w:w="951" w:type="dxa"/>
            <w:tcBorders>
              <w:top w:val="single" w:sz="4" w:space="0" w:color="auto"/>
              <w:left w:val="single" w:sz="4" w:space="0" w:color="auto"/>
              <w:bottom w:val="single" w:sz="4" w:space="0" w:color="auto"/>
              <w:right w:val="single" w:sz="4" w:space="0" w:color="auto"/>
            </w:tcBorders>
            <w:vAlign w:val="center"/>
            <w:hideMark/>
          </w:tcPr>
          <w:p w14:paraId="5F7B7C0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554,4</w:t>
            </w:r>
          </w:p>
        </w:tc>
      </w:tr>
      <w:tr w:rsidR="00F37DCB" w14:paraId="2E0C1E40"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1ABD0AA9"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vAlign w:val="center"/>
            <w:hideMark/>
          </w:tcPr>
          <w:p w14:paraId="614EC78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7,0</w:t>
            </w:r>
          </w:p>
        </w:tc>
        <w:tc>
          <w:tcPr>
            <w:tcW w:w="951" w:type="dxa"/>
            <w:tcBorders>
              <w:top w:val="single" w:sz="4" w:space="0" w:color="auto"/>
              <w:left w:val="single" w:sz="4" w:space="0" w:color="auto"/>
              <w:bottom w:val="single" w:sz="4" w:space="0" w:color="auto"/>
              <w:right w:val="single" w:sz="4" w:space="0" w:color="auto"/>
            </w:tcBorders>
            <w:vAlign w:val="center"/>
            <w:hideMark/>
          </w:tcPr>
          <w:p w14:paraId="2648EFC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9,6</w:t>
            </w:r>
          </w:p>
        </w:tc>
        <w:tc>
          <w:tcPr>
            <w:tcW w:w="951" w:type="dxa"/>
            <w:tcBorders>
              <w:top w:val="single" w:sz="4" w:space="0" w:color="auto"/>
              <w:left w:val="single" w:sz="4" w:space="0" w:color="auto"/>
              <w:bottom w:val="single" w:sz="4" w:space="0" w:color="auto"/>
              <w:right w:val="single" w:sz="4" w:space="0" w:color="auto"/>
            </w:tcBorders>
            <w:vAlign w:val="center"/>
            <w:hideMark/>
          </w:tcPr>
          <w:p w14:paraId="5723F43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13,3</w:t>
            </w:r>
          </w:p>
        </w:tc>
        <w:tc>
          <w:tcPr>
            <w:tcW w:w="950" w:type="dxa"/>
            <w:tcBorders>
              <w:top w:val="single" w:sz="4" w:space="0" w:color="auto"/>
              <w:left w:val="single" w:sz="4" w:space="0" w:color="auto"/>
              <w:bottom w:val="single" w:sz="4" w:space="0" w:color="auto"/>
              <w:right w:val="single" w:sz="4" w:space="0" w:color="auto"/>
            </w:tcBorders>
            <w:vAlign w:val="center"/>
            <w:hideMark/>
          </w:tcPr>
          <w:p w14:paraId="195DE2E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13,9</w:t>
            </w:r>
          </w:p>
        </w:tc>
        <w:tc>
          <w:tcPr>
            <w:tcW w:w="951" w:type="dxa"/>
            <w:tcBorders>
              <w:top w:val="single" w:sz="4" w:space="0" w:color="auto"/>
              <w:left w:val="single" w:sz="4" w:space="0" w:color="auto"/>
              <w:bottom w:val="single" w:sz="4" w:space="0" w:color="auto"/>
              <w:right w:val="single" w:sz="4" w:space="0" w:color="auto"/>
            </w:tcBorders>
            <w:vAlign w:val="center"/>
            <w:hideMark/>
          </w:tcPr>
          <w:p w14:paraId="41D5FBA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14,4</w:t>
            </w:r>
          </w:p>
        </w:tc>
        <w:tc>
          <w:tcPr>
            <w:tcW w:w="951" w:type="dxa"/>
            <w:tcBorders>
              <w:top w:val="single" w:sz="4" w:space="0" w:color="auto"/>
              <w:left w:val="single" w:sz="4" w:space="0" w:color="auto"/>
              <w:bottom w:val="single" w:sz="4" w:space="0" w:color="auto"/>
              <w:right w:val="single" w:sz="4" w:space="0" w:color="auto"/>
            </w:tcBorders>
            <w:vAlign w:val="center"/>
            <w:hideMark/>
          </w:tcPr>
          <w:p w14:paraId="4924F43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15,0</w:t>
            </w:r>
          </w:p>
        </w:tc>
        <w:tc>
          <w:tcPr>
            <w:tcW w:w="951" w:type="dxa"/>
            <w:tcBorders>
              <w:top w:val="single" w:sz="4" w:space="0" w:color="auto"/>
              <w:left w:val="single" w:sz="4" w:space="0" w:color="auto"/>
              <w:bottom w:val="single" w:sz="4" w:space="0" w:color="auto"/>
              <w:right w:val="single" w:sz="4" w:space="0" w:color="auto"/>
            </w:tcBorders>
            <w:vAlign w:val="center"/>
            <w:hideMark/>
          </w:tcPr>
          <w:p w14:paraId="29B8B53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15,6</w:t>
            </w:r>
          </w:p>
        </w:tc>
      </w:tr>
      <w:tr w:rsidR="00F37DCB" w14:paraId="220D5535"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21F143FC"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vAlign w:val="center"/>
            <w:hideMark/>
          </w:tcPr>
          <w:p w14:paraId="3FC9E00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22,8</w:t>
            </w:r>
          </w:p>
        </w:tc>
        <w:tc>
          <w:tcPr>
            <w:tcW w:w="951" w:type="dxa"/>
            <w:tcBorders>
              <w:top w:val="single" w:sz="4" w:space="0" w:color="auto"/>
              <w:left w:val="single" w:sz="4" w:space="0" w:color="auto"/>
              <w:bottom w:val="single" w:sz="4" w:space="0" w:color="auto"/>
              <w:right w:val="single" w:sz="4" w:space="0" w:color="auto"/>
            </w:tcBorders>
            <w:vAlign w:val="center"/>
            <w:hideMark/>
          </w:tcPr>
          <w:p w14:paraId="3EA36ED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26,1</w:t>
            </w:r>
          </w:p>
        </w:tc>
        <w:tc>
          <w:tcPr>
            <w:tcW w:w="951" w:type="dxa"/>
            <w:tcBorders>
              <w:top w:val="single" w:sz="4" w:space="0" w:color="auto"/>
              <w:left w:val="single" w:sz="4" w:space="0" w:color="auto"/>
              <w:bottom w:val="single" w:sz="4" w:space="0" w:color="auto"/>
              <w:right w:val="single" w:sz="4" w:space="0" w:color="auto"/>
            </w:tcBorders>
            <w:vAlign w:val="center"/>
            <w:hideMark/>
          </w:tcPr>
          <w:p w14:paraId="1EDF035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38,3</w:t>
            </w:r>
          </w:p>
        </w:tc>
        <w:tc>
          <w:tcPr>
            <w:tcW w:w="950" w:type="dxa"/>
            <w:tcBorders>
              <w:top w:val="single" w:sz="4" w:space="0" w:color="auto"/>
              <w:left w:val="single" w:sz="4" w:space="0" w:color="auto"/>
              <w:bottom w:val="single" w:sz="4" w:space="0" w:color="auto"/>
              <w:right w:val="single" w:sz="4" w:space="0" w:color="auto"/>
            </w:tcBorders>
            <w:vAlign w:val="center"/>
            <w:hideMark/>
          </w:tcPr>
          <w:p w14:paraId="6C90226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39,8</w:t>
            </w:r>
          </w:p>
        </w:tc>
        <w:tc>
          <w:tcPr>
            <w:tcW w:w="951" w:type="dxa"/>
            <w:tcBorders>
              <w:top w:val="single" w:sz="4" w:space="0" w:color="auto"/>
              <w:left w:val="single" w:sz="4" w:space="0" w:color="auto"/>
              <w:bottom w:val="single" w:sz="4" w:space="0" w:color="auto"/>
              <w:right w:val="single" w:sz="4" w:space="0" w:color="auto"/>
            </w:tcBorders>
            <w:vAlign w:val="center"/>
            <w:hideMark/>
          </w:tcPr>
          <w:p w14:paraId="7083D42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41,4</w:t>
            </w:r>
          </w:p>
        </w:tc>
        <w:tc>
          <w:tcPr>
            <w:tcW w:w="951" w:type="dxa"/>
            <w:tcBorders>
              <w:top w:val="single" w:sz="4" w:space="0" w:color="auto"/>
              <w:left w:val="single" w:sz="4" w:space="0" w:color="auto"/>
              <w:bottom w:val="single" w:sz="4" w:space="0" w:color="auto"/>
              <w:right w:val="single" w:sz="4" w:space="0" w:color="auto"/>
            </w:tcBorders>
            <w:vAlign w:val="center"/>
            <w:hideMark/>
          </w:tcPr>
          <w:p w14:paraId="0C6ED22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43,1</w:t>
            </w:r>
          </w:p>
        </w:tc>
        <w:tc>
          <w:tcPr>
            <w:tcW w:w="951" w:type="dxa"/>
            <w:tcBorders>
              <w:top w:val="single" w:sz="4" w:space="0" w:color="auto"/>
              <w:left w:val="single" w:sz="4" w:space="0" w:color="auto"/>
              <w:bottom w:val="single" w:sz="4" w:space="0" w:color="auto"/>
              <w:right w:val="single" w:sz="4" w:space="0" w:color="auto"/>
            </w:tcBorders>
            <w:vAlign w:val="center"/>
            <w:hideMark/>
          </w:tcPr>
          <w:p w14:paraId="12820BD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44,8</w:t>
            </w:r>
          </w:p>
        </w:tc>
      </w:tr>
      <w:tr w:rsidR="00F37DCB" w14:paraId="70843638"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748A8FC4" w14:textId="77777777" w:rsidR="00852A1F" w:rsidRPr="00852A1F" w:rsidRDefault="00000000" w:rsidP="00852A1F">
            <w:pPr>
              <w:tabs>
                <w:tab w:val="left" w:pos="851"/>
              </w:tabs>
              <w:ind w:right="-57"/>
              <w:jc w:val="both"/>
              <w:rPr>
                <w:rFonts w:ascii="Times New Roman" w:hAnsi="Times New Roman"/>
                <w:sz w:val="24"/>
                <w:szCs w:val="24"/>
              </w:rPr>
            </w:pPr>
            <w:r w:rsidRPr="00852A1F">
              <w:rPr>
                <w:rFonts w:ascii="Times New Roman" w:hAnsi="Times New Roman"/>
                <w:sz w:val="24"/>
                <w:szCs w:val="24"/>
              </w:rPr>
              <w:t>Інші послуги</w:t>
            </w:r>
          </w:p>
        </w:tc>
        <w:tc>
          <w:tcPr>
            <w:tcW w:w="950" w:type="dxa"/>
            <w:tcBorders>
              <w:top w:val="single" w:sz="4" w:space="0" w:color="auto"/>
              <w:left w:val="single" w:sz="4" w:space="0" w:color="auto"/>
              <w:bottom w:val="single" w:sz="4" w:space="0" w:color="auto"/>
              <w:right w:val="single" w:sz="4" w:space="0" w:color="auto"/>
            </w:tcBorders>
            <w:vAlign w:val="center"/>
            <w:hideMark/>
          </w:tcPr>
          <w:p w14:paraId="02BA574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5,4</w:t>
            </w:r>
          </w:p>
        </w:tc>
        <w:tc>
          <w:tcPr>
            <w:tcW w:w="951" w:type="dxa"/>
            <w:tcBorders>
              <w:top w:val="single" w:sz="4" w:space="0" w:color="auto"/>
              <w:left w:val="single" w:sz="4" w:space="0" w:color="auto"/>
              <w:bottom w:val="single" w:sz="4" w:space="0" w:color="auto"/>
              <w:right w:val="single" w:sz="4" w:space="0" w:color="auto"/>
            </w:tcBorders>
            <w:vAlign w:val="center"/>
            <w:hideMark/>
          </w:tcPr>
          <w:p w14:paraId="41B3090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9,8</w:t>
            </w:r>
          </w:p>
        </w:tc>
        <w:tc>
          <w:tcPr>
            <w:tcW w:w="951" w:type="dxa"/>
            <w:tcBorders>
              <w:top w:val="single" w:sz="4" w:space="0" w:color="auto"/>
              <w:left w:val="single" w:sz="4" w:space="0" w:color="auto"/>
              <w:bottom w:val="single" w:sz="4" w:space="0" w:color="auto"/>
              <w:right w:val="single" w:sz="4" w:space="0" w:color="auto"/>
            </w:tcBorders>
            <w:vAlign w:val="center"/>
            <w:hideMark/>
          </w:tcPr>
          <w:p w14:paraId="0C6EEB6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7,6</w:t>
            </w:r>
          </w:p>
        </w:tc>
        <w:tc>
          <w:tcPr>
            <w:tcW w:w="950" w:type="dxa"/>
            <w:tcBorders>
              <w:top w:val="single" w:sz="4" w:space="0" w:color="auto"/>
              <w:left w:val="single" w:sz="4" w:space="0" w:color="auto"/>
              <w:bottom w:val="single" w:sz="4" w:space="0" w:color="auto"/>
              <w:right w:val="single" w:sz="4" w:space="0" w:color="auto"/>
            </w:tcBorders>
            <w:vAlign w:val="center"/>
            <w:hideMark/>
          </w:tcPr>
          <w:p w14:paraId="164A8BD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7,9</w:t>
            </w:r>
          </w:p>
        </w:tc>
        <w:tc>
          <w:tcPr>
            <w:tcW w:w="951" w:type="dxa"/>
            <w:tcBorders>
              <w:top w:val="single" w:sz="4" w:space="0" w:color="auto"/>
              <w:left w:val="single" w:sz="4" w:space="0" w:color="auto"/>
              <w:bottom w:val="single" w:sz="4" w:space="0" w:color="auto"/>
              <w:right w:val="single" w:sz="4" w:space="0" w:color="auto"/>
            </w:tcBorders>
            <w:vAlign w:val="center"/>
            <w:hideMark/>
          </w:tcPr>
          <w:p w14:paraId="44E294E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8,2</w:t>
            </w:r>
          </w:p>
        </w:tc>
        <w:tc>
          <w:tcPr>
            <w:tcW w:w="951" w:type="dxa"/>
            <w:tcBorders>
              <w:top w:val="single" w:sz="4" w:space="0" w:color="auto"/>
              <w:left w:val="single" w:sz="4" w:space="0" w:color="auto"/>
              <w:bottom w:val="single" w:sz="4" w:space="0" w:color="auto"/>
              <w:right w:val="single" w:sz="4" w:space="0" w:color="auto"/>
            </w:tcBorders>
            <w:vAlign w:val="center"/>
            <w:hideMark/>
          </w:tcPr>
          <w:p w14:paraId="437698A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8,5</w:t>
            </w:r>
          </w:p>
        </w:tc>
        <w:tc>
          <w:tcPr>
            <w:tcW w:w="951" w:type="dxa"/>
            <w:tcBorders>
              <w:top w:val="single" w:sz="4" w:space="0" w:color="auto"/>
              <w:left w:val="single" w:sz="4" w:space="0" w:color="auto"/>
              <w:bottom w:val="single" w:sz="4" w:space="0" w:color="auto"/>
              <w:right w:val="single" w:sz="4" w:space="0" w:color="auto"/>
            </w:tcBorders>
            <w:vAlign w:val="center"/>
            <w:hideMark/>
          </w:tcPr>
          <w:p w14:paraId="37CA8CB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8,9</w:t>
            </w:r>
          </w:p>
        </w:tc>
      </w:tr>
      <w:tr w:rsidR="00F37DCB" w14:paraId="112CA59F"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1B20ECF8" w14:textId="77777777" w:rsidR="00852A1F" w:rsidRPr="00852A1F" w:rsidRDefault="00000000" w:rsidP="00852A1F">
            <w:pPr>
              <w:tabs>
                <w:tab w:val="left" w:pos="851"/>
              </w:tabs>
              <w:ind w:right="-57"/>
              <w:jc w:val="both"/>
              <w:rPr>
                <w:rFonts w:ascii="Times New Roman" w:hAnsi="Times New Roman"/>
                <w:sz w:val="24"/>
                <w:szCs w:val="24"/>
              </w:rPr>
            </w:pPr>
            <w:r w:rsidRPr="00852A1F">
              <w:rPr>
                <w:rFonts w:ascii="Times New Roman" w:hAnsi="Times New Roman"/>
                <w:sz w:val="24"/>
                <w:szCs w:val="24"/>
              </w:rPr>
              <w:t>Разом</w:t>
            </w:r>
          </w:p>
        </w:tc>
        <w:tc>
          <w:tcPr>
            <w:tcW w:w="950" w:type="dxa"/>
            <w:tcBorders>
              <w:top w:val="single" w:sz="4" w:space="0" w:color="auto"/>
              <w:left w:val="single" w:sz="4" w:space="0" w:color="auto"/>
              <w:bottom w:val="single" w:sz="4" w:space="0" w:color="auto"/>
              <w:right w:val="single" w:sz="4" w:space="0" w:color="auto"/>
            </w:tcBorders>
            <w:vAlign w:val="center"/>
            <w:hideMark/>
          </w:tcPr>
          <w:p w14:paraId="592FABD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283,0</w:t>
            </w:r>
          </w:p>
        </w:tc>
        <w:tc>
          <w:tcPr>
            <w:tcW w:w="951" w:type="dxa"/>
            <w:tcBorders>
              <w:top w:val="single" w:sz="4" w:space="0" w:color="auto"/>
              <w:left w:val="single" w:sz="4" w:space="0" w:color="auto"/>
              <w:bottom w:val="single" w:sz="4" w:space="0" w:color="auto"/>
              <w:right w:val="single" w:sz="4" w:space="0" w:color="auto"/>
            </w:tcBorders>
            <w:vAlign w:val="center"/>
            <w:hideMark/>
          </w:tcPr>
          <w:p w14:paraId="14E0A82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388,2</w:t>
            </w:r>
          </w:p>
        </w:tc>
        <w:tc>
          <w:tcPr>
            <w:tcW w:w="951" w:type="dxa"/>
            <w:tcBorders>
              <w:top w:val="single" w:sz="4" w:space="0" w:color="auto"/>
              <w:left w:val="single" w:sz="4" w:space="0" w:color="auto"/>
              <w:bottom w:val="single" w:sz="4" w:space="0" w:color="auto"/>
              <w:right w:val="single" w:sz="4" w:space="0" w:color="auto"/>
            </w:tcBorders>
            <w:vAlign w:val="center"/>
            <w:hideMark/>
          </w:tcPr>
          <w:p w14:paraId="099FD7D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533,2</w:t>
            </w:r>
          </w:p>
        </w:tc>
        <w:tc>
          <w:tcPr>
            <w:tcW w:w="950" w:type="dxa"/>
            <w:tcBorders>
              <w:top w:val="single" w:sz="4" w:space="0" w:color="auto"/>
              <w:left w:val="single" w:sz="4" w:space="0" w:color="auto"/>
              <w:bottom w:val="single" w:sz="4" w:space="0" w:color="auto"/>
              <w:right w:val="single" w:sz="4" w:space="0" w:color="auto"/>
            </w:tcBorders>
            <w:vAlign w:val="center"/>
            <w:hideMark/>
          </w:tcPr>
          <w:p w14:paraId="5427BCE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554,5</w:t>
            </w:r>
          </w:p>
        </w:tc>
        <w:tc>
          <w:tcPr>
            <w:tcW w:w="951" w:type="dxa"/>
            <w:tcBorders>
              <w:top w:val="single" w:sz="4" w:space="0" w:color="auto"/>
              <w:left w:val="single" w:sz="4" w:space="0" w:color="auto"/>
              <w:bottom w:val="single" w:sz="4" w:space="0" w:color="auto"/>
              <w:right w:val="single" w:sz="4" w:space="0" w:color="auto"/>
            </w:tcBorders>
            <w:vAlign w:val="center"/>
            <w:hideMark/>
          </w:tcPr>
          <w:p w14:paraId="1387B2E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576,7</w:t>
            </w:r>
          </w:p>
        </w:tc>
        <w:tc>
          <w:tcPr>
            <w:tcW w:w="951" w:type="dxa"/>
            <w:tcBorders>
              <w:top w:val="single" w:sz="4" w:space="0" w:color="auto"/>
              <w:left w:val="single" w:sz="4" w:space="0" w:color="auto"/>
              <w:bottom w:val="single" w:sz="4" w:space="0" w:color="auto"/>
              <w:right w:val="single" w:sz="4" w:space="0" w:color="auto"/>
            </w:tcBorders>
            <w:vAlign w:val="center"/>
            <w:hideMark/>
          </w:tcPr>
          <w:p w14:paraId="57E81E5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599,7</w:t>
            </w:r>
          </w:p>
        </w:tc>
        <w:tc>
          <w:tcPr>
            <w:tcW w:w="951" w:type="dxa"/>
            <w:tcBorders>
              <w:top w:val="single" w:sz="4" w:space="0" w:color="auto"/>
              <w:left w:val="single" w:sz="4" w:space="0" w:color="auto"/>
              <w:bottom w:val="single" w:sz="4" w:space="0" w:color="auto"/>
              <w:right w:val="single" w:sz="4" w:space="0" w:color="auto"/>
            </w:tcBorders>
            <w:vAlign w:val="center"/>
            <w:hideMark/>
          </w:tcPr>
          <w:p w14:paraId="7EE0CD3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623,7</w:t>
            </w:r>
          </w:p>
        </w:tc>
      </w:tr>
    </w:tbl>
    <w:p w14:paraId="78DA8FE9" w14:textId="77777777" w:rsidR="00852A1F" w:rsidRPr="00852A1F" w:rsidRDefault="00852A1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73CFE4F6"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Податок на прибуток</w:t>
      </w:r>
    </w:p>
    <w:p w14:paraId="098FB35F"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У липні 2022 року набрав чинності Закон України «Про внесення змін до Податкового кодексу України щодо створення сприятливих умов для діяльності індустріальних парків в Україні» від 21 червня 2022 року №2330-IX (далі – Закон №2330), яким внесені зміни, зокрема, до Податкового кодексу України (далі – ПКУ), а саме:</w:t>
      </w:r>
    </w:p>
    <w:p w14:paraId="68E0FCAE" w14:textId="77777777" w:rsidR="00852A1F" w:rsidRPr="00852A1F" w:rsidRDefault="00000000" w:rsidP="00852A1F">
      <w:pPr>
        <w:numPr>
          <w:ilvl w:val="0"/>
          <w:numId w:val="8"/>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 xml:space="preserve">звільнено від оподаткування прибуток учасників індустріальних парків від здійснення господарської діяльності у сферах переробної промисловості (розділ 10, клас 11.07 розділу 11, розділи 13-17, 20-33 КВЕД, крім класу 24.10 розділу 24 КВЕД та крім виробництва підакцизних товарів, за виключенням виробництва автомобілів легкових, кузовів до них, причепів та напівпричепів, мотоциклів, транспортних засобів, призначених для перевезення 10 осіб і більше, транспортних засобів для перевезення вантажів); у сфері збирання, оброблення і видалення відходів; відновлення матеріалів (розділ 38 КВЕД), крім захоронення відходів, або науково-дослідної діяльності (розділ 72 КВЕД) </w:t>
      </w:r>
      <w:r w:rsidRPr="00852A1F">
        <w:rPr>
          <w:rFonts w:ascii="Times New Roman" w:eastAsia="Times New Roman" w:hAnsi="Times New Roman" w:cs="Times New Roman"/>
          <w:sz w:val="28"/>
          <w:szCs w:val="28"/>
        </w:rPr>
        <w:lastRenderedPageBreak/>
        <w:t xml:space="preserve">виключно на території (в межах) індустріального парку, протягом десяти послідовних років. </w:t>
      </w:r>
    </w:p>
    <w:p w14:paraId="1A4A8FC1"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Застосування визначених правил оподаткування допускається за умови, що учасник індустріального парку матиме статус такого учасника впродовж не менше 10 років і протягом цих десяти років: </w:t>
      </w:r>
    </w:p>
    <w:p w14:paraId="3979B236" w14:textId="77777777" w:rsidR="00852A1F" w:rsidRPr="00852A1F" w:rsidRDefault="00000000" w:rsidP="00852A1F">
      <w:pPr>
        <w:numPr>
          <w:ilvl w:val="0"/>
          <w:numId w:val="8"/>
        </w:numPr>
        <w:tabs>
          <w:tab w:val="left" w:pos="567"/>
        </w:tabs>
        <w:spacing w:after="0" w:line="240" w:lineRule="auto"/>
        <w:ind w:left="0" w:firstLine="284"/>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 xml:space="preserve">здійснює господарську діяльність виключно на території і в межах індустріального парку. Для підтвердження статусу учасника індустріального парку використовуються дані з Реєстру; </w:t>
      </w:r>
    </w:p>
    <w:p w14:paraId="0CB685F5" w14:textId="77777777" w:rsidR="00852A1F" w:rsidRPr="00852A1F" w:rsidRDefault="00000000" w:rsidP="00852A1F">
      <w:pPr>
        <w:numPr>
          <w:ilvl w:val="0"/>
          <w:numId w:val="8"/>
        </w:numPr>
        <w:tabs>
          <w:tab w:val="left" w:pos="567"/>
        </w:tabs>
        <w:spacing w:after="0" w:line="240" w:lineRule="auto"/>
        <w:ind w:left="0" w:firstLine="284"/>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не нараховує і не виплачує дивіденди (прирівняні до них платежі) на користь власників корпоративних прав.</w:t>
      </w:r>
    </w:p>
    <w:p w14:paraId="513DAE4B" w14:textId="77777777" w:rsidR="00852A1F" w:rsidRPr="00852A1F" w:rsidRDefault="00000000" w:rsidP="00852A1F">
      <w:pPr>
        <w:tabs>
          <w:tab w:val="left" w:pos="1843"/>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Беручи до уваги вказане вище, а також оцінений обсяг валового випуску індустріального парку і середньогалузеві показники рентабельності операційної діяльності підприємств ІП, які вестимуть господарську діяльність за кодами КВЕД, не передбаченими Законом №2330, був розрахований очікуваний обсяг сплати податку на прибуток (ставка податку 18%) учасниками й іншими суб’єктами індустріального парку «БУДШЛЯХМАШ» (табл. 16).</w:t>
      </w:r>
    </w:p>
    <w:p w14:paraId="4654461E"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16.</w:t>
      </w:r>
      <w:r w:rsidRPr="00852A1F">
        <w:rPr>
          <w:rFonts w:ascii="Times New Roman" w:eastAsia="Calibri" w:hAnsi="Times New Roman" w:cs="Times New Roman"/>
          <w:kern w:val="2"/>
          <w:sz w:val="28"/>
          <w:szCs w:val="28"/>
          <w:lang w:eastAsia="en-US"/>
          <w14:ligatures w14:val="standardContextual"/>
        </w:rPr>
        <w:t xml:space="preserve"> Розрахунок податку на прибуток учасників ІП «БУДШЛЯХМАШ», млн грн</w:t>
      </w:r>
    </w:p>
    <w:tbl>
      <w:tblPr>
        <w:tblStyle w:val="13"/>
        <w:tblW w:w="0" w:type="auto"/>
        <w:tblLook w:val="04A0" w:firstRow="1" w:lastRow="0" w:firstColumn="1" w:lastColumn="0" w:noHBand="0" w:noVBand="1"/>
      </w:tblPr>
      <w:tblGrid>
        <w:gridCol w:w="2610"/>
        <w:gridCol w:w="975"/>
        <w:gridCol w:w="978"/>
        <w:gridCol w:w="985"/>
        <w:gridCol w:w="985"/>
        <w:gridCol w:w="985"/>
        <w:gridCol w:w="985"/>
        <w:gridCol w:w="985"/>
      </w:tblGrid>
      <w:tr w:rsidR="00F37DCB" w14:paraId="1FE76EF2" w14:textId="77777777" w:rsidTr="00852A1F">
        <w:tc>
          <w:tcPr>
            <w:tcW w:w="2667" w:type="dxa"/>
            <w:tcBorders>
              <w:top w:val="single" w:sz="4" w:space="0" w:color="auto"/>
              <w:left w:val="single" w:sz="4" w:space="0" w:color="auto"/>
              <w:bottom w:val="single" w:sz="4" w:space="0" w:color="auto"/>
              <w:right w:val="single" w:sz="4" w:space="0" w:color="auto"/>
            </w:tcBorders>
            <w:shd w:val="clear" w:color="auto" w:fill="809EC2"/>
            <w:hideMark/>
          </w:tcPr>
          <w:p w14:paraId="2A12C2B1"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Сфера діяльності</w:t>
            </w:r>
          </w:p>
        </w:tc>
        <w:tc>
          <w:tcPr>
            <w:tcW w:w="986"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CC3D951"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2029</w:t>
            </w:r>
          </w:p>
        </w:tc>
        <w:tc>
          <w:tcPr>
            <w:tcW w:w="989"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074CA2B"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2030</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B7CDA58"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2031</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FD12C3A"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2032</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69A60C5"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2033</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B7F4C25"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2034</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D98F477" w14:textId="77777777" w:rsidR="00852A1F" w:rsidRPr="00852A1F" w:rsidRDefault="00000000" w:rsidP="00852A1F">
            <w:pPr>
              <w:tabs>
                <w:tab w:val="left" w:pos="851"/>
              </w:tabs>
              <w:spacing w:before="80" w:after="80"/>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33B8EB52"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0C97FB2E"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Валовий випуск промислових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14:paraId="3D8BCF3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4300,4</w:t>
            </w:r>
          </w:p>
        </w:tc>
        <w:tc>
          <w:tcPr>
            <w:tcW w:w="989" w:type="dxa"/>
            <w:tcBorders>
              <w:top w:val="single" w:sz="4" w:space="0" w:color="auto"/>
              <w:left w:val="single" w:sz="4" w:space="0" w:color="auto"/>
              <w:bottom w:val="single" w:sz="4" w:space="0" w:color="auto"/>
              <w:right w:val="single" w:sz="4" w:space="0" w:color="auto"/>
            </w:tcBorders>
            <w:vAlign w:val="center"/>
            <w:hideMark/>
          </w:tcPr>
          <w:p w14:paraId="3798E04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5947,3</w:t>
            </w:r>
          </w:p>
        </w:tc>
        <w:tc>
          <w:tcPr>
            <w:tcW w:w="997" w:type="dxa"/>
            <w:tcBorders>
              <w:top w:val="single" w:sz="4" w:space="0" w:color="auto"/>
              <w:left w:val="single" w:sz="4" w:space="0" w:color="auto"/>
              <w:bottom w:val="single" w:sz="4" w:space="0" w:color="auto"/>
              <w:right w:val="single" w:sz="4" w:space="0" w:color="auto"/>
            </w:tcBorders>
            <w:vAlign w:val="center"/>
            <w:hideMark/>
          </w:tcPr>
          <w:p w14:paraId="7EE0A3D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8225,0</w:t>
            </w:r>
          </w:p>
        </w:tc>
        <w:tc>
          <w:tcPr>
            <w:tcW w:w="997" w:type="dxa"/>
            <w:tcBorders>
              <w:top w:val="single" w:sz="4" w:space="0" w:color="auto"/>
              <w:left w:val="single" w:sz="4" w:space="0" w:color="auto"/>
              <w:bottom w:val="single" w:sz="4" w:space="0" w:color="auto"/>
              <w:right w:val="single" w:sz="4" w:space="0" w:color="auto"/>
            </w:tcBorders>
            <w:vAlign w:val="center"/>
            <w:hideMark/>
          </w:tcPr>
          <w:p w14:paraId="0AFB253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8554,0</w:t>
            </w:r>
          </w:p>
        </w:tc>
        <w:tc>
          <w:tcPr>
            <w:tcW w:w="997" w:type="dxa"/>
            <w:tcBorders>
              <w:top w:val="single" w:sz="4" w:space="0" w:color="auto"/>
              <w:left w:val="single" w:sz="4" w:space="0" w:color="auto"/>
              <w:bottom w:val="single" w:sz="4" w:space="0" w:color="auto"/>
              <w:right w:val="single" w:sz="4" w:space="0" w:color="auto"/>
            </w:tcBorders>
            <w:vAlign w:val="center"/>
            <w:hideMark/>
          </w:tcPr>
          <w:p w14:paraId="5FD0417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8896,2</w:t>
            </w:r>
          </w:p>
        </w:tc>
        <w:tc>
          <w:tcPr>
            <w:tcW w:w="997" w:type="dxa"/>
            <w:tcBorders>
              <w:top w:val="single" w:sz="4" w:space="0" w:color="auto"/>
              <w:left w:val="single" w:sz="4" w:space="0" w:color="auto"/>
              <w:bottom w:val="single" w:sz="4" w:space="0" w:color="auto"/>
              <w:right w:val="single" w:sz="4" w:space="0" w:color="auto"/>
            </w:tcBorders>
            <w:vAlign w:val="center"/>
            <w:hideMark/>
          </w:tcPr>
          <w:p w14:paraId="536B734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9252,0</w:t>
            </w:r>
          </w:p>
        </w:tc>
        <w:tc>
          <w:tcPr>
            <w:tcW w:w="997" w:type="dxa"/>
            <w:tcBorders>
              <w:top w:val="single" w:sz="4" w:space="0" w:color="auto"/>
              <w:left w:val="single" w:sz="4" w:space="0" w:color="auto"/>
              <w:bottom w:val="single" w:sz="4" w:space="0" w:color="auto"/>
              <w:right w:val="single" w:sz="4" w:space="0" w:color="auto"/>
            </w:tcBorders>
            <w:vAlign w:val="center"/>
            <w:hideMark/>
          </w:tcPr>
          <w:p w14:paraId="5C33365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9622,1</w:t>
            </w:r>
          </w:p>
        </w:tc>
      </w:tr>
      <w:tr w:rsidR="00F37DCB" w14:paraId="6FA6D518"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58286D59"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Середній розмір прибутку промислових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14:paraId="21F7D0E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3B15815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285,5</w:t>
            </w:r>
          </w:p>
        </w:tc>
        <w:tc>
          <w:tcPr>
            <w:tcW w:w="997" w:type="dxa"/>
            <w:tcBorders>
              <w:top w:val="single" w:sz="4" w:space="0" w:color="auto"/>
              <w:left w:val="single" w:sz="4" w:space="0" w:color="auto"/>
              <w:bottom w:val="single" w:sz="4" w:space="0" w:color="auto"/>
              <w:right w:val="single" w:sz="4" w:space="0" w:color="auto"/>
            </w:tcBorders>
            <w:vAlign w:val="center"/>
            <w:hideMark/>
          </w:tcPr>
          <w:p w14:paraId="430F972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723,8</w:t>
            </w:r>
          </w:p>
        </w:tc>
        <w:tc>
          <w:tcPr>
            <w:tcW w:w="997" w:type="dxa"/>
            <w:tcBorders>
              <w:top w:val="single" w:sz="4" w:space="0" w:color="auto"/>
              <w:left w:val="single" w:sz="4" w:space="0" w:color="auto"/>
              <w:bottom w:val="single" w:sz="4" w:space="0" w:color="auto"/>
              <w:right w:val="single" w:sz="4" w:space="0" w:color="auto"/>
            </w:tcBorders>
            <w:vAlign w:val="center"/>
            <w:hideMark/>
          </w:tcPr>
          <w:p w14:paraId="4826CE5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752,8</w:t>
            </w:r>
          </w:p>
        </w:tc>
        <w:tc>
          <w:tcPr>
            <w:tcW w:w="997" w:type="dxa"/>
            <w:tcBorders>
              <w:top w:val="single" w:sz="4" w:space="0" w:color="auto"/>
              <w:left w:val="single" w:sz="4" w:space="0" w:color="auto"/>
              <w:bottom w:val="single" w:sz="4" w:space="0" w:color="auto"/>
              <w:right w:val="single" w:sz="4" w:space="0" w:color="auto"/>
            </w:tcBorders>
            <w:vAlign w:val="center"/>
            <w:hideMark/>
          </w:tcPr>
          <w:p w14:paraId="13C6E6A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782,9</w:t>
            </w:r>
          </w:p>
        </w:tc>
        <w:tc>
          <w:tcPr>
            <w:tcW w:w="997" w:type="dxa"/>
            <w:tcBorders>
              <w:top w:val="single" w:sz="4" w:space="0" w:color="auto"/>
              <w:left w:val="single" w:sz="4" w:space="0" w:color="auto"/>
              <w:bottom w:val="single" w:sz="4" w:space="0" w:color="auto"/>
              <w:right w:val="single" w:sz="4" w:space="0" w:color="auto"/>
            </w:tcBorders>
            <w:vAlign w:val="center"/>
            <w:hideMark/>
          </w:tcPr>
          <w:p w14:paraId="508A6E1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814,2</w:t>
            </w:r>
          </w:p>
        </w:tc>
        <w:tc>
          <w:tcPr>
            <w:tcW w:w="997" w:type="dxa"/>
            <w:tcBorders>
              <w:top w:val="single" w:sz="4" w:space="0" w:color="auto"/>
              <w:left w:val="single" w:sz="4" w:space="0" w:color="auto"/>
              <w:bottom w:val="single" w:sz="4" w:space="0" w:color="auto"/>
              <w:right w:val="single" w:sz="4" w:space="0" w:color="auto"/>
            </w:tcBorders>
            <w:vAlign w:val="center"/>
            <w:hideMark/>
          </w:tcPr>
          <w:p w14:paraId="69AEBD7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846,7</w:t>
            </w:r>
          </w:p>
        </w:tc>
      </w:tr>
      <w:tr w:rsidR="00F37DCB" w14:paraId="231540A7"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6E49DE45"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Податок на прибуток промислових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14:paraId="22E0F44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2B08215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51,4</w:t>
            </w:r>
          </w:p>
        </w:tc>
        <w:tc>
          <w:tcPr>
            <w:tcW w:w="997" w:type="dxa"/>
            <w:tcBorders>
              <w:top w:val="single" w:sz="4" w:space="0" w:color="auto"/>
              <w:left w:val="single" w:sz="4" w:space="0" w:color="auto"/>
              <w:bottom w:val="single" w:sz="4" w:space="0" w:color="auto"/>
              <w:right w:val="single" w:sz="4" w:space="0" w:color="auto"/>
            </w:tcBorders>
            <w:vAlign w:val="center"/>
            <w:hideMark/>
          </w:tcPr>
          <w:p w14:paraId="71F3960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130,3</w:t>
            </w:r>
          </w:p>
        </w:tc>
        <w:tc>
          <w:tcPr>
            <w:tcW w:w="997" w:type="dxa"/>
            <w:tcBorders>
              <w:top w:val="single" w:sz="4" w:space="0" w:color="auto"/>
              <w:left w:val="single" w:sz="4" w:space="0" w:color="auto"/>
              <w:bottom w:val="single" w:sz="4" w:space="0" w:color="auto"/>
              <w:right w:val="single" w:sz="4" w:space="0" w:color="auto"/>
            </w:tcBorders>
            <w:vAlign w:val="center"/>
            <w:hideMark/>
          </w:tcPr>
          <w:p w14:paraId="28CFE78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135,5</w:t>
            </w:r>
          </w:p>
        </w:tc>
        <w:tc>
          <w:tcPr>
            <w:tcW w:w="997" w:type="dxa"/>
            <w:tcBorders>
              <w:top w:val="single" w:sz="4" w:space="0" w:color="auto"/>
              <w:left w:val="single" w:sz="4" w:space="0" w:color="auto"/>
              <w:bottom w:val="single" w:sz="4" w:space="0" w:color="auto"/>
              <w:right w:val="single" w:sz="4" w:space="0" w:color="auto"/>
            </w:tcBorders>
            <w:vAlign w:val="center"/>
            <w:hideMark/>
          </w:tcPr>
          <w:p w14:paraId="4AF1330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140,9</w:t>
            </w:r>
          </w:p>
        </w:tc>
        <w:tc>
          <w:tcPr>
            <w:tcW w:w="997" w:type="dxa"/>
            <w:tcBorders>
              <w:top w:val="single" w:sz="4" w:space="0" w:color="auto"/>
              <w:left w:val="single" w:sz="4" w:space="0" w:color="auto"/>
              <w:bottom w:val="single" w:sz="4" w:space="0" w:color="auto"/>
              <w:right w:val="single" w:sz="4" w:space="0" w:color="auto"/>
            </w:tcBorders>
            <w:vAlign w:val="center"/>
            <w:hideMark/>
          </w:tcPr>
          <w:p w14:paraId="223F745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146,6</w:t>
            </w:r>
          </w:p>
        </w:tc>
        <w:tc>
          <w:tcPr>
            <w:tcW w:w="997" w:type="dxa"/>
            <w:tcBorders>
              <w:top w:val="single" w:sz="4" w:space="0" w:color="auto"/>
              <w:left w:val="single" w:sz="4" w:space="0" w:color="auto"/>
              <w:bottom w:val="single" w:sz="4" w:space="0" w:color="auto"/>
              <w:right w:val="single" w:sz="4" w:space="0" w:color="auto"/>
            </w:tcBorders>
            <w:vAlign w:val="center"/>
            <w:hideMark/>
          </w:tcPr>
          <w:p w14:paraId="775F6E3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152,4</w:t>
            </w:r>
          </w:p>
        </w:tc>
      </w:tr>
      <w:tr w:rsidR="00F37DCB" w14:paraId="634384BA"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015E1187"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Реінвестування нарахованого податку на прибуток у діяльність ІП</w:t>
            </w:r>
          </w:p>
        </w:tc>
        <w:tc>
          <w:tcPr>
            <w:tcW w:w="986" w:type="dxa"/>
            <w:tcBorders>
              <w:top w:val="single" w:sz="4" w:space="0" w:color="auto"/>
              <w:left w:val="single" w:sz="4" w:space="0" w:color="auto"/>
              <w:bottom w:val="single" w:sz="4" w:space="0" w:color="auto"/>
              <w:right w:val="single" w:sz="4" w:space="0" w:color="auto"/>
            </w:tcBorders>
            <w:vAlign w:val="center"/>
            <w:hideMark/>
          </w:tcPr>
          <w:p w14:paraId="10D306C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0AB752D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51,4</w:t>
            </w:r>
          </w:p>
        </w:tc>
        <w:tc>
          <w:tcPr>
            <w:tcW w:w="997" w:type="dxa"/>
            <w:tcBorders>
              <w:top w:val="single" w:sz="4" w:space="0" w:color="auto"/>
              <w:left w:val="single" w:sz="4" w:space="0" w:color="auto"/>
              <w:bottom w:val="single" w:sz="4" w:space="0" w:color="auto"/>
              <w:right w:val="single" w:sz="4" w:space="0" w:color="auto"/>
            </w:tcBorders>
            <w:vAlign w:val="center"/>
            <w:hideMark/>
          </w:tcPr>
          <w:p w14:paraId="35F0D11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130,3</w:t>
            </w:r>
          </w:p>
        </w:tc>
        <w:tc>
          <w:tcPr>
            <w:tcW w:w="997" w:type="dxa"/>
            <w:tcBorders>
              <w:top w:val="single" w:sz="4" w:space="0" w:color="auto"/>
              <w:left w:val="single" w:sz="4" w:space="0" w:color="auto"/>
              <w:bottom w:val="single" w:sz="4" w:space="0" w:color="auto"/>
              <w:right w:val="single" w:sz="4" w:space="0" w:color="auto"/>
            </w:tcBorders>
            <w:vAlign w:val="center"/>
            <w:hideMark/>
          </w:tcPr>
          <w:p w14:paraId="7292212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135,5</w:t>
            </w:r>
          </w:p>
        </w:tc>
        <w:tc>
          <w:tcPr>
            <w:tcW w:w="997" w:type="dxa"/>
            <w:tcBorders>
              <w:top w:val="single" w:sz="4" w:space="0" w:color="auto"/>
              <w:left w:val="single" w:sz="4" w:space="0" w:color="auto"/>
              <w:bottom w:val="single" w:sz="4" w:space="0" w:color="auto"/>
              <w:right w:val="single" w:sz="4" w:space="0" w:color="auto"/>
            </w:tcBorders>
            <w:vAlign w:val="center"/>
            <w:hideMark/>
          </w:tcPr>
          <w:p w14:paraId="6B0FBE5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140,9</w:t>
            </w:r>
          </w:p>
        </w:tc>
        <w:tc>
          <w:tcPr>
            <w:tcW w:w="997" w:type="dxa"/>
            <w:tcBorders>
              <w:top w:val="single" w:sz="4" w:space="0" w:color="auto"/>
              <w:left w:val="single" w:sz="4" w:space="0" w:color="auto"/>
              <w:bottom w:val="single" w:sz="4" w:space="0" w:color="auto"/>
              <w:right w:val="single" w:sz="4" w:space="0" w:color="auto"/>
            </w:tcBorders>
            <w:vAlign w:val="center"/>
            <w:hideMark/>
          </w:tcPr>
          <w:p w14:paraId="56053D1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146,6</w:t>
            </w:r>
          </w:p>
        </w:tc>
        <w:tc>
          <w:tcPr>
            <w:tcW w:w="997" w:type="dxa"/>
            <w:tcBorders>
              <w:top w:val="single" w:sz="4" w:space="0" w:color="auto"/>
              <w:left w:val="single" w:sz="4" w:space="0" w:color="auto"/>
              <w:bottom w:val="single" w:sz="4" w:space="0" w:color="auto"/>
              <w:right w:val="single" w:sz="4" w:space="0" w:color="auto"/>
            </w:tcBorders>
            <w:vAlign w:val="center"/>
            <w:hideMark/>
          </w:tcPr>
          <w:p w14:paraId="2206359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152,4</w:t>
            </w:r>
          </w:p>
        </w:tc>
      </w:tr>
      <w:tr w:rsidR="00F37DCB" w14:paraId="112FFA52"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3047B25B"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Перерахування податку на прибуток в держбюджет</w:t>
            </w:r>
          </w:p>
        </w:tc>
        <w:tc>
          <w:tcPr>
            <w:tcW w:w="986" w:type="dxa"/>
            <w:tcBorders>
              <w:top w:val="single" w:sz="4" w:space="0" w:color="auto"/>
              <w:left w:val="single" w:sz="4" w:space="0" w:color="auto"/>
              <w:bottom w:val="single" w:sz="4" w:space="0" w:color="auto"/>
              <w:right w:val="single" w:sz="4" w:space="0" w:color="auto"/>
            </w:tcBorders>
            <w:vAlign w:val="center"/>
            <w:hideMark/>
          </w:tcPr>
          <w:p w14:paraId="49921E4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05A0861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7A45540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50B5A6C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63CBDB1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1EA1B19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3C25CCD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0,0</w:t>
            </w:r>
          </w:p>
        </w:tc>
      </w:tr>
      <w:tr w:rsidR="00F37DCB" w14:paraId="1C9F4B38" w14:textId="77777777" w:rsidTr="00852A1F">
        <w:tc>
          <w:tcPr>
            <w:tcW w:w="9627" w:type="dxa"/>
            <w:gridSpan w:val="8"/>
            <w:tcBorders>
              <w:top w:val="single" w:sz="4" w:space="0" w:color="auto"/>
              <w:left w:val="single" w:sz="4" w:space="0" w:color="auto"/>
              <w:bottom w:val="single" w:sz="4" w:space="0" w:color="auto"/>
              <w:right w:val="single" w:sz="4" w:space="0" w:color="auto"/>
            </w:tcBorders>
          </w:tcPr>
          <w:p w14:paraId="78A2E7B0" w14:textId="77777777" w:rsidR="00852A1F" w:rsidRPr="00852A1F" w:rsidRDefault="00852A1F" w:rsidP="00852A1F">
            <w:pPr>
              <w:tabs>
                <w:tab w:val="left" w:pos="851"/>
              </w:tabs>
              <w:ind w:right="-57"/>
              <w:jc w:val="right"/>
              <w:rPr>
                <w:rFonts w:ascii="Times New Roman" w:hAnsi="Times New Roman"/>
                <w:sz w:val="24"/>
                <w:szCs w:val="24"/>
              </w:rPr>
            </w:pPr>
          </w:p>
        </w:tc>
      </w:tr>
      <w:tr w:rsidR="00F37DCB" w14:paraId="7D378201"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2615559F"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Валовий випуск решти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14:paraId="1B828A08"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476,9</w:t>
            </w:r>
          </w:p>
        </w:tc>
        <w:tc>
          <w:tcPr>
            <w:tcW w:w="989" w:type="dxa"/>
            <w:tcBorders>
              <w:top w:val="single" w:sz="4" w:space="0" w:color="auto"/>
              <w:left w:val="single" w:sz="4" w:space="0" w:color="auto"/>
              <w:bottom w:val="single" w:sz="4" w:space="0" w:color="auto"/>
              <w:right w:val="single" w:sz="4" w:space="0" w:color="auto"/>
            </w:tcBorders>
            <w:vAlign w:val="center"/>
            <w:hideMark/>
          </w:tcPr>
          <w:p w14:paraId="79F62381"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605,2</w:t>
            </w:r>
          </w:p>
        </w:tc>
        <w:tc>
          <w:tcPr>
            <w:tcW w:w="997" w:type="dxa"/>
            <w:tcBorders>
              <w:top w:val="single" w:sz="4" w:space="0" w:color="auto"/>
              <w:left w:val="single" w:sz="4" w:space="0" w:color="auto"/>
              <w:bottom w:val="single" w:sz="4" w:space="0" w:color="auto"/>
              <w:right w:val="single" w:sz="4" w:space="0" w:color="auto"/>
            </w:tcBorders>
            <w:vAlign w:val="center"/>
            <w:hideMark/>
          </w:tcPr>
          <w:p w14:paraId="72BCFA74"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775,0</w:t>
            </w:r>
          </w:p>
        </w:tc>
        <w:tc>
          <w:tcPr>
            <w:tcW w:w="997" w:type="dxa"/>
            <w:tcBorders>
              <w:top w:val="single" w:sz="4" w:space="0" w:color="auto"/>
              <w:left w:val="single" w:sz="4" w:space="0" w:color="auto"/>
              <w:bottom w:val="single" w:sz="4" w:space="0" w:color="auto"/>
              <w:right w:val="single" w:sz="4" w:space="0" w:color="auto"/>
            </w:tcBorders>
            <w:vAlign w:val="center"/>
            <w:hideMark/>
          </w:tcPr>
          <w:p w14:paraId="56E1383D"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806,0</w:t>
            </w:r>
          </w:p>
        </w:tc>
        <w:tc>
          <w:tcPr>
            <w:tcW w:w="997" w:type="dxa"/>
            <w:tcBorders>
              <w:top w:val="single" w:sz="4" w:space="0" w:color="auto"/>
              <w:left w:val="single" w:sz="4" w:space="0" w:color="auto"/>
              <w:bottom w:val="single" w:sz="4" w:space="0" w:color="auto"/>
              <w:right w:val="single" w:sz="4" w:space="0" w:color="auto"/>
            </w:tcBorders>
            <w:vAlign w:val="center"/>
            <w:hideMark/>
          </w:tcPr>
          <w:p w14:paraId="19375EFE"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838,2</w:t>
            </w:r>
          </w:p>
        </w:tc>
        <w:tc>
          <w:tcPr>
            <w:tcW w:w="997" w:type="dxa"/>
            <w:tcBorders>
              <w:top w:val="single" w:sz="4" w:space="0" w:color="auto"/>
              <w:left w:val="single" w:sz="4" w:space="0" w:color="auto"/>
              <w:bottom w:val="single" w:sz="4" w:space="0" w:color="auto"/>
              <w:right w:val="single" w:sz="4" w:space="0" w:color="auto"/>
            </w:tcBorders>
            <w:vAlign w:val="center"/>
            <w:hideMark/>
          </w:tcPr>
          <w:p w14:paraId="7C440026"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871,8</w:t>
            </w:r>
          </w:p>
        </w:tc>
        <w:tc>
          <w:tcPr>
            <w:tcW w:w="997" w:type="dxa"/>
            <w:tcBorders>
              <w:top w:val="single" w:sz="4" w:space="0" w:color="auto"/>
              <w:left w:val="single" w:sz="4" w:space="0" w:color="auto"/>
              <w:bottom w:val="single" w:sz="4" w:space="0" w:color="auto"/>
              <w:right w:val="single" w:sz="4" w:space="0" w:color="auto"/>
            </w:tcBorders>
            <w:vAlign w:val="center"/>
            <w:hideMark/>
          </w:tcPr>
          <w:p w14:paraId="57C6B5C1"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906,6</w:t>
            </w:r>
          </w:p>
        </w:tc>
      </w:tr>
      <w:tr w:rsidR="00F37DCB" w14:paraId="69CE39CE"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558358D9"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Середній розмір прибутку решти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14:paraId="2AF459AB"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7B20D0FB"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29,1</w:t>
            </w:r>
          </w:p>
        </w:tc>
        <w:tc>
          <w:tcPr>
            <w:tcW w:w="997" w:type="dxa"/>
            <w:tcBorders>
              <w:top w:val="single" w:sz="4" w:space="0" w:color="auto"/>
              <w:left w:val="single" w:sz="4" w:space="0" w:color="auto"/>
              <w:bottom w:val="single" w:sz="4" w:space="0" w:color="auto"/>
              <w:right w:val="single" w:sz="4" w:space="0" w:color="auto"/>
            </w:tcBorders>
            <w:vAlign w:val="center"/>
            <w:hideMark/>
          </w:tcPr>
          <w:p w14:paraId="34FE218C"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68,2</w:t>
            </w:r>
          </w:p>
        </w:tc>
        <w:tc>
          <w:tcPr>
            <w:tcW w:w="997" w:type="dxa"/>
            <w:tcBorders>
              <w:top w:val="single" w:sz="4" w:space="0" w:color="auto"/>
              <w:left w:val="single" w:sz="4" w:space="0" w:color="auto"/>
              <w:bottom w:val="single" w:sz="4" w:space="0" w:color="auto"/>
              <w:right w:val="single" w:sz="4" w:space="0" w:color="auto"/>
            </w:tcBorders>
            <w:vAlign w:val="center"/>
            <w:hideMark/>
          </w:tcPr>
          <w:p w14:paraId="1459D526"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70,9</w:t>
            </w:r>
          </w:p>
        </w:tc>
        <w:tc>
          <w:tcPr>
            <w:tcW w:w="997" w:type="dxa"/>
            <w:tcBorders>
              <w:top w:val="single" w:sz="4" w:space="0" w:color="auto"/>
              <w:left w:val="single" w:sz="4" w:space="0" w:color="auto"/>
              <w:bottom w:val="single" w:sz="4" w:space="0" w:color="auto"/>
              <w:right w:val="single" w:sz="4" w:space="0" w:color="auto"/>
            </w:tcBorders>
            <w:vAlign w:val="center"/>
            <w:hideMark/>
          </w:tcPr>
          <w:p w14:paraId="5552CBC0"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73,8</w:t>
            </w:r>
          </w:p>
        </w:tc>
        <w:tc>
          <w:tcPr>
            <w:tcW w:w="997" w:type="dxa"/>
            <w:tcBorders>
              <w:top w:val="single" w:sz="4" w:space="0" w:color="auto"/>
              <w:left w:val="single" w:sz="4" w:space="0" w:color="auto"/>
              <w:bottom w:val="single" w:sz="4" w:space="0" w:color="auto"/>
              <w:right w:val="single" w:sz="4" w:space="0" w:color="auto"/>
            </w:tcBorders>
            <w:vAlign w:val="center"/>
            <w:hideMark/>
          </w:tcPr>
          <w:p w14:paraId="645F6063"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76,7</w:t>
            </w:r>
          </w:p>
        </w:tc>
        <w:tc>
          <w:tcPr>
            <w:tcW w:w="997" w:type="dxa"/>
            <w:tcBorders>
              <w:top w:val="single" w:sz="4" w:space="0" w:color="auto"/>
              <w:left w:val="single" w:sz="4" w:space="0" w:color="auto"/>
              <w:bottom w:val="single" w:sz="4" w:space="0" w:color="auto"/>
              <w:right w:val="single" w:sz="4" w:space="0" w:color="auto"/>
            </w:tcBorders>
            <w:vAlign w:val="center"/>
            <w:hideMark/>
          </w:tcPr>
          <w:p w14:paraId="3A01956D"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79,8</w:t>
            </w:r>
          </w:p>
        </w:tc>
      </w:tr>
      <w:tr w:rsidR="00F37DCB" w14:paraId="4328A388"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278C916B"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Податок на прибуток решти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14:paraId="56B379D4"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3E55B08D"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5,2</w:t>
            </w:r>
          </w:p>
        </w:tc>
        <w:tc>
          <w:tcPr>
            <w:tcW w:w="997" w:type="dxa"/>
            <w:tcBorders>
              <w:top w:val="single" w:sz="4" w:space="0" w:color="auto"/>
              <w:left w:val="single" w:sz="4" w:space="0" w:color="auto"/>
              <w:bottom w:val="single" w:sz="4" w:space="0" w:color="auto"/>
              <w:right w:val="single" w:sz="4" w:space="0" w:color="auto"/>
            </w:tcBorders>
            <w:vAlign w:val="center"/>
            <w:hideMark/>
          </w:tcPr>
          <w:p w14:paraId="7862F8B2"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12,3</w:t>
            </w:r>
          </w:p>
        </w:tc>
        <w:tc>
          <w:tcPr>
            <w:tcW w:w="997" w:type="dxa"/>
            <w:tcBorders>
              <w:top w:val="single" w:sz="4" w:space="0" w:color="auto"/>
              <w:left w:val="single" w:sz="4" w:space="0" w:color="auto"/>
              <w:bottom w:val="single" w:sz="4" w:space="0" w:color="auto"/>
              <w:right w:val="single" w:sz="4" w:space="0" w:color="auto"/>
            </w:tcBorders>
            <w:vAlign w:val="center"/>
            <w:hideMark/>
          </w:tcPr>
          <w:p w14:paraId="07EBBEF3"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12,8</w:t>
            </w:r>
          </w:p>
        </w:tc>
        <w:tc>
          <w:tcPr>
            <w:tcW w:w="997" w:type="dxa"/>
            <w:tcBorders>
              <w:top w:val="single" w:sz="4" w:space="0" w:color="auto"/>
              <w:left w:val="single" w:sz="4" w:space="0" w:color="auto"/>
              <w:bottom w:val="single" w:sz="4" w:space="0" w:color="auto"/>
              <w:right w:val="single" w:sz="4" w:space="0" w:color="auto"/>
            </w:tcBorders>
            <w:vAlign w:val="center"/>
            <w:hideMark/>
          </w:tcPr>
          <w:p w14:paraId="7A093489"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13,3</w:t>
            </w:r>
          </w:p>
        </w:tc>
        <w:tc>
          <w:tcPr>
            <w:tcW w:w="997" w:type="dxa"/>
            <w:tcBorders>
              <w:top w:val="single" w:sz="4" w:space="0" w:color="auto"/>
              <w:left w:val="single" w:sz="4" w:space="0" w:color="auto"/>
              <w:bottom w:val="single" w:sz="4" w:space="0" w:color="auto"/>
              <w:right w:val="single" w:sz="4" w:space="0" w:color="auto"/>
            </w:tcBorders>
            <w:vAlign w:val="center"/>
            <w:hideMark/>
          </w:tcPr>
          <w:p w14:paraId="4E3157D1"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13,8</w:t>
            </w:r>
          </w:p>
        </w:tc>
        <w:tc>
          <w:tcPr>
            <w:tcW w:w="997" w:type="dxa"/>
            <w:tcBorders>
              <w:top w:val="single" w:sz="4" w:space="0" w:color="auto"/>
              <w:left w:val="single" w:sz="4" w:space="0" w:color="auto"/>
              <w:bottom w:val="single" w:sz="4" w:space="0" w:color="auto"/>
              <w:right w:val="single" w:sz="4" w:space="0" w:color="auto"/>
            </w:tcBorders>
            <w:vAlign w:val="center"/>
            <w:hideMark/>
          </w:tcPr>
          <w:p w14:paraId="5602C411"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14,4</w:t>
            </w:r>
          </w:p>
        </w:tc>
      </w:tr>
      <w:tr w:rsidR="00F37DCB" w14:paraId="639D38E0" w14:textId="77777777" w:rsidTr="00852A1F">
        <w:tc>
          <w:tcPr>
            <w:tcW w:w="2667" w:type="dxa"/>
            <w:tcBorders>
              <w:top w:val="single" w:sz="4" w:space="0" w:color="auto"/>
              <w:left w:val="single" w:sz="4" w:space="0" w:color="auto"/>
              <w:bottom w:val="single" w:sz="4" w:space="0" w:color="auto"/>
              <w:right w:val="single" w:sz="4" w:space="0" w:color="auto"/>
            </w:tcBorders>
            <w:hideMark/>
          </w:tcPr>
          <w:p w14:paraId="09166CB4" w14:textId="77777777" w:rsidR="00852A1F" w:rsidRPr="00852A1F" w:rsidRDefault="00000000" w:rsidP="00852A1F">
            <w:pPr>
              <w:tabs>
                <w:tab w:val="left" w:pos="851"/>
              </w:tabs>
              <w:ind w:right="-57"/>
              <w:rPr>
                <w:rFonts w:ascii="Times New Roman" w:hAnsi="Times New Roman"/>
                <w:sz w:val="24"/>
                <w:szCs w:val="24"/>
              </w:rPr>
            </w:pPr>
            <w:r w:rsidRPr="00852A1F">
              <w:rPr>
                <w:rFonts w:ascii="Times New Roman" w:hAnsi="Times New Roman"/>
                <w:sz w:val="24"/>
                <w:szCs w:val="24"/>
              </w:rPr>
              <w:t>Перерахування податку на прибуток в держбюджет</w:t>
            </w:r>
          </w:p>
        </w:tc>
        <w:tc>
          <w:tcPr>
            <w:tcW w:w="986" w:type="dxa"/>
            <w:tcBorders>
              <w:top w:val="single" w:sz="4" w:space="0" w:color="auto"/>
              <w:left w:val="single" w:sz="4" w:space="0" w:color="auto"/>
              <w:bottom w:val="single" w:sz="4" w:space="0" w:color="auto"/>
              <w:right w:val="single" w:sz="4" w:space="0" w:color="auto"/>
            </w:tcBorders>
            <w:vAlign w:val="center"/>
            <w:hideMark/>
          </w:tcPr>
          <w:p w14:paraId="3C54F621"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14:paraId="2273276F"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5,2</w:t>
            </w:r>
          </w:p>
        </w:tc>
        <w:tc>
          <w:tcPr>
            <w:tcW w:w="997" w:type="dxa"/>
            <w:tcBorders>
              <w:top w:val="single" w:sz="4" w:space="0" w:color="auto"/>
              <w:left w:val="single" w:sz="4" w:space="0" w:color="auto"/>
              <w:bottom w:val="single" w:sz="4" w:space="0" w:color="auto"/>
              <w:right w:val="single" w:sz="4" w:space="0" w:color="auto"/>
            </w:tcBorders>
            <w:vAlign w:val="center"/>
            <w:hideMark/>
          </w:tcPr>
          <w:p w14:paraId="36BC7FD4"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12,3</w:t>
            </w:r>
          </w:p>
        </w:tc>
        <w:tc>
          <w:tcPr>
            <w:tcW w:w="997" w:type="dxa"/>
            <w:tcBorders>
              <w:top w:val="single" w:sz="4" w:space="0" w:color="auto"/>
              <w:left w:val="single" w:sz="4" w:space="0" w:color="auto"/>
              <w:bottom w:val="single" w:sz="4" w:space="0" w:color="auto"/>
              <w:right w:val="single" w:sz="4" w:space="0" w:color="auto"/>
            </w:tcBorders>
            <w:vAlign w:val="center"/>
            <w:hideMark/>
          </w:tcPr>
          <w:p w14:paraId="7880ABD3"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12,8</w:t>
            </w:r>
          </w:p>
        </w:tc>
        <w:tc>
          <w:tcPr>
            <w:tcW w:w="997" w:type="dxa"/>
            <w:tcBorders>
              <w:top w:val="single" w:sz="4" w:space="0" w:color="auto"/>
              <w:left w:val="single" w:sz="4" w:space="0" w:color="auto"/>
              <w:bottom w:val="single" w:sz="4" w:space="0" w:color="auto"/>
              <w:right w:val="single" w:sz="4" w:space="0" w:color="auto"/>
            </w:tcBorders>
            <w:vAlign w:val="center"/>
            <w:hideMark/>
          </w:tcPr>
          <w:p w14:paraId="7B4CA640"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13,3</w:t>
            </w:r>
          </w:p>
        </w:tc>
        <w:tc>
          <w:tcPr>
            <w:tcW w:w="997" w:type="dxa"/>
            <w:tcBorders>
              <w:top w:val="single" w:sz="4" w:space="0" w:color="auto"/>
              <w:left w:val="single" w:sz="4" w:space="0" w:color="auto"/>
              <w:bottom w:val="single" w:sz="4" w:space="0" w:color="auto"/>
              <w:right w:val="single" w:sz="4" w:space="0" w:color="auto"/>
            </w:tcBorders>
            <w:vAlign w:val="center"/>
            <w:hideMark/>
          </w:tcPr>
          <w:p w14:paraId="4692D4F8"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13,8</w:t>
            </w:r>
          </w:p>
        </w:tc>
        <w:tc>
          <w:tcPr>
            <w:tcW w:w="997" w:type="dxa"/>
            <w:tcBorders>
              <w:top w:val="single" w:sz="4" w:space="0" w:color="auto"/>
              <w:left w:val="single" w:sz="4" w:space="0" w:color="auto"/>
              <w:bottom w:val="single" w:sz="4" w:space="0" w:color="auto"/>
              <w:right w:val="single" w:sz="4" w:space="0" w:color="auto"/>
            </w:tcBorders>
            <w:vAlign w:val="center"/>
            <w:hideMark/>
          </w:tcPr>
          <w:p w14:paraId="0A010158" w14:textId="77777777" w:rsidR="00852A1F" w:rsidRPr="00852A1F" w:rsidRDefault="00000000" w:rsidP="00852A1F">
            <w:pPr>
              <w:tabs>
                <w:tab w:val="left" w:pos="851"/>
              </w:tabs>
              <w:ind w:right="-57"/>
              <w:jc w:val="right"/>
              <w:rPr>
                <w:rFonts w:ascii="Times New Roman" w:hAnsi="Times New Roman"/>
                <w:sz w:val="24"/>
                <w:szCs w:val="24"/>
              </w:rPr>
            </w:pPr>
            <w:r w:rsidRPr="00852A1F">
              <w:rPr>
                <w:rFonts w:ascii="Times New Roman" w:hAnsi="Times New Roman"/>
                <w:sz w:val="24"/>
                <w:szCs w:val="24"/>
              </w:rPr>
              <w:t>14,4</w:t>
            </w:r>
          </w:p>
        </w:tc>
      </w:tr>
    </w:tbl>
    <w:p w14:paraId="219BD426" w14:textId="77777777" w:rsidR="00852A1F" w:rsidRPr="00852A1F" w:rsidRDefault="00852A1F" w:rsidP="00852A1F">
      <w:pPr>
        <w:spacing w:after="0" w:line="240" w:lineRule="auto"/>
        <w:jc w:val="both"/>
        <w:rPr>
          <w:rFonts w:ascii="Times New Roman" w:eastAsia="Calibri" w:hAnsi="Times New Roman" w:cs="Times New Roman"/>
          <w:kern w:val="2"/>
          <w:sz w:val="28"/>
          <w:szCs w:val="28"/>
          <w:lang w:eastAsia="en-US"/>
          <w14:ligatures w14:val="standardContextual"/>
        </w:rPr>
      </w:pPr>
    </w:p>
    <w:p w14:paraId="7226896C" w14:textId="77777777" w:rsidR="00852A1F" w:rsidRPr="00852A1F" w:rsidRDefault="00000000" w:rsidP="00E27A66">
      <w:pPr>
        <w:spacing w:after="0" w:line="240" w:lineRule="auto"/>
        <w:ind w:firstLine="426"/>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lastRenderedPageBreak/>
        <w:t xml:space="preserve">В основу розрахунків покладено очікувану середню рентабельність операційної діяльності учасників та інших суб’єктів індустріального парку на рівні 8,8%. Оскільки започаткування учасниками парку виробництва (зведення і облаштування приміщень, придбання обладнання та устаткування, пуско-налагоджувальні роботи тощо) вимагає значних фінансових витрат та певного періоду часу для їх повного покриття отриманим прибутком, у 2029 році одержання прибутку не передбачене, а для 2030 року закладена рентабельність на рівні 4,8%. </w:t>
      </w:r>
    </w:p>
    <w:p w14:paraId="4B72E959"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Податок на доходи фізичних осіб</w:t>
      </w:r>
    </w:p>
    <w:p w14:paraId="126ED194"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Ставка податку з доходів фізичних осіб (найманих працівників господарюючих суб’єктів індустріального парку) складає 18%. Таким чином, відповідно до очікуваної динаміки появи нових робочих (див. табл. 11) та прогнозної динаміки оплати праці найманих працівників (див. табл. 12), річний обсяг бюджетних надходжень з ПДФО становитиме від 44,8 млн до 119,5 млн грн (табл. 17).</w:t>
      </w:r>
    </w:p>
    <w:p w14:paraId="406AD0DD"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17.</w:t>
      </w:r>
      <w:r w:rsidRPr="00852A1F">
        <w:rPr>
          <w:rFonts w:ascii="Times New Roman" w:eastAsia="Calibri" w:hAnsi="Times New Roman" w:cs="Times New Roman"/>
          <w:kern w:val="2"/>
          <w:sz w:val="28"/>
          <w:szCs w:val="28"/>
          <w:lang w:eastAsia="en-US"/>
          <w14:ligatures w14:val="standardContextual"/>
        </w:rPr>
        <w:t xml:space="preserve"> Розрахунок податку на доходи фізичних осіб ІП «БУДШЛЯХМАШ», млн грн</w:t>
      </w:r>
    </w:p>
    <w:tbl>
      <w:tblPr>
        <w:tblStyle w:val="13"/>
        <w:tblW w:w="0" w:type="auto"/>
        <w:tblLook w:val="04A0" w:firstRow="1" w:lastRow="0" w:firstColumn="1" w:lastColumn="0" w:noHBand="0" w:noVBand="1"/>
      </w:tblPr>
      <w:tblGrid>
        <w:gridCol w:w="2782"/>
        <w:gridCol w:w="958"/>
        <w:gridCol w:w="958"/>
        <w:gridCol w:w="958"/>
        <w:gridCol w:w="958"/>
        <w:gridCol w:w="958"/>
        <w:gridCol w:w="958"/>
        <w:gridCol w:w="958"/>
      </w:tblGrid>
      <w:tr w:rsidR="00F37DCB" w14:paraId="15571093" w14:textId="77777777" w:rsidTr="00852A1F">
        <w:tc>
          <w:tcPr>
            <w:tcW w:w="2830" w:type="dxa"/>
            <w:tcBorders>
              <w:top w:val="single" w:sz="4" w:space="0" w:color="auto"/>
              <w:left w:val="single" w:sz="4" w:space="0" w:color="auto"/>
              <w:bottom w:val="single" w:sz="4" w:space="0" w:color="auto"/>
              <w:right w:val="single" w:sz="4" w:space="0" w:color="auto"/>
            </w:tcBorders>
            <w:shd w:val="clear" w:color="auto" w:fill="809EC2"/>
          </w:tcPr>
          <w:p w14:paraId="5CDB8DAB" w14:textId="77777777" w:rsidR="00852A1F" w:rsidRPr="00852A1F" w:rsidRDefault="00852A1F" w:rsidP="00852A1F">
            <w:pPr>
              <w:tabs>
                <w:tab w:val="left" w:pos="851"/>
              </w:tabs>
              <w:jc w:val="center"/>
              <w:rPr>
                <w:rFonts w:ascii="Times New Roman" w:hAnsi="Times New Roman"/>
                <w:b/>
                <w:bCs/>
                <w:sz w:val="24"/>
                <w:szCs w:val="24"/>
              </w:rPr>
            </w:pP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DD6BBB9"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2029</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1ECA9E8"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2030</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F3F134E"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2031</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41D47200"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2032</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E263B9A"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2033</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BC92F00"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2034</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01D0BB6"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0F102F6F" w14:textId="77777777" w:rsidTr="00852A1F">
        <w:tc>
          <w:tcPr>
            <w:tcW w:w="2830" w:type="dxa"/>
            <w:tcBorders>
              <w:top w:val="single" w:sz="4" w:space="0" w:color="auto"/>
              <w:left w:val="single" w:sz="4" w:space="0" w:color="auto"/>
              <w:bottom w:val="single" w:sz="4" w:space="0" w:color="auto"/>
              <w:right w:val="single" w:sz="4" w:space="0" w:color="auto"/>
            </w:tcBorders>
            <w:vAlign w:val="center"/>
            <w:hideMark/>
          </w:tcPr>
          <w:p w14:paraId="48238782"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промислових підприємств</w:t>
            </w:r>
          </w:p>
        </w:tc>
        <w:tc>
          <w:tcPr>
            <w:tcW w:w="971" w:type="dxa"/>
            <w:tcBorders>
              <w:top w:val="single" w:sz="4" w:space="0" w:color="auto"/>
              <w:left w:val="single" w:sz="4" w:space="0" w:color="auto"/>
              <w:bottom w:val="single" w:sz="4" w:space="0" w:color="auto"/>
              <w:right w:val="single" w:sz="4" w:space="0" w:color="auto"/>
            </w:tcBorders>
            <w:vAlign w:val="center"/>
            <w:hideMark/>
          </w:tcPr>
          <w:p w14:paraId="1612513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27,8</w:t>
            </w:r>
          </w:p>
        </w:tc>
        <w:tc>
          <w:tcPr>
            <w:tcW w:w="971" w:type="dxa"/>
            <w:tcBorders>
              <w:top w:val="single" w:sz="4" w:space="0" w:color="auto"/>
              <w:left w:val="single" w:sz="4" w:space="0" w:color="auto"/>
              <w:bottom w:val="single" w:sz="4" w:space="0" w:color="auto"/>
              <w:right w:val="single" w:sz="4" w:space="0" w:color="auto"/>
            </w:tcBorders>
            <w:vAlign w:val="center"/>
            <w:hideMark/>
          </w:tcPr>
          <w:p w14:paraId="57C3177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44,2</w:t>
            </w:r>
          </w:p>
        </w:tc>
        <w:tc>
          <w:tcPr>
            <w:tcW w:w="971" w:type="dxa"/>
            <w:tcBorders>
              <w:top w:val="single" w:sz="4" w:space="0" w:color="auto"/>
              <w:left w:val="single" w:sz="4" w:space="0" w:color="auto"/>
              <w:bottom w:val="single" w:sz="4" w:space="0" w:color="auto"/>
              <w:right w:val="single" w:sz="4" w:space="0" w:color="auto"/>
            </w:tcBorders>
            <w:vAlign w:val="center"/>
            <w:hideMark/>
          </w:tcPr>
          <w:p w14:paraId="7267A0D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64,2</w:t>
            </w:r>
          </w:p>
        </w:tc>
        <w:tc>
          <w:tcPr>
            <w:tcW w:w="971" w:type="dxa"/>
            <w:tcBorders>
              <w:top w:val="single" w:sz="4" w:space="0" w:color="auto"/>
              <w:left w:val="single" w:sz="4" w:space="0" w:color="auto"/>
              <w:bottom w:val="single" w:sz="4" w:space="0" w:color="auto"/>
              <w:right w:val="single" w:sz="4" w:space="0" w:color="auto"/>
            </w:tcBorders>
            <w:vAlign w:val="center"/>
            <w:hideMark/>
          </w:tcPr>
          <w:p w14:paraId="0C935BC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67,5</w:t>
            </w:r>
          </w:p>
        </w:tc>
        <w:tc>
          <w:tcPr>
            <w:tcW w:w="971" w:type="dxa"/>
            <w:tcBorders>
              <w:top w:val="single" w:sz="4" w:space="0" w:color="auto"/>
              <w:left w:val="single" w:sz="4" w:space="0" w:color="auto"/>
              <w:bottom w:val="single" w:sz="4" w:space="0" w:color="auto"/>
              <w:right w:val="single" w:sz="4" w:space="0" w:color="auto"/>
            </w:tcBorders>
            <w:vAlign w:val="center"/>
            <w:hideMark/>
          </w:tcPr>
          <w:p w14:paraId="0C3500A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70,8</w:t>
            </w:r>
          </w:p>
        </w:tc>
        <w:tc>
          <w:tcPr>
            <w:tcW w:w="971" w:type="dxa"/>
            <w:tcBorders>
              <w:top w:val="single" w:sz="4" w:space="0" w:color="auto"/>
              <w:left w:val="single" w:sz="4" w:space="0" w:color="auto"/>
              <w:bottom w:val="single" w:sz="4" w:space="0" w:color="auto"/>
              <w:right w:val="single" w:sz="4" w:space="0" w:color="auto"/>
            </w:tcBorders>
            <w:vAlign w:val="center"/>
            <w:hideMark/>
          </w:tcPr>
          <w:p w14:paraId="6867610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74,4</w:t>
            </w:r>
          </w:p>
        </w:tc>
        <w:tc>
          <w:tcPr>
            <w:tcW w:w="971" w:type="dxa"/>
            <w:tcBorders>
              <w:top w:val="single" w:sz="4" w:space="0" w:color="auto"/>
              <w:left w:val="single" w:sz="4" w:space="0" w:color="auto"/>
              <w:bottom w:val="single" w:sz="4" w:space="0" w:color="auto"/>
              <w:right w:val="single" w:sz="4" w:space="0" w:color="auto"/>
            </w:tcBorders>
            <w:vAlign w:val="center"/>
            <w:hideMark/>
          </w:tcPr>
          <w:p w14:paraId="61016F1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78,1</w:t>
            </w:r>
          </w:p>
        </w:tc>
      </w:tr>
      <w:tr w:rsidR="00F37DCB" w14:paraId="47DFAF82" w14:textId="77777777" w:rsidTr="00852A1F">
        <w:tc>
          <w:tcPr>
            <w:tcW w:w="2830" w:type="dxa"/>
            <w:tcBorders>
              <w:top w:val="single" w:sz="4" w:space="0" w:color="auto"/>
              <w:left w:val="single" w:sz="4" w:space="0" w:color="auto"/>
              <w:bottom w:val="single" w:sz="4" w:space="0" w:color="auto"/>
              <w:right w:val="single" w:sz="4" w:space="0" w:color="auto"/>
            </w:tcBorders>
            <w:vAlign w:val="center"/>
            <w:hideMark/>
          </w:tcPr>
          <w:p w14:paraId="7AF879E1"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транспортно-логістичної інфраструктури</w:t>
            </w:r>
          </w:p>
        </w:tc>
        <w:tc>
          <w:tcPr>
            <w:tcW w:w="971" w:type="dxa"/>
            <w:tcBorders>
              <w:top w:val="single" w:sz="4" w:space="0" w:color="auto"/>
              <w:left w:val="single" w:sz="4" w:space="0" w:color="auto"/>
              <w:bottom w:val="single" w:sz="4" w:space="0" w:color="auto"/>
              <w:right w:val="single" w:sz="4" w:space="0" w:color="auto"/>
            </w:tcBorders>
            <w:vAlign w:val="center"/>
            <w:hideMark/>
          </w:tcPr>
          <w:p w14:paraId="2968B4A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5,7</w:t>
            </w:r>
          </w:p>
        </w:tc>
        <w:tc>
          <w:tcPr>
            <w:tcW w:w="971" w:type="dxa"/>
            <w:tcBorders>
              <w:top w:val="single" w:sz="4" w:space="0" w:color="auto"/>
              <w:left w:val="single" w:sz="4" w:space="0" w:color="auto"/>
              <w:bottom w:val="single" w:sz="4" w:space="0" w:color="auto"/>
              <w:right w:val="single" w:sz="4" w:space="0" w:color="auto"/>
            </w:tcBorders>
            <w:vAlign w:val="center"/>
            <w:hideMark/>
          </w:tcPr>
          <w:p w14:paraId="30E77E0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12,1</w:t>
            </w:r>
          </w:p>
        </w:tc>
        <w:tc>
          <w:tcPr>
            <w:tcW w:w="971" w:type="dxa"/>
            <w:tcBorders>
              <w:top w:val="single" w:sz="4" w:space="0" w:color="auto"/>
              <w:left w:val="single" w:sz="4" w:space="0" w:color="auto"/>
              <w:bottom w:val="single" w:sz="4" w:space="0" w:color="auto"/>
              <w:right w:val="single" w:sz="4" w:space="0" w:color="auto"/>
            </w:tcBorders>
            <w:vAlign w:val="center"/>
            <w:hideMark/>
          </w:tcPr>
          <w:p w14:paraId="3BDB9D9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14,5</w:t>
            </w:r>
          </w:p>
        </w:tc>
        <w:tc>
          <w:tcPr>
            <w:tcW w:w="971" w:type="dxa"/>
            <w:tcBorders>
              <w:top w:val="single" w:sz="4" w:space="0" w:color="auto"/>
              <w:left w:val="single" w:sz="4" w:space="0" w:color="auto"/>
              <w:bottom w:val="single" w:sz="4" w:space="0" w:color="auto"/>
              <w:right w:val="single" w:sz="4" w:space="0" w:color="auto"/>
            </w:tcBorders>
            <w:vAlign w:val="center"/>
            <w:hideMark/>
          </w:tcPr>
          <w:p w14:paraId="7338FCF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15,2</w:t>
            </w:r>
          </w:p>
        </w:tc>
        <w:tc>
          <w:tcPr>
            <w:tcW w:w="971" w:type="dxa"/>
            <w:tcBorders>
              <w:top w:val="single" w:sz="4" w:space="0" w:color="auto"/>
              <w:left w:val="single" w:sz="4" w:space="0" w:color="auto"/>
              <w:bottom w:val="single" w:sz="4" w:space="0" w:color="auto"/>
              <w:right w:val="single" w:sz="4" w:space="0" w:color="auto"/>
            </w:tcBorders>
            <w:vAlign w:val="center"/>
            <w:hideMark/>
          </w:tcPr>
          <w:p w14:paraId="6C4DBDD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16,0</w:t>
            </w:r>
          </w:p>
        </w:tc>
        <w:tc>
          <w:tcPr>
            <w:tcW w:w="971" w:type="dxa"/>
            <w:tcBorders>
              <w:top w:val="single" w:sz="4" w:space="0" w:color="auto"/>
              <w:left w:val="single" w:sz="4" w:space="0" w:color="auto"/>
              <w:bottom w:val="single" w:sz="4" w:space="0" w:color="auto"/>
              <w:right w:val="single" w:sz="4" w:space="0" w:color="auto"/>
            </w:tcBorders>
            <w:vAlign w:val="center"/>
            <w:hideMark/>
          </w:tcPr>
          <w:p w14:paraId="7D79A63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16,8</w:t>
            </w:r>
          </w:p>
        </w:tc>
        <w:tc>
          <w:tcPr>
            <w:tcW w:w="971" w:type="dxa"/>
            <w:tcBorders>
              <w:top w:val="single" w:sz="4" w:space="0" w:color="auto"/>
              <w:left w:val="single" w:sz="4" w:space="0" w:color="auto"/>
              <w:bottom w:val="single" w:sz="4" w:space="0" w:color="auto"/>
              <w:right w:val="single" w:sz="4" w:space="0" w:color="auto"/>
            </w:tcBorders>
            <w:vAlign w:val="center"/>
            <w:hideMark/>
          </w:tcPr>
          <w:p w14:paraId="3EEA919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17,6</w:t>
            </w:r>
          </w:p>
        </w:tc>
      </w:tr>
      <w:tr w:rsidR="00F37DCB" w14:paraId="39C3B66E" w14:textId="77777777" w:rsidTr="00852A1F">
        <w:tc>
          <w:tcPr>
            <w:tcW w:w="2830" w:type="dxa"/>
            <w:tcBorders>
              <w:top w:val="single" w:sz="4" w:space="0" w:color="auto"/>
              <w:left w:val="single" w:sz="4" w:space="0" w:color="auto"/>
              <w:bottom w:val="single" w:sz="4" w:space="0" w:color="auto"/>
              <w:right w:val="single" w:sz="4" w:space="0" w:color="auto"/>
            </w:tcBorders>
            <w:vAlign w:val="center"/>
            <w:hideMark/>
          </w:tcPr>
          <w:p w14:paraId="6B5CF8C6"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підприємств сфери послуг</w:t>
            </w:r>
          </w:p>
        </w:tc>
        <w:tc>
          <w:tcPr>
            <w:tcW w:w="971" w:type="dxa"/>
            <w:tcBorders>
              <w:top w:val="single" w:sz="4" w:space="0" w:color="auto"/>
              <w:left w:val="single" w:sz="4" w:space="0" w:color="auto"/>
              <w:bottom w:val="single" w:sz="4" w:space="0" w:color="auto"/>
              <w:right w:val="single" w:sz="4" w:space="0" w:color="auto"/>
            </w:tcBorders>
            <w:vAlign w:val="center"/>
            <w:hideMark/>
          </w:tcPr>
          <w:p w14:paraId="68C0A90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6,4</w:t>
            </w:r>
          </w:p>
        </w:tc>
        <w:tc>
          <w:tcPr>
            <w:tcW w:w="971" w:type="dxa"/>
            <w:tcBorders>
              <w:top w:val="single" w:sz="4" w:space="0" w:color="auto"/>
              <w:left w:val="single" w:sz="4" w:space="0" w:color="auto"/>
              <w:bottom w:val="single" w:sz="4" w:space="0" w:color="auto"/>
              <w:right w:val="single" w:sz="4" w:space="0" w:color="auto"/>
            </w:tcBorders>
            <w:vAlign w:val="center"/>
            <w:hideMark/>
          </w:tcPr>
          <w:p w14:paraId="42208CE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9,6</w:t>
            </w:r>
          </w:p>
        </w:tc>
        <w:tc>
          <w:tcPr>
            <w:tcW w:w="971" w:type="dxa"/>
            <w:tcBorders>
              <w:top w:val="single" w:sz="4" w:space="0" w:color="auto"/>
              <w:left w:val="single" w:sz="4" w:space="0" w:color="auto"/>
              <w:bottom w:val="single" w:sz="4" w:space="0" w:color="auto"/>
              <w:right w:val="single" w:sz="4" w:space="0" w:color="auto"/>
            </w:tcBorders>
            <w:vAlign w:val="center"/>
            <w:hideMark/>
          </w:tcPr>
          <w:p w14:paraId="75CAC90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12,1</w:t>
            </w:r>
          </w:p>
        </w:tc>
        <w:tc>
          <w:tcPr>
            <w:tcW w:w="971" w:type="dxa"/>
            <w:tcBorders>
              <w:top w:val="single" w:sz="4" w:space="0" w:color="auto"/>
              <w:left w:val="single" w:sz="4" w:space="0" w:color="auto"/>
              <w:bottom w:val="single" w:sz="4" w:space="0" w:color="auto"/>
              <w:right w:val="single" w:sz="4" w:space="0" w:color="auto"/>
            </w:tcBorders>
            <w:vAlign w:val="center"/>
            <w:hideMark/>
          </w:tcPr>
          <w:p w14:paraId="7F8EA0C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12,8</w:t>
            </w:r>
          </w:p>
        </w:tc>
        <w:tc>
          <w:tcPr>
            <w:tcW w:w="971" w:type="dxa"/>
            <w:tcBorders>
              <w:top w:val="single" w:sz="4" w:space="0" w:color="auto"/>
              <w:left w:val="single" w:sz="4" w:space="0" w:color="auto"/>
              <w:bottom w:val="single" w:sz="4" w:space="0" w:color="auto"/>
              <w:right w:val="single" w:sz="4" w:space="0" w:color="auto"/>
            </w:tcBorders>
            <w:vAlign w:val="center"/>
            <w:hideMark/>
          </w:tcPr>
          <w:p w14:paraId="1DB9E12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13,4</w:t>
            </w:r>
          </w:p>
        </w:tc>
        <w:tc>
          <w:tcPr>
            <w:tcW w:w="971" w:type="dxa"/>
            <w:tcBorders>
              <w:top w:val="single" w:sz="4" w:space="0" w:color="auto"/>
              <w:left w:val="single" w:sz="4" w:space="0" w:color="auto"/>
              <w:bottom w:val="single" w:sz="4" w:space="0" w:color="auto"/>
              <w:right w:val="single" w:sz="4" w:space="0" w:color="auto"/>
            </w:tcBorders>
            <w:vAlign w:val="center"/>
            <w:hideMark/>
          </w:tcPr>
          <w:p w14:paraId="7EFF9BA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14,1</w:t>
            </w:r>
          </w:p>
        </w:tc>
        <w:tc>
          <w:tcPr>
            <w:tcW w:w="971" w:type="dxa"/>
            <w:tcBorders>
              <w:top w:val="single" w:sz="4" w:space="0" w:color="auto"/>
              <w:left w:val="single" w:sz="4" w:space="0" w:color="auto"/>
              <w:bottom w:val="single" w:sz="4" w:space="0" w:color="auto"/>
              <w:right w:val="single" w:sz="4" w:space="0" w:color="auto"/>
            </w:tcBorders>
            <w:vAlign w:val="center"/>
            <w:hideMark/>
          </w:tcPr>
          <w:p w14:paraId="2F03A45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14,8</w:t>
            </w:r>
          </w:p>
        </w:tc>
      </w:tr>
      <w:tr w:rsidR="00F37DCB" w14:paraId="563D6F16" w14:textId="77777777" w:rsidTr="00852A1F">
        <w:tc>
          <w:tcPr>
            <w:tcW w:w="2830" w:type="dxa"/>
            <w:tcBorders>
              <w:top w:val="single" w:sz="4" w:space="0" w:color="auto"/>
              <w:left w:val="single" w:sz="4" w:space="0" w:color="auto"/>
              <w:bottom w:val="single" w:sz="4" w:space="0" w:color="auto"/>
              <w:right w:val="single" w:sz="4" w:space="0" w:color="auto"/>
            </w:tcBorders>
            <w:vAlign w:val="center"/>
            <w:hideMark/>
          </w:tcPr>
          <w:p w14:paraId="243A6F3B"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Адміністрація і співробітники керуючої компанії</w:t>
            </w:r>
          </w:p>
        </w:tc>
        <w:tc>
          <w:tcPr>
            <w:tcW w:w="971" w:type="dxa"/>
            <w:tcBorders>
              <w:top w:val="single" w:sz="4" w:space="0" w:color="auto"/>
              <w:left w:val="single" w:sz="4" w:space="0" w:color="auto"/>
              <w:bottom w:val="single" w:sz="4" w:space="0" w:color="auto"/>
              <w:right w:val="single" w:sz="4" w:space="0" w:color="auto"/>
            </w:tcBorders>
            <w:vAlign w:val="center"/>
            <w:hideMark/>
          </w:tcPr>
          <w:p w14:paraId="70C9F90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3,1</w:t>
            </w:r>
          </w:p>
        </w:tc>
        <w:tc>
          <w:tcPr>
            <w:tcW w:w="971" w:type="dxa"/>
            <w:tcBorders>
              <w:top w:val="single" w:sz="4" w:space="0" w:color="auto"/>
              <w:left w:val="single" w:sz="4" w:space="0" w:color="auto"/>
              <w:bottom w:val="single" w:sz="4" w:space="0" w:color="auto"/>
              <w:right w:val="single" w:sz="4" w:space="0" w:color="auto"/>
            </w:tcBorders>
            <w:vAlign w:val="center"/>
            <w:hideMark/>
          </w:tcPr>
          <w:p w14:paraId="0F63968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3,3</w:t>
            </w:r>
          </w:p>
        </w:tc>
        <w:tc>
          <w:tcPr>
            <w:tcW w:w="971" w:type="dxa"/>
            <w:tcBorders>
              <w:top w:val="single" w:sz="4" w:space="0" w:color="auto"/>
              <w:left w:val="single" w:sz="4" w:space="0" w:color="auto"/>
              <w:bottom w:val="single" w:sz="4" w:space="0" w:color="auto"/>
              <w:right w:val="single" w:sz="4" w:space="0" w:color="auto"/>
            </w:tcBorders>
            <w:vAlign w:val="center"/>
            <w:hideMark/>
          </w:tcPr>
          <w:p w14:paraId="7A918A3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4,6</w:t>
            </w:r>
          </w:p>
        </w:tc>
        <w:tc>
          <w:tcPr>
            <w:tcW w:w="971" w:type="dxa"/>
            <w:tcBorders>
              <w:top w:val="single" w:sz="4" w:space="0" w:color="auto"/>
              <w:left w:val="single" w:sz="4" w:space="0" w:color="auto"/>
              <w:bottom w:val="single" w:sz="4" w:space="0" w:color="auto"/>
              <w:right w:val="single" w:sz="4" w:space="0" w:color="auto"/>
            </w:tcBorders>
            <w:vAlign w:val="center"/>
            <w:hideMark/>
          </w:tcPr>
          <w:p w14:paraId="3C71028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4,9</w:t>
            </w:r>
          </w:p>
        </w:tc>
        <w:tc>
          <w:tcPr>
            <w:tcW w:w="971" w:type="dxa"/>
            <w:tcBorders>
              <w:top w:val="single" w:sz="4" w:space="0" w:color="auto"/>
              <w:left w:val="single" w:sz="4" w:space="0" w:color="auto"/>
              <w:bottom w:val="single" w:sz="4" w:space="0" w:color="auto"/>
              <w:right w:val="single" w:sz="4" w:space="0" w:color="auto"/>
            </w:tcBorders>
            <w:vAlign w:val="center"/>
            <w:hideMark/>
          </w:tcPr>
          <w:p w14:paraId="567BC4A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5,1</w:t>
            </w:r>
          </w:p>
        </w:tc>
        <w:tc>
          <w:tcPr>
            <w:tcW w:w="971" w:type="dxa"/>
            <w:tcBorders>
              <w:top w:val="single" w:sz="4" w:space="0" w:color="auto"/>
              <w:left w:val="single" w:sz="4" w:space="0" w:color="auto"/>
              <w:bottom w:val="single" w:sz="4" w:space="0" w:color="auto"/>
              <w:right w:val="single" w:sz="4" w:space="0" w:color="auto"/>
            </w:tcBorders>
            <w:vAlign w:val="center"/>
            <w:hideMark/>
          </w:tcPr>
          <w:p w14:paraId="6533DD9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5,3</w:t>
            </w:r>
          </w:p>
        </w:tc>
        <w:tc>
          <w:tcPr>
            <w:tcW w:w="971" w:type="dxa"/>
            <w:tcBorders>
              <w:top w:val="single" w:sz="4" w:space="0" w:color="auto"/>
              <w:left w:val="single" w:sz="4" w:space="0" w:color="auto"/>
              <w:bottom w:val="single" w:sz="4" w:space="0" w:color="auto"/>
              <w:right w:val="single" w:sz="4" w:space="0" w:color="auto"/>
            </w:tcBorders>
            <w:vAlign w:val="center"/>
            <w:hideMark/>
          </w:tcPr>
          <w:p w14:paraId="11C88FB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5,6</w:t>
            </w:r>
          </w:p>
        </w:tc>
      </w:tr>
      <w:tr w:rsidR="00F37DCB" w14:paraId="643A3A95" w14:textId="77777777" w:rsidTr="00852A1F">
        <w:tc>
          <w:tcPr>
            <w:tcW w:w="2830" w:type="dxa"/>
            <w:tcBorders>
              <w:top w:val="single" w:sz="4" w:space="0" w:color="auto"/>
              <w:left w:val="single" w:sz="4" w:space="0" w:color="auto"/>
              <w:bottom w:val="single" w:sz="4" w:space="0" w:color="auto"/>
              <w:right w:val="single" w:sz="4" w:space="0" w:color="auto"/>
            </w:tcBorders>
            <w:vAlign w:val="center"/>
            <w:hideMark/>
          </w:tcPr>
          <w:p w14:paraId="0DDB8D84"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господарсько-побутового блоку</w:t>
            </w:r>
          </w:p>
        </w:tc>
        <w:tc>
          <w:tcPr>
            <w:tcW w:w="971" w:type="dxa"/>
            <w:tcBorders>
              <w:top w:val="single" w:sz="4" w:space="0" w:color="auto"/>
              <w:left w:val="single" w:sz="4" w:space="0" w:color="auto"/>
              <w:bottom w:val="single" w:sz="4" w:space="0" w:color="auto"/>
              <w:right w:val="single" w:sz="4" w:space="0" w:color="auto"/>
            </w:tcBorders>
            <w:vAlign w:val="center"/>
            <w:hideMark/>
          </w:tcPr>
          <w:p w14:paraId="3AD0B15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w:t>
            </w:r>
          </w:p>
        </w:tc>
        <w:tc>
          <w:tcPr>
            <w:tcW w:w="971" w:type="dxa"/>
            <w:tcBorders>
              <w:top w:val="single" w:sz="4" w:space="0" w:color="auto"/>
              <w:left w:val="single" w:sz="4" w:space="0" w:color="auto"/>
              <w:bottom w:val="single" w:sz="4" w:space="0" w:color="auto"/>
              <w:right w:val="single" w:sz="4" w:space="0" w:color="auto"/>
            </w:tcBorders>
            <w:vAlign w:val="center"/>
            <w:hideMark/>
          </w:tcPr>
          <w:p w14:paraId="7330D6E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w:t>
            </w:r>
          </w:p>
        </w:tc>
        <w:tc>
          <w:tcPr>
            <w:tcW w:w="971" w:type="dxa"/>
            <w:tcBorders>
              <w:top w:val="single" w:sz="4" w:space="0" w:color="auto"/>
              <w:left w:val="single" w:sz="4" w:space="0" w:color="auto"/>
              <w:bottom w:val="single" w:sz="4" w:space="0" w:color="auto"/>
              <w:right w:val="single" w:sz="4" w:space="0" w:color="auto"/>
            </w:tcBorders>
            <w:vAlign w:val="center"/>
            <w:hideMark/>
          </w:tcPr>
          <w:p w14:paraId="33B277B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4,7</w:t>
            </w:r>
          </w:p>
        </w:tc>
        <w:tc>
          <w:tcPr>
            <w:tcW w:w="971" w:type="dxa"/>
            <w:tcBorders>
              <w:top w:val="single" w:sz="4" w:space="0" w:color="auto"/>
              <w:left w:val="single" w:sz="4" w:space="0" w:color="auto"/>
              <w:bottom w:val="single" w:sz="4" w:space="0" w:color="auto"/>
              <w:right w:val="single" w:sz="4" w:space="0" w:color="auto"/>
            </w:tcBorders>
            <w:vAlign w:val="center"/>
            <w:hideMark/>
          </w:tcPr>
          <w:p w14:paraId="60A7D96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3,0</w:t>
            </w:r>
          </w:p>
        </w:tc>
        <w:tc>
          <w:tcPr>
            <w:tcW w:w="971" w:type="dxa"/>
            <w:tcBorders>
              <w:top w:val="single" w:sz="4" w:space="0" w:color="auto"/>
              <w:left w:val="single" w:sz="4" w:space="0" w:color="auto"/>
              <w:bottom w:val="single" w:sz="4" w:space="0" w:color="auto"/>
              <w:right w:val="single" w:sz="4" w:space="0" w:color="auto"/>
            </w:tcBorders>
            <w:vAlign w:val="center"/>
            <w:hideMark/>
          </w:tcPr>
          <w:p w14:paraId="224D606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3,1</w:t>
            </w:r>
          </w:p>
        </w:tc>
        <w:tc>
          <w:tcPr>
            <w:tcW w:w="971" w:type="dxa"/>
            <w:tcBorders>
              <w:top w:val="single" w:sz="4" w:space="0" w:color="auto"/>
              <w:left w:val="single" w:sz="4" w:space="0" w:color="auto"/>
              <w:bottom w:val="single" w:sz="4" w:space="0" w:color="auto"/>
              <w:right w:val="single" w:sz="4" w:space="0" w:color="auto"/>
            </w:tcBorders>
            <w:vAlign w:val="center"/>
            <w:hideMark/>
          </w:tcPr>
          <w:p w14:paraId="0D770FA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3,3</w:t>
            </w:r>
          </w:p>
        </w:tc>
        <w:tc>
          <w:tcPr>
            <w:tcW w:w="971" w:type="dxa"/>
            <w:tcBorders>
              <w:top w:val="single" w:sz="4" w:space="0" w:color="auto"/>
              <w:left w:val="single" w:sz="4" w:space="0" w:color="auto"/>
              <w:bottom w:val="single" w:sz="4" w:space="0" w:color="auto"/>
              <w:right w:val="single" w:sz="4" w:space="0" w:color="auto"/>
            </w:tcBorders>
            <w:vAlign w:val="center"/>
            <w:hideMark/>
          </w:tcPr>
          <w:p w14:paraId="2BA140A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3,5</w:t>
            </w:r>
          </w:p>
        </w:tc>
      </w:tr>
      <w:tr w:rsidR="00F37DCB" w14:paraId="19AD5999" w14:textId="77777777" w:rsidTr="00852A1F">
        <w:tc>
          <w:tcPr>
            <w:tcW w:w="2830" w:type="dxa"/>
            <w:tcBorders>
              <w:top w:val="single" w:sz="4" w:space="0" w:color="auto"/>
              <w:left w:val="single" w:sz="4" w:space="0" w:color="auto"/>
              <w:bottom w:val="single" w:sz="4" w:space="0" w:color="auto"/>
              <w:right w:val="single" w:sz="4" w:space="0" w:color="auto"/>
            </w:tcBorders>
            <w:hideMark/>
          </w:tcPr>
          <w:p w14:paraId="28E63FE5" w14:textId="77777777" w:rsidR="00852A1F" w:rsidRPr="00852A1F" w:rsidRDefault="00000000" w:rsidP="00852A1F">
            <w:pPr>
              <w:tabs>
                <w:tab w:val="left" w:pos="851"/>
              </w:tabs>
              <w:jc w:val="both"/>
              <w:rPr>
                <w:rFonts w:ascii="Times New Roman" w:hAnsi="Times New Roman"/>
                <w:sz w:val="24"/>
                <w:szCs w:val="24"/>
              </w:rPr>
            </w:pPr>
            <w:r w:rsidRPr="00852A1F">
              <w:rPr>
                <w:rFonts w:ascii="Times New Roman" w:hAnsi="Times New Roman"/>
                <w:sz w:val="24"/>
                <w:szCs w:val="24"/>
              </w:rPr>
              <w:t>Всього ПДФО</w:t>
            </w:r>
          </w:p>
        </w:tc>
        <w:tc>
          <w:tcPr>
            <w:tcW w:w="971" w:type="dxa"/>
            <w:tcBorders>
              <w:top w:val="single" w:sz="4" w:space="0" w:color="auto"/>
              <w:left w:val="single" w:sz="4" w:space="0" w:color="auto"/>
              <w:bottom w:val="single" w:sz="4" w:space="0" w:color="auto"/>
              <w:right w:val="single" w:sz="4" w:space="0" w:color="auto"/>
            </w:tcBorders>
            <w:vAlign w:val="center"/>
            <w:hideMark/>
          </w:tcPr>
          <w:p w14:paraId="242DFEE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44,8</w:t>
            </w:r>
          </w:p>
        </w:tc>
        <w:tc>
          <w:tcPr>
            <w:tcW w:w="971" w:type="dxa"/>
            <w:tcBorders>
              <w:top w:val="single" w:sz="4" w:space="0" w:color="auto"/>
              <w:left w:val="single" w:sz="4" w:space="0" w:color="auto"/>
              <w:bottom w:val="single" w:sz="4" w:space="0" w:color="auto"/>
              <w:right w:val="single" w:sz="4" w:space="0" w:color="auto"/>
            </w:tcBorders>
            <w:vAlign w:val="center"/>
            <w:hideMark/>
          </w:tcPr>
          <w:p w14:paraId="139874B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71,0</w:t>
            </w:r>
          </w:p>
        </w:tc>
        <w:tc>
          <w:tcPr>
            <w:tcW w:w="971" w:type="dxa"/>
            <w:tcBorders>
              <w:top w:val="single" w:sz="4" w:space="0" w:color="auto"/>
              <w:left w:val="single" w:sz="4" w:space="0" w:color="auto"/>
              <w:bottom w:val="single" w:sz="4" w:space="0" w:color="auto"/>
              <w:right w:val="single" w:sz="4" w:space="0" w:color="auto"/>
            </w:tcBorders>
            <w:vAlign w:val="center"/>
            <w:hideMark/>
          </w:tcPr>
          <w:p w14:paraId="5AC1EB3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100,2</w:t>
            </w:r>
          </w:p>
        </w:tc>
        <w:tc>
          <w:tcPr>
            <w:tcW w:w="971" w:type="dxa"/>
            <w:tcBorders>
              <w:top w:val="single" w:sz="4" w:space="0" w:color="auto"/>
              <w:left w:val="single" w:sz="4" w:space="0" w:color="auto"/>
              <w:bottom w:val="single" w:sz="4" w:space="0" w:color="auto"/>
              <w:right w:val="single" w:sz="4" w:space="0" w:color="auto"/>
            </w:tcBorders>
            <w:vAlign w:val="center"/>
            <w:hideMark/>
          </w:tcPr>
          <w:p w14:paraId="5C6A78C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103,2</w:t>
            </w:r>
          </w:p>
        </w:tc>
        <w:tc>
          <w:tcPr>
            <w:tcW w:w="971" w:type="dxa"/>
            <w:tcBorders>
              <w:top w:val="single" w:sz="4" w:space="0" w:color="auto"/>
              <w:left w:val="single" w:sz="4" w:space="0" w:color="auto"/>
              <w:bottom w:val="single" w:sz="4" w:space="0" w:color="auto"/>
              <w:right w:val="single" w:sz="4" w:space="0" w:color="auto"/>
            </w:tcBorders>
            <w:vAlign w:val="center"/>
            <w:hideMark/>
          </w:tcPr>
          <w:p w14:paraId="7BA90AB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108,4</w:t>
            </w:r>
          </w:p>
        </w:tc>
        <w:tc>
          <w:tcPr>
            <w:tcW w:w="971" w:type="dxa"/>
            <w:tcBorders>
              <w:top w:val="single" w:sz="4" w:space="0" w:color="auto"/>
              <w:left w:val="single" w:sz="4" w:space="0" w:color="auto"/>
              <w:bottom w:val="single" w:sz="4" w:space="0" w:color="auto"/>
              <w:right w:val="single" w:sz="4" w:space="0" w:color="auto"/>
            </w:tcBorders>
            <w:vAlign w:val="center"/>
            <w:hideMark/>
          </w:tcPr>
          <w:p w14:paraId="1F0C075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113,8</w:t>
            </w:r>
          </w:p>
        </w:tc>
        <w:tc>
          <w:tcPr>
            <w:tcW w:w="971" w:type="dxa"/>
            <w:tcBorders>
              <w:top w:val="single" w:sz="4" w:space="0" w:color="auto"/>
              <w:left w:val="single" w:sz="4" w:space="0" w:color="auto"/>
              <w:bottom w:val="single" w:sz="4" w:space="0" w:color="auto"/>
              <w:right w:val="single" w:sz="4" w:space="0" w:color="auto"/>
            </w:tcBorders>
            <w:vAlign w:val="center"/>
            <w:hideMark/>
          </w:tcPr>
          <w:p w14:paraId="2B8147D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119,5</w:t>
            </w:r>
          </w:p>
        </w:tc>
      </w:tr>
      <w:tr w:rsidR="00F37DCB" w14:paraId="004A09A7" w14:textId="77777777" w:rsidTr="00852A1F">
        <w:tc>
          <w:tcPr>
            <w:tcW w:w="2830" w:type="dxa"/>
            <w:tcBorders>
              <w:top w:val="single" w:sz="4" w:space="0" w:color="auto"/>
              <w:left w:val="single" w:sz="4" w:space="0" w:color="auto"/>
              <w:bottom w:val="single" w:sz="4" w:space="0" w:color="auto"/>
              <w:right w:val="single" w:sz="4" w:space="0" w:color="auto"/>
            </w:tcBorders>
            <w:hideMark/>
          </w:tcPr>
          <w:p w14:paraId="2A53044C" w14:textId="77777777" w:rsidR="00852A1F" w:rsidRPr="00852A1F" w:rsidRDefault="00000000" w:rsidP="00852A1F">
            <w:pPr>
              <w:tabs>
                <w:tab w:val="left" w:pos="851"/>
              </w:tabs>
              <w:ind w:left="176"/>
              <w:rPr>
                <w:rFonts w:ascii="Times New Roman" w:hAnsi="Times New Roman"/>
                <w:sz w:val="24"/>
                <w:szCs w:val="24"/>
              </w:rPr>
            </w:pPr>
            <w:r w:rsidRPr="00852A1F">
              <w:rPr>
                <w:rFonts w:ascii="Times New Roman" w:hAnsi="Times New Roman"/>
                <w:sz w:val="24"/>
                <w:szCs w:val="24"/>
              </w:rPr>
              <w:t>у т. ч. відрахування в місцевий бюджет (64%)</w:t>
            </w:r>
          </w:p>
        </w:tc>
        <w:tc>
          <w:tcPr>
            <w:tcW w:w="971" w:type="dxa"/>
            <w:tcBorders>
              <w:top w:val="single" w:sz="4" w:space="0" w:color="auto"/>
              <w:left w:val="single" w:sz="4" w:space="0" w:color="auto"/>
              <w:bottom w:val="single" w:sz="4" w:space="0" w:color="auto"/>
              <w:right w:val="single" w:sz="4" w:space="0" w:color="auto"/>
            </w:tcBorders>
            <w:vAlign w:val="center"/>
            <w:hideMark/>
          </w:tcPr>
          <w:p w14:paraId="4DD8968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28,7</w:t>
            </w:r>
          </w:p>
        </w:tc>
        <w:tc>
          <w:tcPr>
            <w:tcW w:w="971" w:type="dxa"/>
            <w:tcBorders>
              <w:top w:val="single" w:sz="4" w:space="0" w:color="auto"/>
              <w:left w:val="single" w:sz="4" w:space="0" w:color="auto"/>
              <w:bottom w:val="single" w:sz="4" w:space="0" w:color="auto"/>
              <w:right w:val="single" w:sz="4" w:space="0" w:color="auto"/>
            </w:tcBorders>
            <w:vAlign w:val="center"/>
            <w:hideMark/>
          </w:tcPr>
          <w:p w14:paraId="091468E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45,5</w:t>
            </w:r>
          </w:p>
        </w:tc>
        <w:tc>
          <w:tcPr>
            <w:tcW w:w="971" w:type="dxa"/>
            <w:tcBorders>
              <w:top w:val="single" w:sz="4" w:space="0" w:color="auto"/>
              <w:left w:val="single" w:sz="4" w:space="0" w:color="auto"/>
              <w:bottom w:val="single" w:sz="4" w:space="0" w:color="auto"/>
              <w:right w:val="single" w:sz="4" w:space="0" w:color="auto"/>
            </w:tcBorders>
            <w:vAlign w:val="center"/>
            <w:hideMark/>
          </w:tcPr>
          <w:p w14:paraId="6F08486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64,1</w:t>
            </w:r>
          </w:p>
        </w:tc>
        <w:tc>
          <w:tcPr>
            <w:tcW w:w="971" w:type="dxa"/>
            <w:tcBorders>
              <w:top w:val="single" w:sz="4" w:space="0" w:color="auto"/>
              <w:left w:val="single" w:sz="4" w:space="0" w:color="auto"/>
              <w:bottom w:val="single" w:sz="4" w:space="0" w:color="auto"/>
              <w:right w:val="single" w:sz="4" w:space="0" w:color="auto"/>
            </w:tcBorders>
            <w:vAlign w:val="center"/>
            <w:hideMark/>
          </w:tcPr>
          <w:p w14:paraId="2BCF120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66,1</w:t>
            </w:r>
          </w:p>
        </w:tc>
        <w:tc>
          <w:tcPr>
            <w:tcW w:w="971" w:type="dxa"/>
            <w:tcBorders>
              <w:top w:val="single" w:sz="4" w:space="0" w:color="auto"/>
              <w:left w:val="single" w:sz="4" w:space="0" w:color="auto"/>
              <w:bottom w:val="single" w:sz="4" w:space="0" w:color="auto"/>
              <w:right w:val="single" w:sz="4" w:space="0" w:color="auto"/>
            </w:tcBorders>
            <w:vAlign w:val="center"/>
            <w:hideMark/>
          </w:tcPr>
          <w:p w14:paraId="41F46D3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69,4</w:t>
            </w:r>
          </w:p>
        </w:tc>
        <w:tc>
          <w:tcPr>
            <w:tcW w:w="971" w:type="dxa"/>
            <w:tcBorders>
              <w:top w:val="single" w:sz="4" w:space="0" w:color="auto"/>
              <w:left w:val="single" w:sz="4" w:space="0" w:color="auto"/>
              <w:bottom w:val="single" w:sz="4" w:space="0" w:color="auto"/>
              <w:right w:val="single" w:sz="4" w:space="0" w:color="auto"/>
            </w:tcBorders>
            <w:vAlign w:val="center"/>
            <w:hideMark/>
          </w:tcPr>
          <w:p w14:paraId="590DBCE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72,8</w:t>
            </w:r>
          </w:p>
        </w:tc>
        <w:tc>
          <w:tcPr>
            <w:tcW w:w="971" w:type="dxa"/>
            <w:tcBorders>
              <w:top w:val="single" w:sz="4" w:space="0" w:color="auto"/>
              <w:left w:val="single" w:sz="4" w:space="0" w:color="auto"/>
              <w:bottom w:val="single" w:sz="4" w:space="0" w:color="auto"/>
              <w:right w:val="single" w:sz="4" w:space="0" w:color="auto"/>
            </w:tcBorders>
            <w:vAlign w:val="center"/>
            <w:hideMark/>
          </w:tcPr>
          <w:p w14:paraId="7F15BEE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76,5</w:t>
            </w:r>
          </w:p>
        </w:tc>
      </w:tr>
    </w:tbl>
    <w:p w14:paraId="3360FBD9" w14:textId="77777777" w:rsidR="00852A1F" w:rsidRPr="00852A1F" w:rsidRDefault="00852A1F" w:rsidP="00852A1F">
      <w:pPr>
        <w:tabs>
          <w:tab w:val="left" w:pos="851"/>
        </w:tabs>
        <w:spacing w:after="0" w:line="240" w:lineRule="auto"/>
        <w:jc w:val="both"/>
        <w:rPr>
          <w:rFonts w:ascii="Times New Roman" w:eastAsia="Calibri" w:hAnsi="Times New Roman" w:cs="Times New Roman"/>
          <w:kern w:val="2"/>
          <w:sz w:val="28"/>
          <w:szCs w:val="28"/>
          <w:lang w:eastAsia="en-US"/>
          <w14:ligatures w14:val="standardContextual"/>
        </w:rPr>
      </w:pPr>
    </w:p>
    <w:p w14:paraId="2AAA85CF"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За поточними умовами оподаткування та бюджетного регулювання (зокрема, стаття 49 ЗУ «Про державний бюджет України на 2025 рік» № 4059-IX від 19.11.2024 р.), до загального фонду бюджетів сільських, селищних, міських територіальних громад ПДФО зараховується у розмірі 64%. Враховуючи попередній розрахунок, можна зробити прогноз, що сума податку, яка надійде до місцевого бюджету, становитиме від 28,7 млн до 76,5 млн грн на рік. За  весь період з 2029 по 2035 роки загальний обсяг ПДФО, який надійде з індустріального парку до місцевого бюджету, сягне 423,1 млн грн.</w:t>
      </w:r>
    </w:p>
    <w:p w14:paraId="6ADC0D1F" w14:textId="77777777" w:rsidR="00E27A66" w:rsidRDefault="00E27A66"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14:paraId="16F03D93"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lastRenderedPageBreak/>
        <w:t>Військовий збір</w:t>
      </w:r>
    </w:p>
    <w:p w14:paraId="1976E5AE"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Відповідно до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 4015-IX від 10 жовтня 2024 року, з 1 січня 2025 року ставка військового збору, що стягується з доходів найманих працівників, збільшена з 1,5% до 5%. Це підвищення спрямоване на додаткове фінансування оборонних потреб та забезпечення стабільності бюджету в умовах воєнного стану. З урахуванням цієї зміни очікувані бюджетні надходження від сплати військового збору найманими працівниками ІП «БУДШЛЯХМАШ» оцінюються від 12,5 млн у 2029 році до 33,2 млн грн за підсумками 2035 року. </w:t>
      </w:r>
    </w:p>
    <w:p w14:paraId="0155FD4F"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Очікуваний розподіл нарахувань наведено у табл. 18.</w:t>
      </w:r>
    </w:p>
    <w:p w14:paraId="5AE382E9"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18.</w:t>
      </w:r>
      <w:r w:rsidRPr="00852A1F">
        <w:rPr>
          <w:rFonts w:ascii="Times New Roman" w:eastAsia="Calibri" w:hAnsi="Times New Roman" w:cs="Times New Roman"/>
          <w:kern w:val="2"/>
          <w:sz w:val="28"/>
          <w:szCs w:val="28"/>
          <w:lang w:eastAsia="en-US"/>
          <w14:ligatures w14:val="standardContextual"/>
        </w:rPr>
        <w:t xml:space="preserve"> Розрахунок військового збору з ІП «БУДШЛЯХМАШ», млн грн</w:t>
      </w:r>
    </w:p>
    <w:tbl>
      <w:tblPr>
        <w:tblStyle w:val="13"/>
        <w:tblW w:w="0" w:type="auto"/>
        <w:tblLook w:val="04A0" w:firstRow="1" w:lastRow="0" w:firstColumn="1" w:lastColumn="0" w:noHBand="0" w:noVBand="1"/>
      </w:tblPr>
      <w:tblGrid>
        <w:gridCol w:w="2917"/>
        <w:gridCol w:w="938"/>
        <w:gridCol w:w="939"/>
        <w:gridCol w:w="939"/>
        <w:gridCol w:w="938"/>
        <w:gridCol w:w="939"/>
        <w:gridCol w:w="939"/>
        <w:gridCol w:w="939"/>
      </w:tblGrid>
      <w:tr w:rsidR="00F37DCB" w14:paraId="3BEE3E97" w14:textId="77777777" w:rsidTr="00852A1F">
        <w:tc>
          <w:tcPr>
            <w:tcW w:w="2972" w:type="dxa"/>
            <w:tcBorders>
              <w:top w:val="single" w:sz="4" w:space="0" w:color="auto"/>
              <w:left w:val="single" w:sz="4" w:space="0" w:color="auto"/>
              <w:bottom w:val="single" w:sz="4" w:space="0" w:color="auto"/>
              <w:right w:val="single" w:sz="4" w:space="0" w:color="auto"/>
            </w:tcBorders>
            <w:shd w:val="clear" w:color="auto" w:fill="809EC2"/>
          </w:tcPr>
          <w:p w14:paraId="6521FBDC" w14:textId="77777777" w:rsidR="00852A1F" w:rsidRPr="00852A1F" w:rsidRDefault="00852A1F" w:rsidP="00852A1F">
            <w:pPr>
              <w:tabs>
                <w:tab w:val="left" w:pos="851"/>
              </w:tabs>
              <w:jc w:val="center"/>
              <w:rPr>
                <w:rFonts w:ascii="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3C81CB5"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F023A47"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3826632"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1C97730B"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79252F87"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29D59A3"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98484FB"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5B610D6E" w14:textId="77777777" w:rsidTr="00852A1F">
        <w:tc>
          <w:tcPr>
            <w:tcW w:w="2972" w:type="dxa"/>
            <w:tcBorders>
              <w:top w:val="single" w:sz="4" w:space="0" w:color="auto"/>
              <w:left w:val="single" w:sz="4" w:space="0" w:color="auto"/>
              <w:bottom w:val="single" w:sz="4" w:space="0" w:color="auto"/>
              <w:right w:val="single" w:sz="4" w:space="0" w:color="auto"/>
            </w:tcBorders>
            <w:vAlign w:val="center"/>
            <w:hideMark/>
          </w:tcPr>
          <w:p w14:paraId="3DE4038B"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vAlign w:val="center"/>
            <w:hideMark/>
          </w:tcPr>
          <w:p w14:paraId="6F68B96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7,7</w:t>
            </w:r>
          </w:p>
        </w:tc>
        <w:tc>
          <w:tcPr>
            <w:tcW w:w="951" w:type="dxa"/>
            <w:tcBorders>
              <w:top w:val="single" w:sz="4" w:space="0" w:color="auto"/>
              <w:left w:val="single" w:sz="4" w:space="0" w:color="auto"/>
              <w:bottom w:val="single" w:sz="4" w:space="0" w:color="auto"/>
              <w:right w:val="single" w:sz="4" w:space="0" w:color="auto"/>
            </w:tcBorders>
            <w:vAlign w:val="center"/>
            <w:hideMark/>
          </w:tcPr>
          <w:p w14:paraId="1F9E3A7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12,3</w:t>
            </w:r>
          </w:p>
        </w:tc>
        <w:tc>
          <w:tcPr>
            <w:tcW w:w="951" w:type="dxa"/>
            <w:tcBorders>
              <w:top w:val="single" w:sz="4" w:space="0" w:color="auto"/>
              <w:left w:val="single" w:sz="4" w:space="0" w:color="auto"/>
              <w:bottom w:val="single" w:sz="4" w:space="0" w:color="auto"/>
              <w:right w:val="single" w:sz="4" w:space="0" w:color="auto"/>
            </w:tcBorders>
            <w:vAlign w:val="center"/>
            <w:hideMark/>
          </w:tcPr>
          <w:p w14:paraId="143636D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17,8</w:t>
            </w:r>
          </w:p>
        </w:tc>
        <w:tc>
          <w:tcPr>
            <w:tcW w:w="950" w:type="dxa"/>
            <w:tcBorders>
              <w:top w:val="single" w:sz="4" w:space="0" w:color="auto"/>
              <w:left w:val="single" w:sz="4" w:space="0" w:color="auto"/>
              <w:bottom w:val="single" w:sz="4" w:space="0" w:color="auto"/>
              <w:right w:val="single" w:sz="4" w:space="0" w:color="auto"/>
            </w:tcBorders>
            <w:vAlign w:val="center"/>
            <w:hideMark/>
          </w:tcPr>
          <w:p w14:paraId="7EE355E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18,7</w:t>
            </w:r>
          </w:p>
        </w:tc>
        <w:tc>
          <w:tcPr>
            <w:tcW w:w="951" w:type="dxa"/>
            <w:tcBorders>
              <w:top w:val="single" w:sz="4" w:space="0" w:color="auto"/>
              <w:left w:val="single" w:sz="4" w:space="0" w:color="auto"/>
              <w:bottom w:val="single" w:sz="4" w:space="0" w:color="auto"/>
              <w:right w:val="single" w:sz="4" w:space="0" w:color="auto"/>
            </w:tcBorders>
            <w:vAlign w:val="center"/>
            <w:hideMark/>
          </w:tcPr>
          <w:p w14:paraId="7263AA2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19,7</w:t>
            </w:r>
          </w:p>
        </w:tc>
        <w:tc>
          <w:tcPr>
            <w:tcW w:w="951" w:type="dxa"/>
            <w:tcBorders>
              <w:top w:val="single" w:sz="4" w:space="0" w:color="auto"/>
              <w:left w:val="single" w:sz="4" w:space="0" w:color="auto"/>
              <w:bottom w:val="single" w:sz="4" w:space="0" w:color="auto"/>
              <w:right w:val="single" w:sz="4" w:space="0" w:color="auto"/>
            </w:tcBorders>
            <w:vAlign w:val="center"/>
            <w:hideMark/>
          </w:tcPr>
          <w:p w14:paraId="74828FC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20,7</w:t>
            </w:r>
          </w:p>
        </w:tc>
        <w:tc>
          <w:tcPr>
            <w:tcW w:w="951" w:type="dxa"/>
            <w:tcBorders>
              <w:top w:val="single" w:sz="4" w:space="0" w:color="auto"/>
              <w:left w:val="single" w:sz="4" w:space="0" w:color="auto"/>
              <w:bottom w:val="single" w:sz="4" w:space="0" w:color="auto"/>
              <w:right w:val="single" w:sz="4" w:space="0" w:color="auto"/>
            </w:tcBorders>
            <w:vAlign w:val="center"/>
            <w:hideMark/>
          </w:tcPr>
          <w:p w14:paraId="4FD28C6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21,7</w:t>
            </w:r>
          </w:p>
        </w:tc>
      </w:tr>
      <w:tr w:rsidR="00F37DCB" w14:paraId="1B41209D" w14:textId="77777777" w:rsidTr="00852A1F">
        <w:tc>
          <w:tcPr>
            <w:tcW w:w="2972" w:type="dxa"/>
            <w:tcBorders>
              <w:top w:val="single" w:sz="4" w:space="0" w:color="auto"/>
              <w:left w:val="single" w:sz="4" w:space="0" w:color="auto"/>
              <w:bottom w:val="single" w:sz="4" w:space="0" w:color="auto"/>
              <w:right w:val="single" w:sz="4" w:space="0" w:color="auto"/>
            </w:tcBorders>
            <w:vAlign w:val="center"/>
            <w:hideMark/>
          </w:tcPr>
          <w:p w14:paraId="354D0FC6"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vAlign w:val="center"/>
            <w:hideMark/>
          </w:tcPr>
          <w:p w14:paraId="6862FE7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w:t>
            </w:r>
          </w:p>
        </w:tc>
        <w:tc>
          <w:tcPr>
            <w:tcW w:w="951" w:type="dxa"/>
            <w:tcBorders>
              <w:top w:val="single" w:sz="4" w:space="0" w:color="auto"/>
              <w:left w:val="single" w:sz="4" w:space="0" w:color="auto"/>
              <w:bottom w:val="single" w:sz="4" w:space="0" w:color="auto"/>
              <w:right w:val="single" w:sz="4" w:space="0" w:color="auto"/>
            </w:tcBorders>
            <w:vAlign w:val="center"/>
            <w:hideMark/>
          </w:tcPr>
          <w:p w14:paraId="38C8E56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3,4</w:t>
            </w:r>
          </w:p>
        </w:tc>
        <w:tc>
          <w:tcPr>
            <w:tcW w:w="951" w:type="dxa"/>
            <w:tcBorders>
              <w:top w:val="single" w:sz="4" w:space="0" w:color="auto"/>
              <w:left w:val="single" w:sz="4" w:space="0" w:color="auto"/>
              <w:bottom w:val="single" w:sz="4" w:space="0" w:color="auto"/>
              <w:right w:val="single" w:sz="4" w:space="0" w:color="auto"/>
            </w:tcBorders>
            <w:vAlign w:val="center"/>
            <w:hideMark/>
          </w:tcPr>
          <w:p w14:paraId="0E15C03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vAlign w:val="center"/>
            <w:hideMark/>
          </w:tcPr>
          <w:p w14:paraId="737CCED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4,2</w:t>
            </w:r>
          </w:p>
        </w:tc>
        <w:tc>
          <w:tcPr>
            <w:tcW w:w="951" w:type="dxa"/>
            <w:tcBorders>
              <w:top w:val="single" w:sz="4" w:space="0" w:color="auto"/>
              <w:left w:val="single" w:sz="4" w:space="0" w:color="auto"/>
              <w:bottom w:val="single" w:sz="4" w:space="0" w:color="auto"/>
              <w:right w:val="single" w:sz="4" w:space="0" w:color="auto"/>
            </w:tcBorders>
            <w:vAlign w:val="center"/>
            <w:hideMark/>
          </w:tcPr>
          <w:p w14:paraId="16189A9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4,4</w:t>
            </w:r>
          </w:p>
        </w:tc>
        <w:tc>
          <w:tcPr>
            <w:tcW w:w="951" w:type="dxa"/>
            <w:tcBorders>
              <w:top w:val="single" w:sz="4" w:space="0" w:color="auto"/>
              <w:left w:val="single" w:sz="4" w:space="0" w:color="auto"/>
              <w:bottom w:val="single" w:sz="4" w:space="0" w:color="auto"/>
              <w:right w:val="single" w:sz="4" w:space="0" w:color="auto"/>
            </w:tcBorders>
            <w:vAlign w:val="center"/>
            <w:hideMark/>
          </w:tcPr>
          <w:p w14:paraId="48EECC5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4,7</w:t>
            </w:r>
          </w:p>
        </w:tc>
        <w:tc>
          <w:tcPr>
            <w:tcW w:w="951" w:type="dxa"/>
            <w:tcBorders>
              <w:top w:val="single" w:sz="4" w:space="0" w:color="auto"/>
              <w:left w:val="single" w:sz="4" w:space="0" w:color="auto"/>
              <w:bottom w:val="single" w:sz="4" w:space="0" w:color="auto"/>
              <w:right w:val="single" w:sz="4" w:space="0" w:color="auto"/>
            </w:tcBorders>
            <w:vAlign w:val="center"/>
            <w:hideMark/>
          </w:tcPr>
          <w:p w14:paraId="0C224F1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4,9</w:t>
            </w:r>
          </w:p>
        </w:tc>
      </w:tr>
      <w:tr w:rsidR="00F37DCB" w14:paraId="0BFA9BDE" w14:textId="77777777" w:rsidTr="00852A1F">
        <w:tc>
          <w:tcPr>
            <w:tcW w:w="2972" w:type="dxa"/>
            <w:tcBorders>
              <w:top w:val="single" w:sz="4" w:space="0" w:color="auto"/>
              <w:left w:val="single" w:sz="4" w:space="0" w:color="auto"/>
              <w:bottom w:val="single" w:sz="4" w:space="0" w:color="auto"/>
              <w:right w:val="single" w:sz="4" w:space="0" w:color="auto"/>
            </w:tcBorders>
            <w:vAlign w:val="center"/>
            <w:hideMark/>
          </w:tcPr>
          <w:p w14:paraId="2C8CF928"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vAlign w:val="center"/>
            <w:hideMark/>
          </w:tcPr>
          <w:p w14:paraId="373F505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w:t>
            </w:r>
          </w:p>
        </w:tc>
        <w:tc>
          <w:tcPr>
            <w:tcW w:w="951" w:type="dxa"/>
            <w:tcBorders>
              <w:top w:val="single" w:sz="4" w:space="0" w:color="auto"/>
              <w:left w:val="single" w:sz="4" w:space="0" w:color="auto"/>
              <w:bottom w:val="single" w:sz="4" w:space="0" w:color="auto"/>
              <w:right w:val="single" w:sz="4" w:space="0" w:color="auto"/>
            </w:tcBorders>
            <w:vAlign w:val="center"/>
            <w:hideMark/>
          </w:tcPr>
          <w:p w14:paraId="12FB020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2,7</w:t>
            </w:r>
          </w:p>
        </w:tc>
        <w:tc>
          <w:tcPr>
            <w:tcW w:w="951" w:type="dxa"/>
            <w:tcBorders>
              <w:top w:val="single" w:sz="4" w:space="0" w:color="auto"/>
              <w:left w:val="single" w:sz="4" w:space="0" w:color="auto"/>
              <w:bottom w:val="single" w:sz="4" w:space="0" w:color="auto"/>
              <w:right w:val="single" w:sz="4" w:space="0" w:color="auto"/>
            </w:tcBorders>
            <w:vAlign w:val="center"/>
            <w:hideMark/>
          </w:tcPr>
          <w:p w14:paraId="4288FB1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3,4</w:t>
            </w:r>
          </w:p>
        </w:tc>
        <w:tc>
          <w:tcPr>
            <w:tcW w:w="950" w:type="dxa"/>
            <w:tcBorders>
              <w:top w:val="single" w:sz="4" w:space="0" w:color="auto"/>
              <w:left w:val="single" w:sz="4" w:space="0" w:color="auto"/>
              <w:bottom w:val="single" w:sz="4" w:space="0" w:color="auto"/>
              <w:right w:val="single" w:sz="4" w:space="0" w:color="auto"/>
            </w:tcBorders>
            <w:vAlign w:val="center"/>
            <w:hideMark/>
          </w:tcPr>
          <w:p w14:paraId="1C157E9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vAlign w:val="center"/>
            <w:hideMark/>
          </w:tcPr>
          <w:p w14:paraId="7FA5590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3,7</w:t>
            </w:r>
          </w:p>
        </w:tc>
        <w:tc>
          <w:tcPr>
            <w:tcW w:w="951" w:type="dxa"/>
            <w:tcBorders>
              <w:top w:val="single" w:sz="4" w:space="0" w:color="auto"/>
              <w:left w:val="single" w:sz="4" w:space="0" w:color="auto"/>
              <w:bottom w:val="single" w:sz="4" w:space="0" w:color="auto"/>
              <w:right w:val="single" w:sz="4" w:space="0" w:color="auto"/>
            </w:tcBorders>
            <w:vAlign w:val="center"/>
            <w:hideMark/>
          </w:tcPr>
          <w:p w14:paraId="0554CE3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3,9</w:t>
            </w:r>
          </w:p>
        </w:tc>
        <w:tc>
          <w:tcPr>
            <w:tcW w:w="951" w:type="dxa"/>
            <w:tcBorders>
              <w:top w:val="single" w:sz="4" w:space="0" w:color="auto"/>
              <w:left w:val="single" w:sz="4" w:space="0" w:color="auto"/>
              <w:bottom w:val="single" w:sz="4" w:space="0" w:color="auto"/>
              <w:right w:val="single" w:sz="4" w:space="0" w:color="auto"/>
            </w:tcBorders>
            <w:vAlign w:val="center"/>
            <w:hideMark/>
          </w:tcPr>
          <w:p w14:paraId="2177CCD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4,1</w:t>
            </w:r>
          </w:p>
        </w:tc>
      </w:tr>
      <w:tr w:rsidR="00F37DCB" w14:paraId="634D8178" w14:textId="77777777" w:rsidTr="00852A1F">
        <w:tc>
          <w:tcPr>
            <w:tcW w:w="2972" w:type="dxa"/>
            <w:tcBorders>
              <w:top w:val="single" w:sz="4" w:space="0" w:color="auto"/>
              <w:left w:val="single" w:sz="4" w:space="0" w:color="auto"/>
              <w:bottom w:val="single" w:sz="4" w:space="0" w:color="auto"/>
              <w:right w:val="single" w:sz="4" w:space="0" w:color="auto"/>
            </w:tcBorders>
            <w:vAlign w:val="center"/>
            <w:hideMark/>
          </w:tcPr>
          <w:p w14:paraId="283A50DE"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vAlign w:val="center"/>
            <w:hideMark/>
          </w:tcPr>
          <w:p w14:paraId="603D177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14:paraId="22BACAC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14:paraId="7302599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w:t>
            </w:r>
          </w:p>
        </w:tc>
        <w:tc>
          <w:tcPr>
            <w:tcW w:w="950" w:type="dxa"/>
            <w:tcBorders>
              <w:top w:val="single" w:sz="4" w:space="0" w:color="auto"/>
              <w:left w:val="single" w:sz="4" w:space="0" w:color="auto"/>
              <w:bottom w:val="single" w:sz="4" w:space="0" w:color="auto"/>
              <w:right w:val="single" w:sz="4" w:space="0" w:color="auto"/>
            </w:tcBorders>
            <w:vAlign w:val="center"/>
            <w:hideMark/>
          </w:tcPr>
          <w:p w14:paraId="3C339DC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w:t>
            </w:r>
          </w:p>
        </w:tc>
        <w:tc>
          <w:tcPr>
            <w:tcW w:w="951" w:type="dxa"/>
            <w:tcBorders>
              <w:top w:val="single" w:sz="4" w:space="0" w:color="auto"/>
              <w:left w:val="single" w:sz="4" w:space="0" w:color="auto"/>
              <w:bottom w:val="single" w:sz="4" w:space="0" w:color="auto"/>
              <w:right w:val="single" w:sz="4" w:space="0" w:color="auto"/>
            </w:tcBorders>
            <w:vAlign w:val="center"/>
            <w:hideMark/>
          </w:tcPr>
          <w:p w14:paraId="2339478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w:t>
            </w:r>
          </w:p>
        </w:tc>
        <w:tc>
          <w:tcPr>
            <w:tcW w:w="951" w:type="dxa"/>
            <w:tcBorders>
              <w:top w:val="single" w:sz="4" w:space="0" w:color="auto"/>
              <w:left w:val="single" w:sz="4" w:space="0" w:color="auto"/>
              <w:bottom w:val="single" w:sz="4" w:space="0" w:color="auto"/>
              <w:right w:val="single" w:sz="4" w:space="0" w:color="auto"/>
            </w:tcBorders>
            <w:vAlign w:val="center"/>
            <w:hideMark/>
          </w:tcPr>
          <w:p w14:paraId="677A6E5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14:paraId="5EE71CE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w:t>
            </w:r>
          </w:p>
        </w:tc>
      </w:tr>
      <w:tr w:rsidR="00F37DCB" w14:paraId="68D899F0" w14:textId="77777777" w:rsidTr="00852A1F">
        <w:tc>
          <w:tcPr>
            <w:tcW w:w="2972" w:type="dxa"/>
            <w:tcBorders>
              <w:top w:val="single" w:sz="4" w:space="0" w:color="auto"/>
              <w:left w:val="single" w:sz="4" w:space="0" w:color="auto"/>
              <w:bottom w:val="single" w:sz="4" w:space="0" w:color="auto"/>
              <w:right w:val="single" w:sz="4" w:space="0" w:color="auto"/>
            </w:tcBorders>
            <w:vAlign w:val="center"/>
            <w:hideMark/>
          </w:tcPr>
          <w:p w14:paraId="2F6CBC79"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vAlign w:val="center"/>
            <w:hideMark/>
          </w:tcPr>
          <w:p w14:paraId="79874CA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0,5</w:t>
            </w:r>
          </w:p>
        </w:tc>
        <w:tc>
          <w:tcPr>
            <w:tcW w:w="951" w:type="dxa"/>
            <w:tcBorders>
              <w:top w:val="single" w:sz="4" w:space="0" w:color="auto"/>
              <w:left w:val="single" w:sz="4" w:space="0" w:color="auto"/>
              <w:bottom w:val="single" w:sz="4" w:space="0" w:color="auto"/>
              <w:right w:val="single" w:sz="4" w:space="0" w:color="auto"/>
            </w:tcBorders>
            <w:vAlign w:val="center"/>
            <w:hideMark/>
          </w:tcPr>
          <w:p w14:paraId="5695066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0,5</w:t>
            </w:r>
          </w:p>
        </w:tc>
        <w:tc>
          <w:tcPr>
            <w:tcW w:w="951" w:type="dxa"/>
            <w:tcBorders>
              <w:top w:val="single" w:sz="4" w:space="0" w:color="auto"/>
              <w:left w:val="single" w:sz="4" w:space="0" w:color="auto"/>
              <w:bottom w:val="single" w:sz="4" w:space="0" w:color="auto"/>
              <w:right w:val="single" w:sz="4" w:space="0" w:color="auto"/>
            </w:tcBorders>
            <w:vAlign w:val="center"/>
            <w:hideMark/>
          </w:tcPr>
          <w:p w14:paraId="2E226B0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w:t>
            </w:r>
          </w:p>
        </w:tc>
        <w:tc>
          <w:tcPr>
            <w:tcW w:w="950" w:type="dxa"/>
            <w:tcBorders>
              <w:top w:val="single" w:sz="4" w:space="0" w:color="auto"/>
              <w:left w:val="single" w:sz="4" w:space="0" w:color="auto"/>
              <w:bottom w:val="single" w:sz="4" w:space="0" w:color="auto"/>
              <w:right w:val="single" w:sz="4" w:space="0" w:color="auto"/>
            </w:tcBorders>
            <w:vAlign w:val="center"/>
            <w:hideMark/>
          </w:tcPr>
          <w:p w14:paraId="79703FA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0,8</w:t>
            </w:r>
          </w:p>
        </w:tc>
        <w:tc>
          <w:tcPr>
            <w:tcW w:w="951" w:type="dxa"/>
            <w:tcBorders>
              <w:top w:val="single" w:sz="4" w:space="0" w:color="auto"/>
              <w:left w:val="single" w:sz="4" w:space="0" w:color="auto"/>
              <w:bottom w:val="single" w:sz="4" w:space="0" w:color="auto"/>
              <w:right w:val="single" w:sz="4" w:space="0" w:color="auto"/>
            </w:tcBorders>
            <w:vAlign w:val="center"/>
            <w:hideMark/>
          </w:tcPr>
          <w:p w14:paraId="6246191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14:paraId="363E8A1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14:paraId="18434C7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1,0</w:t>
            </w:r>
          </w:p>
        </w:tc>
      </w:tr>
      <w:tr w:rsidR="00F37DCB" w14:paraId="4C5C7898" w14:textId="77777777" w:rsidTr="00852A1F">
        <w:tc>
          <w:tcPr>
            <w:tcW w:w="2972" w:type="dxa"/>
            <w:tcBorders>
              <w:top w:val="single" w:sz="4" w:space="0" w:color="auto"/>
              <w:left w:val="single" w:sz="4" w:space="0" w:color="auto"/>
              <w:bottom w:val="single" w:sz="4" w:space="0" w:color="auto"/>
              <w:right w:val="single" w:sz="4" w:space="0" w:color="auto"/>
            </w:tcBorders>
            <w:hideMark/>
          </w:tcPr>
          <w:p w14:paraId="589674F0" w14:textId="77777777" w:rsidR="00852A1F" w:rsidRPr="00852A1F" w:rsidRDefault="00000000" w:rsidP="00852A1F">
            <w:pPr>
              <w:tabs>
                <w:tab w:val="left" w:pos="851"/>
              </w:tabs>
              <w:jc w:val="both"/>
              <w:rPr>
                <w:rFonts w:ascii="Times New Roman" w:hAnsi="Times New Roman"/>
                <w:sz w:val="24"/>
                <w:szCs w:val="24"/>
              </w:rPr>
            </w:pPr>
            <w:r w:rsidRPr="00852A1F">
              <w:rPr>
                <w:rFonts w:ascii="Times New Roman" w:hAnsi="Times New Roman"/>
                <w:sz w:val="24"/>
                <w:szCs w:val="24"/>
              </w:rPr>
              <w:t>Всього військовий збір</w:t>
            </w:r>
          </w:p>
        </w:tc>
        <w:tc>
          <w:tcPr>
            <w:tcW w:w="950" w:type="dxa"/>
            <w:tcBorders>
              <w:top w:val="single" w:sz="4" w:space="0" w:color="auto"/>
              <w:left w:val="single" w:sz="4" w:space="0" w:color="auto"/>
              <w:bottom w:val="single" w:sz="4" w:space="0" w:color="auto"/>
              <w:right w:val="single" w:sz="4" w:space="0" w:color="auto"/>
            </w:tcBorders>
            <w:vAlign w:val="center"/>
            <w:hideMark/>
          </w:tcPr>
          <w:p w14:paraId="1F10F27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12,5</w:t>
            </w:r>
          </w:p>
        </w:tc>
        <w:tc>
          <w:tcPr>
            <w:tcW w:w="951" w:type="dxa"/>
            <w:tcBorders>
              <w:top w:val="single" w:sz="4" w:space="0" w:color="auto"/>
              <w:left w:val="single" w:sz="4" w:space="0" w:color="auto"/>
              <w:bottom w:val="single" w:sz="4" w:space="0" w:color="auto"/>
              <w:right w:val="single" w:sz="4" w:space="0" w:color="auto"/>
            </w:tcBorders>
            <w:vAlign w:val="center"/>
            <w:hideMark/>
          </w:tcPr>
          <w:p w14:paraId="6833239C"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19,7</w:t>
            </w:r>
          </w:p>
        </w:tc>
        <w:tc>
          <w:tcPr>
            <w:tcW w:w="951" w:type="dxa"/>
            <w:tcBorders>
              <w:top w:val="single" w:sz="4" w:space="0" w:color="auto"/>
              <w:left w:val="single" w:sz="4" w:space="0" w:color="auto"/>
              <w:bottom w:val="single" w:sz="4" w:space="0" w:color="auto"/>
              <w:right w:val="single" w:sz="4" w:space="0" w:color="auto"/>
            </w:tcBorders>
            <w:vAlign w:val="center"/>
            <w:hideMark/>
          </w:tcPr>
          <w:p w14:paraId="0CEA0A1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27,8</w:t>
            </w:r>
          </w:p>
        </w:tc>
        <w:tc>
          <w:tcPr>
            <w:tcW w:w="950" w:type="dxa"/>
            <w:tcBorders>
              <w:top w:val="single" w:sz="4" w:space="0" w:color="auto"/>
              <w:left w:val="single" w:sz="4" w:space="0" w:color="auto"/>
              <w:bottom w:val="single" w:sz="4" w:space="0" w:color="auto"/>
              <w:right w:val="single" w:sz="4" w:space="0" w:color="auto"/>
            </w:tcBorders>
            <w:vAlign w:val="center"/>
            <w:hideMark/>
          </w:tcPr>
          <w:p w14:paraId="0991D5D9"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28,7</w:t>
            </w:r>
          </w:p>
        </w:tc>
        <w:tc>
          <w:tcPr>
            <w:tcW w:w="951" w:type="dxa"/>
            <w:tcBorders>
              <w:top w:val="single" w:sz="4" w:space="0" w:color="auto"/>
              <w:left w:val="single" w:sz="4" w:space="0" w:color="auto"/>
              <w:bottom w:val="single" w:sz="4" w:space="0" w:color="auto"/>
              <w:right w:val="single" w:sz="4" w:space="0" w:color="auto"/>
            </w:tcBorders>
            <w:vAlign w:val="center"/>
            <w:hideMark/>
          </w:tcPr>
          <w:p w14:paraId="3AC58FD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30,1</w:t>
            </w:r>
          </w:p>
        </w:tc>
        <w:tc>
          <w:tcPr>
            <w:tcW w:w="951" w:type="dxa"/>
            <w:tcBorders>
              <w:top w:val="single" w:sz="4" w:space="0" w:color="auto"/>
              <w:left w:val="single" w:sz="4" w:space="0" w:color="auto"/>
              <w:bottom w:val="single" w:sz="4" w:space="0" w:color="auto"/>
              <w:right w:val="single" w:sz="4" w:space="0" w:color="auto"/>
            </w:tcBorders>
            <w:vAlign w:val="center"/>
            <w:hideMark/>
          </w:tcPr>
          <w:p w14:paraId="482D0DA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31,6</w:t>
            </w:r>
          </w:p>
        </w:tc>
        <w:tc>
          <w:tcPr>
            <w:tcW w:w="951" w:type="dxa"/>
            <w:tcBorders>
              <w:top w:val="single" w:sz="4" w:space="0" w:color="auto"/>
              <w:left w:val="single" w:sz="4" w:space="0" w:color="auto"/>
              <w:bottom w:val="single" w:sz="4" w:space="0" w:color="auto"/>
              <w:right w:val="single" w:sz="4" w:space="0" w:color="auto"/>
            </w:tcBorders>
            <w:vAlign w:val="center"/>
            <w:hideMark/>
          </w:tcPr>
          <w:p w14:paraId="037220A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33,2</w:t>
            </w:r>
          </w:p>
        </w:tc>
      </w:tr>
    </w:tbl>
    <w:p w14:paraId="128B40B4" w14:textId="77777777" w:rsidR="00852A1F" w:rsidRPr="006602C1" w:rsidRDefault="00852A1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33DF8EF" w14:textId="77777777" w:rsid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України «Про внесення змін до Податкового кодексу України та деяких законодавчих актів України щодо забезпечення збалансованості бюджетних надхо</w:t>
      </w:r>
      <w:r w:rsidRPr="00852A1F">
        <w:rPr>
          <w:rFonts w:ascii="Times New Roman" w:eastAsia="Calibri" w:hAnsi="Times New Roman" w:cs="Times New Roman"/>
          <w:kern w:val="2"/>
          <w:sz w:val="28"/>
          <w:szCs w:val="28"/>
          <w:lang w:eastAsia="en-US"/>
          <w14:ligatures w14:val="standardContextual"/>
        </w:rPr>
        <w:softHyphen/>
        <w:t xml:space="preserve">джень у 2016 році» від 24.12.2015 р. № 909-VIII, для підприємств розмір єдиного соціального внеску (ЄСВ) становить 22% від загального фонду заробітної плати. </w:t>
      </w:r>
    </w:p>
    <w:p w14:paraId="7B839D7F" w14:textId="77777777" w:rsidR="0049496F" w:rsidRPr="00852A1F" w:rsidRDefault="0049496F"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33E0595" w14:textId="77777777" w:rsid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За попередніми розрахунками, очікувана сума річних надходжень до Пенсійного фонду та фондів загальнообов’язкового державного соціального страхування, які будуть сплачені у вигляді єдиного соціального внеску підприємствами, за умови фіксованої заробітної плати та того, що розмір заробітної плати на жодного працівника не перевищуватиме максимальний розміру нарахування ЄСВ, може скласти від 54,8 млн грн у 2029 р. до 146,1 млн грн у 2035 р. Це зростання буде обумовлене поступовим розширенням діяльності парку: як збільшенням кількості працівників, так і підвищенням фонду оплати праці (табл. 19).</w:t>
      </w:r>
    </w:p>
    <w:p w14:paraId="7D68D3A8" w14:textId="77777777" w:rsidR="00852A1F" w:rsidRDefault="00852A1F"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98CCC85" w14:textId="77777777" w:rsidR="00852A1F" w:rsidRPr="00852A1F" w:rsidRDefault="00852A1F"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98ED7DD" w14:textId="77777777" w:rsid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lastRenderedPageBreak/>
        <w:t>Табл. 19.</w:t>
      </w:r>
      <w:r w:rsidRPr="00852A1F">
        <w:rPr>
          <w:rFonts w:ascii="Times New Roman" w:eastAsia="Calibri" w:hAnsi="Times New Roman" w:cs="Times New Roman"/>
          <w:kern w:val="2"/>
          <w:sz w:val="28"/>
          <w:szCs w:val="28"/>
          <w:lang w:eastAsia="en-US"/>
          <w14:ligatures w14:val="standardContextual"/>
        </w:rPr>
        <w:t xml:space="preserve"> Розрахунок ЄСВ з ІП «БУДШЛЯХМАШ», млн грн</w:t>
      </w:r>
    </w:p>
    <w:p w14:paraId="27FC396A" w14:textId="77777777" w:rsidR="0049496F" w:rsidRPr="00852A1F" w:rsidRDefault="0049496F"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p>
    <w:tbl>
      <w:tblPr>
        <w:tblStyle w:val="14"/>
        <w:tblW w:w="0" w:type="auto"/>
        <w:tblLook w:val="04A0" w:firstRow="1" w:lastRow="0" w:firstColumn="1" w:lastColumn="0" w:noHBand="0" w:noVBand="1"/>
      </w:tblPr>
      <w:tblGrid>
        <w:gridCol w:w="3052"/>
        <w:gridCol w:w="919"/>
        <w:gridCol w:w="919"/>
        <w:gridCol w:w="920"/>
        <w:gridCol w:w="919"/>
        <w:gridCol w:w="920"/>
        <w:gridCol w:w="919"/>
        <w:gridCol w:w="920"/>
      </w:tblGrid>
      <w:tr w:rsidR="00F37DCB" w14:paraId="3DABDDC6" w14:textId="77777777" w:rsidTr="00852A1F">
        <w:tc>
          <w:tcPr>
            <w:tcW w:w="3114" w:type="dxa"/>
            <w:tcBorders>
              <w:top w:val="single" w:sz="4" w:space="0" w:color="auto"/>
              <w:left w:val="single" w:sz="4" w:space="0" w:color="auto"/>
              <w:bottom w:val="single" w:sz="4" w:space="0" w:color="auto"/>
              <w:right w:val="single" w:sz="4" w:space="0" w:color="auto"/>
            </w:tcBorders>
            <w:shd w:val="clear" w:color="auto" w:fill="809EC2"/>
          </w:tcPr>
          <w:p w14:paraId="12336237" w14:textId="77777777" w:rsidR="00852A1F" w:rsidRPr="00852A1F" w:rsidRDefault="00852A1F" w:rsidP="00852A1F">
            <w:pPr>
              <w:tabs>
                <w:tab w:val="left" w:pos="851"/>
              </w:tabs>
              <w:jc w:val="center"/>
              <w:rPr>
                <w:rFonts w:ascii="Times New Roman" w:hAnsi="Times New Roman"/>
                <w:b/>
                <w:bCs/>
                <w:sz w:val="24"/>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84B8F20"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2029</w:t>
            </w: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5BEB2D6"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2030</w:t>
            </w:r>
          </w:p>
        </w:tc>
        <w:tc>
          <w:tcPr>
            <w:tcW w:w="93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5FDFB161"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2031</w:t>
            </w: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23A4B6D3"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2032</w:t>
            </w:r>
          </w:p>
        </w:tc>
        <w:tc>
          <w:tcPr>
            <w:tcW w:w="93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0106754D"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2033</w:t>
            </w: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FCECABC"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2034</w:t>
            </w:r>
          </w:p>
        </w:tc>
        <w:tc>
          <w:tcPr>
            <w:tcW w:w="931" w:type="dxa"/>
            <w:tcBorders>
              <w:top w:val="single" w:sz="4" w:space="0" w:color="auto"/>
              <w:left w:val="single" w:sz="4" w:space="0" w:color="auto"/>
              <w:bottom w:val="single" w:sz="4" w:space="0" w:color="auto"/>
              <w:right w:val="single" w:sz="4" w:space="0" w:color="auto"/>
            </w:tcBorders>
            <w:shd w:val="clear" w:color="auto" w:fill="809EC2"/>
            <w:vAlign w:val="center"/>
            <w:hideMark/>
          </w:tcPr>
          <w:p w14:paraId="6B447E3D" w14:textId="77777777" w:rsidR="00852A1F" w:rsidRPr="00852A1F" w:rsidRDefault="00000000" w:rsidP="00852A1F">
            <w:pPr>
              <w:tabs>
                <w:tab w:val="left" w:pos="851"/>
              </w:tabs>
              <w:jc w:val="center"/>
              <w:rPr>
                <w:rFonts w:ascii="Times New Roman" w:hAnsi="Times New Roman"/>
                <w:b/>
                <w:bCs/>
                <w:sz w:val="24"/>
                <w:szCs w:val="24"/>
              </w:rPr>
            </w:pPr>
            <w:r w:rsidRPr="00852A1F">
              <w:rPr>
                <w:rFonts w:ascii="Times New Roman" w:hAnsi="Times New Roman"/>
                <w:b/>
                <w:bCs/>
                <w:sz w:val="24"/>
                <w:szCs w:val="24"/>
              </w:rPr>
              <w:t>2035</w:t>
            </w:r>
          </w:p>
        </w:tc>
      </w:tr>
      <w:tr w:rsidR="00F37DCB" w14:paraId="62B3732C" w14:textId="77777777" w:rsidTr="00852A1F">
        <w:tc>
          <w:tcPr>
            <w:tcW w:w="3114" w:type="dxa"/>
            <w:tcBorders>
              <w:top w:val="single" w:sz="4" w:space="0" w:color="auto"/>
              <w:left w:val="single" w:sz="4" w:space="0" w:color="auto"/>
              <w:bottom w:val="single" w:sz="4" w:space="0" w:color="auto"/>
              <w:right w:val="single" w:sz="4" w:space="0" w:color="auto"/>
            </w:tcBorders>
            <w:vAlign w:val="center"/>
            <w:hideMark/>
          </w:tcPr>
          <w:p w14:paraId="0567D943"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промислових підприємств</w:t>
            </w:r>
          </w:p>
        </w:tc>
        <w:tc>
          <w:tcPr>
            <w:tcW w:w="930" w:type="dxa"/>
            <w:tcBorders>
              <w:top w:val="single" w:sz="4" w:space="0" w:color="auto"/>
              <w:left w:val="single" w:sz="4" w:space="0" w:color="auto"/>
              <w:bottom w:val="single" w:sz="4" w:space="0" w:color="auto"/>
              <w:right w:val="single" w:sz="4" w:space="0" w:color="auto"/>
            </w:tcBorders>
            <w:vAlign w:val="center"/>
            <w:hideMark/>
          </w:tcPr>
          <w:p w14:paraId="7C069B2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34,0</w:t>
            </w:r>
          </w:p>
        </w:tc>
        <w:tc>
          <w:tcPr>
            <w:tcW w:w="930" w:type="dxa"/>
            <w:tcBorders>
              <w:top w:val="single" w:sz="4" w:space="0" w:color="auto"/>
              <w:left w:val="single" w:sz="4" w:space="0" w:color="auto"/>
              <w:bottom w:val="single" w:sz="4" w:space="0" w:color="auto"/>
              <w:right w:val="single" w:sz="4" w:space="0" w:color="auto"/>
            </w:tcBorders>
            <w:vAlign w:val="center"/>
            <w:hideMark/>
          </w:tcPr>
          <w:p w14:paraId="247A3F3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54,1</w:t>
            </w:r>
          </w:p>
        </w:tc>
        <w:tc>
          <w:tcPr>
            <w:tcW w:w="931" w:type="dxa"/>
            <w:tcBorders>
              <w:top w:val="single" w:sz="4" w:space="0" w:color="auto"/>
              <w:left w:val="single" w:sz="4" w:space="0" w:color="auto"/>
              <w:bottom w:val="single" w:sz="4" w:space="0" w:color="auto"/>
              <w:right w:val="single" w:sz="4" w:space="0" w:color="auto"/>
            </w:tcBorders>
            <w:vAlign w:val="center"/>
            <w:hideMark/>
          </w:tcPr>
          <w:p w14:paraId="00D909E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78,5</w:t>
            </w:r>
          </w:p>
        </w:tc>
        <w:tc>
          <w:tcPr>
            <w:tcW w:w="930" w:type="dxa"/>
            <w:tcBorders>
              <w:top w:val="single" w:sz="4" w:space="0" w:color="auto"/>
              <w:left w:val="single" w:sz="4" w:space="0" w:color="auto"/>
              <w:bottom w:val="single" w:sz="4" w:space="0" w:color="auto"/>
              <w:right w:val="single" w:sz="4" w:space="0" w:color="auto"/>
            </w:tcBorders>
            <w:vAlign w:val="center"/>
            <w:hideMark/>
          </w:tcPr>
          <w:p w14:paraId="215E081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82,4</w:t>
            </w:r>
          </w:p>
        </w:tc>
        <w:tc>
          <w:tcPr>
            <w:tcW w:w="931" w:type="dxa"/>
            <w:tcBorders>
              <w:top w:val="single" w:sz="4" w:space="0" w:color="auto"/>
              <w:left w:val="single" w:sz="4" w:space="0" w:color="auto"/>
              <w:bottom w:val="single" w:sz="4" w:space="0" w:color="auto"/>
              <w:right w:val="single" w:sz="4" w:space="0" w:color="auto"/>
            </w:tcBorders>
            <w:vAlign w:val="center"/>
            <w:hideMark/>
          </w:tcPr>
          <w:p w14:paraId="2F680E2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86,6</w:t>
            </w:r>
          </w:p>
        </w:tc>
        <w:tc>
          <w:tcPr>
            <w:tcW w:w="930" w:type="dxa"/>
            <w:tcBorders>
              <w:top w:val="single" w:sz="4" w:space="0" w:color="auto"/>
              <w:left w:val="single" w:sz="4" w:space="0" w:color="auto"/>
              <w:bottom w:val="single" w:sz="4" w:space="0" w:color="auto"/>
              <w:right w:val="single" w:sz="4" w:space="0" w:color="auto"/>
            </w:tcBorders>
            <w:vAlign w:val="center"/>
            <w:hideMark/>
          </w:tcPr>
          <w:p w14:paraId="45F4BAD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90,9</w:t>
            </w:r>
          </w:p>
        </w:tc>
        <w:tc>
          <w:tcPr>
            <w:tcW w:w="931" w:type="dxa"/>
            <w:tcBorders>
              <w:top w:val="single" w:sz="4" w:space="0" w:color="auto"/>
              <w:left w:val="single" w:sz="4" w:space="0" w:color="auto"/>
              <w:bottom w:val="single" w:sz="4" w:space="0" w:color="auto"/>
              <w:right w:val="single" w:sz="4" w:space="0" w:color="auto"/>
            </w:tcBorders>
            <w:vAlign w:val="center"/>
            <w:hideMark/>
          </w:tcPr>
          <w:p w14:paraId="58AF935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95,4</w:t>
            </w:r>
          </w:p>
        </w:tc>
      </w:tr>
      <w:tr w:rsidR="00F37DCB" w14:paraId="69069C7C" w14:textId="77777777" w:rsidTr="00852A1F">
        <w:tc>
          <w:tcPr>
            <w:tcW w:w="3114" w:type="dxa"/>
            <w:tcBorders>
              <w:top w:val="single" w:sz="4" w:space="0" w:color="auto"/>
              <w:left w:val="single" w:sz="4" w:space="0" w:color="auto"/>
              <w:bottom w:val="single" w:sz="4" w:space="0" w:color="auto"/>
              <w:right w:val="single" w:sz="4" w:space="0" w:color="auto"/>
            </w:tcBorders>
            <w:vAlign w:val="center"/>
            <w:hideMark/>
          </w:tcPr>
          <w:p w14:paraId="19565CA4"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транспортно-логістичної інфраструктури</w:t>
            </w:r>
          </w:p>
        </w:tc>
        <w:tc>
          <w:tcPr>
            <w:tcW w:w="930" w:type="dxa"/>
            <w:tcBorders>
              <w:top w:val="single" w:sz="4" w:space="0" w:color="auto"/>
              <w:left w:val="single" w:sz="4" w:space="0" w:color="auto"/>
              <w:bottom w:val="single" w:sz="4" w:space="0" w:color="auto"/>
              <w:right w:val="single" w:sz="4" w:space="0" w:color="auto"/>
            </w:tcBorders>
            <w:vAlign w:val="center"/>
            <w:hideMark/>
          </w:tcPr>
          <w:p w14:paraId="212CCA8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7,0</w:t>
            </w:r>
          </w:p>
        </w:tc>
        <w:tc>
          <w:tcPr>
            <w:tcW w:w="930" w:type="dxa"/>
            <w:tcBorders>
              <w:top w:val="single" w:sz="4" w:space="0" w:color="auto"/>
              <w:left w:val="single" w:sz="4" w:space="0" w:color="auto"/>
              <w:bottom w:val="single" w:sz="4" w:space="0" w:color="auto"/>
              <w:right w:val="single" w:sz="4" w:space="0" w:color="auto"/>
            </w:tcBorders>
            <w:vAlign w:val="center"/>
            <w:hideMark/>
          </w:tcPr>
          <w:p w14:paraId="4E61A94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14,7</w:t>
            </w:r>
          </w:p>
        </w:tc>
        <w:tc>
          <w:tcPr>
            <w:tcW w:w="931" w:type="dxa"/>
            <w:tcBorders>
              <w:top w:val="single" w:sz="4" w:space="0" w:color="auto"/>
              <w:left w:val="single" w:sz="4" w:space="0" w:color="auto"/>
              <w:bottom w:val="single" w:sz="4" w:space="0" w:color="auto"/>
              <w:right w:val="single" w:sz="4" w:space="0" w:color="auto"/>
            </w:tcBorders>
            <w:vAlign w:val="center"/>
            <w:hideMark/>
          </w:tcPr>
          <w:p w14:paraId="13A7F0A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17,7</w:t>
            </w:r>
          </w:p>
        </w:tc>
        <w:tc>
          <w:tcPr>
            <w:tcW w:w="930" w:type="dxa"/>
            <w:tcBorders>
              <w:top w:val="single" w:sz="4" w:space="0" w:color="auto"/>
              <w:left w:val="single" w:sz="4" w:space="0" w:color="auto"/>
              <w:bottom w:val="single" w:sz="4" w:space="0" w:color="auto"/>
              <w:right w:val="single" w:sz="4" w:space="0" w:color="auto"/>
            </w:tcBorders>
            <w:vAlign w:val="center"/>
            <w:hideMark/>
          </w:tcPr>
          <w:p w14:paraId="2CC7BA5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18,6</w:t>
            </w:r>
          </w:p>
        </w:tc>
        <w:tc>
          <w:tcPr>
            <w:tcW w:w="931" w:type="dxa"/>
            <w:tcBorders>
              <w:top w:val="single" w:sz="4" w:space="0" w:color="auto"/>
              <w:left w:val="single" w:sz="4" w:space="0" w:color="auto"/>
              <w:bottom w:val="single" w:sz="4" w:space="0" w:color="auto"/>
              <w:right w:val="single" w:sz="4" w:space="0" w:color="auto"/>
            </w:tcBorders>
            <w:vAlign w:val="center"/>
            <w:hideMark/>
          </w:tcPr>
          <w:p w14:paraId="054471A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19,5</w:t>
            </w:r>
          </w:p>
        </w:tc>
        <w:tc>
          <w:tcPr>
            <w:tcW w:w="930" w:type="dxa"/>
            <w:tcBorders>
              <w:top w:val="single" w:sz="4" w:space="0" w:color="auto"/>
              <w:left w:val="single" w:sz="4" w:space="0" w:color="auto"/>
              <w:bottom w:val="single" w:sz="4" w:space="0" w:color="auto"/>
              <w:right w:val="single" w:sz="4" w:space="0" w:color="auto"/>
            </w:tcBorders>
            <w:vAlign w:val="center"/>
            <w:hideMark/>
          </w:tcPr>
          <w:p w14:paraId="2DC7CEA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20,5</w:t>
            </w:r>
          </w:p>
        </w:tc>
        <w:tc>
          <w:tcPr>
            <w:tcW w:w="931" w:type="dxa"/>
            <w:tcBorders>
              <w:top w:val="single" w:sz="4" w:space="0" w:color="auto"/>
              <w:left w:val="single" w:sz="4" w:space="0" w:color="auto"/>
              <w:bottom w:val="single" w:sz="4" w:space="0" w:color="auto"/>
              <w:right w:val="single" w:sz="4" w:space="0" w:color="auto"/>
            </w:tcBorders>
            <w:vAlign w:val="center"/>
            <w:hideMark/>
          </w:tcPr>
          <w:p w14:paraId="6550D4F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21,5</w:t>
            </w:r>
          </w:p>
        </w:tc>
      </w:tr>
      <w:tr w:rsidR="00F37DCB" w14:paraId="4790BAB6" w14:textId="77777777" w:rsidTr="00852A1F">
        <w:tc>
          <w:tcPr>
            <w:tcW w:w="3114" w:type="dxa"/>
            <w:tcBorders>
              <w:top w:val="single" w:sz="4" w:space="0" w:color="auto"/>
              <w:left w:val="single" w:sz="4" w:space="0" w:color="auto"/>
              <w:bottom w:val="single" w:sz="4" w:space="0" w:color="auto"/>
              <w:right w:val="single" w:sz="4" w:space="0" w:color="auto"/>
            </w:tcBorders>
            <w:vAlign w:val="center"/>
            <w:hideMark/>
          </w:tcPr>
          <w:p w14:paraId="3DAE26F3"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підприємств сфери послуг</w:t>
            </w:r>
          </w:p>
        </w:tc>
        <w:tc>
          <w:tcPr>
            <w:tcW w:w="930" w:type="dxa"/>
            <w:tcBorders>
              <w:top w:val="single" w:sz="4" w:space="0" w:color="auto"/>
              <w:left w:val="single" w:sz="4" w:space="0" w:color="auto"/>
              <w:bottom w:val="single" w:sz="4" w:space="0" w:color="auto"/>
              <w:right w:val="single" w:sz="4" w:space="0" w:color="auto"/>
            </w:tcBorders>
            <w:vAlign w:val="center"/>
            <w:hideMark/>
          </w:tcPr>
          <w:p w14:paraId="5D191350"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7,9</w:t>
            </w:r>
          </w:p>
        </w:tc>
        <w:tc>
          <w:tcPr>
            <w:tcW w:w="930" w:type="dxa"/>
            <w:tcBorders>
              <w:top w:val="single" w:sz="4" w:space="0" w:color="auto"/>
              <w:left w:val="single" w:sz="4" w:space="0" w:color="auto"/>
              <w:bottom w:val="single" w:sz="4" w:space="0" w:color="auto"/>
              <w:right w:val="single" w:sz="4" w:space="0" w:color="auto"/>
            </w:tcBorders>
            <w:vAlign w:val="center"/>
            <w:hideMark/>
          </w:tcPr>
          <w:p w14:paraId="2606D88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6FAC8AA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14,8</w:t>
            </w:r>
          </w:p>
        </w:tc>
        <w:tc>
          <w:tcPr>
            <w:tcW w:w="930" w:type="dxa"/>
            <w:tcBorders>
              <w:top w:val="single" w:sz="4" w:space="0" w:color="auto"/>
              <w:left w:val="single" w:sz="4" w:space="0" w:color="auto"/>
              <w:bottom w:val="single" w:sz="4" w:space="0" w:color="auto"/>
              <w:right w:val="single" w:sz="4" w:space="0" w:color="auto"/>
            </w:tcBorders>
            <w:vAlign w:val="center"/>
            <w:hideMark/>
          </w:tcPr>
          <w:p w14:paraId="4951096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15,6</w:t>
            </w:r>
          </w:p>
        </w:tc>
        <w:tc>
          <w:tcPr>
            <w:tcW w:w="931" w:type="dxa"/>
            <w:tcBorders>
              <w:top w:val="single" w:sz="4" w:space="0" w:color="auto"/>
              <w:left w:val="single" w:sz="4" w:space="0" w:color="auto"/>
              <w:bottom w:val="single" w:sz="4" w:space="0" w:color="auto"/>
              <w:right w:val="single" w:sz="4" w:space="0" w:color="auto"/>
            </w:tcBorders>
            <w:vAlign w:val="center"/>
            <w:hideMark/>
          </w:tcPr>
          <w:p w14:paraId="44E3A118"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16,4</w:t>
            </w:r>
          </w:p>
        </w:tc>
        <w:tc>
          <w:tcPr>
            <w:tcW w:w="930" w:type="dxa"/>
            <w:tcBorders>
              <w:top w:val="single" w:sz="4" w:space="0" w:color="auto"/>
              <w:left w:val="single" w:sz="4" w:space="0" w:color="auto"/>
              <w:bottom w:val="single" w:sz="4" w:space="0" w:color="auto"/>
              <w:right w:val="single" w:sz="4" w:space="0" w:color="auto"/>
            </w:tcBorders>
            <w:vAlign w:val="center"/>
            <w:hideMark/>
          </w:tcPr>
          <w:p w14:paraId="6BA7F14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17,2</w:t>
            </w:r>
          </w:p>
        </w:tc>
        <w:tc>
          <w:tcPr>
            <w:tcW w:w="931" w:type="dxa"/>
            <w:tcBorders>
              <w:top w:val="single" w:sz="4" w:space="0" w:color="auto"/>
              <w:left w:val="single" w:sz="4" w:space="0" w:color="auto"/>
              <w:bottom w:val="single" w:sz="4" w:space="0" w:color="auto"/>
              <w:right w:val="single" w:sz="4" w:space="0" w:color="auto"/>
            </w:tcBorders>
            <w:vAlign w:val="center"/>
            <w:hideMark/>
          </w:tcPr>
          <w:p w14:paraId="24E02FA6"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18,0</w:t>
            </w:r>
          </w:p>
        </w:tc>
      </w:tr>
      <w:tr w:rsidR="00F37DCB" w14:paraId="0245290B" w14:textId="77777777" w:rsidTr="00852A1F">
        <w:tc>
          <w:tcPr>
            <w:tcW w:w="3114" w:type="dxa"/>
            <w:tcBorders>
              <w:top w:val="single" w:sz="4" w:space="0" w:color="auto"/>
              <w:left w:val="single" w:sz="4" w:space="0" w:color="auto"/>
              <w:bottom w:val="single" w:sz="4" w:space="0" w:color="auto"/>
              <w:right w:val="single" w:sz="4" w:space="0" w:color="auto"/>
            </w:tcBorders>
            <w:vAlign w:val="center"/>
            <w:hideMark/>
          </w:tcPr>
          <w:p w14:paraId="1657B5EE"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Адміністрація і співробітники керуючої компанії</w:t>
            </w:r>
          </w:p>
        </w:tc>
        <w:tc>
          <w:tcPr>
            <w:tcW w:w="930" w:type="dxa"/>
            <w:tcBorders>
              <w:top w:val="single" w:sz="4" w:space="0" w:color="auto"/>
              <w:left w:val="single" w:sz="4" w:space="0" w:color="auto"/>
              <w:bottom w:val="single" w:sz="4" w:space="0" w:color="auto"/>
              <w:right w:val="single" w:sz="4" w:space="0" w:color="auto"/>
            </w:tcBorders>
            <w:vAlign w:val="center"/>
            <w:hideMark/>
          </w:tcPr>
          <w:p w14:paraId="3DEB2ED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3,8</w:t>
            </w:r>
          </w:p>
        </w:tc>
        <w:tc>
          <w:tcPr>
            <w:tcW w:w="930" w:type="dxa"/>
            <w:tcBorders>
              <w:top w:val="single" w:sz="4" w:space="0" w:color="auto"/>
              <w:left w:val="single" w:sz="4" w:space="0" w:color="auto"/>
              <w:bottom w:val="single" w:sz="4" w:space="0" w:color="auto"/>
              <w:right w:val="single" w:sz="4" w:space="0" w:color="auto"/>
            </w:tcBorders>
            <w:vAlign w:val="center"/>
            <w:hideMark/>
          </w:tcPr>
          <w:p w14:paraId="0270137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4,0</w:t>
            </w:r>
          </w:p>
        </w:tc>
        <w:tc>
          <w:tcPr>
            <w:tcW w:w="931" w:type="dxa"/>
            <w:tcBorders>
              <w:top w:val="single" w:sz="4" w:space="0" w:color="auto"/>
              <w:left w:val="single" w:sz="4" w:space="0" w:color="auto"/>
              <w:bottom w:val="single" w:sz="4" w:space="0" w:color="auto"/>
              <w:right w:val="single" w:sz="4" w:space="0" w:color="auto"/>
            </w:tcBorders>
            <w:vAlign w:val="center"/>
            <w:hideMark/>
          </w:tcPr>
          <w:p w14:paraId="20A6B82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5,6</w:t>
            </w:r>
          </w:p>
        </w:tc>
        <w:tc>
          <w:tcPr>
            <w:tcW w:w="930" w:type="dxa"/>
            <w:tcBorders>
              <w:top w:val="single" w:sz="4" w:space="0" w:color="auto"/>
              <w:left w:val="single" w:sz="4" w:space="0" w:color="auto"/>
              <w:bottom w:val="single" w:sz="4" w:space="0" w:color="auto"/>
              <w:right w:val="single" w:sz="4" w:space="0" w:color="auto"/>
            </w:tcBorders>
            <w:vAlign w:val="center"/>
            <w:hideMark/>
          </w:tcPr>
          <w:p w14:paraId="36F2C14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5,9</w:t>
            </w:r>
          </w:p>
        </w:tc>
        <w:tc>
          <w:tcPr>
            <w:tcW w:w="931" w:type="dxa"/>
            <w:tcBorders>
              <w:top w:val="single" w:sz="4" w:space="0" w:color="auto"/>
              <w:left w:val="single" w:sz="4" w:space="0" w:color="auto"/>
              <w:bottom w:val="single" w:sz="4" w:space="0" w:color="auto"/>
              <w:right w:val="single" w:sz="4" w:space="0" w:color="auto"/>
            </w:tcBorders>
            <w:vAlign w:val="center"/>
            <w:hideMark/>
          </w:tcPr>
          <w:p w14:paraId="19ED91DE"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6,2</w:t>
            </w:r>
          </w:p>
        </w:tc>
        <w:tc>
          <w:tcPr>
            <w:tcW w:w="930" w:type="dxa"/>
            <w:tcBorders>
              <w:top w:val="single" w:sz="4" w:space="0" w:color="auto"/>
              <w:left w:val="single" w:sz="4" w:space="0" w:color="auto"/>
              <w:bottom w:val="single" w:sz="4" w:space="0" w:color="auto"/>
              <w:right w:val="single" w:sz="4" w:space="0" w:color="auto"/>
            </w:tcBorders>
            <w:vAlign w:val="center"/>
            <w:hideMark/>
          </w:tcPr>
          <w:p w14:paraId="4A01B9A7"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6,5</w:t>
            </w:r>
          </w:p>
        </w:tc>
        <w:tc>
          <w:tcPr>
            <w:tcW w:w="931" w:type="dxa"/>
            <w:tcBorders>
              <w:top w:val="single" w:sz="4" w:space="0" w:color="auto"/>
              <w:left w:val="single" w:sz="4" w:space="0" w:color="auto"/>
              <w:bottom w:val="single" w:sz="4" w:space="0" w:color="auto"/>
              <w:right w:val="single" w:sz="4" w:space="0" w:color="auto"/>
            </w:tcBorders>
            <w:vAlign w:val="center"/>
            <w:hideMark/>
          </w:tcPr>
          <w:p w14:paraId="3F3C2AD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6,9</w:t>
            </w:r>
          </w:p>
        </w:tc>
      </w:tr>
      <w:tr w:rsidR="00F37DCB" w14:paraId="42B09827" w14:textId="77777777" w:rsidTr="00852A1F">
        <w:tc>
          <w:tcPr>
            <w:tcW w:w="3114" w:type="dxa"/>
            <w:tcBorders>
              <w:top w:val="single" w:sz="4" w:space="0" w:color="auto"/>
              <w:left w:val="single" w:sz="4" w:space="0" w:color="auto"/>
              <w:bottom w:val="single" w:sz="4" w:space="0" w:color="auto"/>
              <w:right w:val="single" w:sz="4" w:space="0" w:color="auto"/>
            </w:tcBorders>
            <w:vAlign w:val="center"/>
            <w:hideMark/>
          </w:tcPr>
          <w:p w14:paraId="32444CC9" w14:textId="77777777" w:rsidR="00852A1F" w:rsidRPr="00852A1F" w:rsidRDefault="00000000" w:rsidP="00852A1F">
            <w:pPr>
              <w:tabs>
                <w:tab w:val="left" w:pos="851"/>
              </w:tabs>
              <w:rPr>
                <w:rFonts w:ascii="Times New Roman" w:hAnsi="Times New Roman"/>
                <w:sz w:val="24"/>
                <w:szCs w:val="24"/>
              </w:rPr>
            </w:pPr>
            <w:r w:rsidRPr="00852A1F">
              <w:rPr>
                <w:rFonts w:ascii="Times New Roman" w:hAnsi="Times New Roman"/>
                <w:sz w:val="24"/>
                <w:szCs w:val="24"/>
              </w:rPr>
              <w:t>Працівники господарсько-побутового блоку</w:t>
            </w:r>
          </w:p>
        </w:tc>
        <w:tc>
          <w:tcPr>
            <w:tcW w:w="930" w:type="dxa"/>
            <w:tcBorders>
              <w:top w:val="single" w:sz="4" w:space="0" w:color="auto"/>
              <w:left w:val="single" w:sz="4" w:space="0" w:color="auto"/>
              <w:bottom w:val="single" w:sz="4" w:space="0" w:color="auto"/>
              <w:right w:val="single" w:sz="4" w:space="0" w:color="auto"/>
            </w:tcBorders>
            <w:vAlign w:val="center"/>
            <w:hideMark/>
          </w:tcPr>
          <w:p w14:paraId="014280E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2,1</w:t>
            </w:r>
          </w:p>
        </w:tc>
        <w:tc>
          <w:tcPr>
            <w:tcW w:w="930" w:type="dxa"/>
            <w:tcBorders>
              <w:top w:val="single" w:sz="4" w:space="0" w:color="auto"/>
              <w:left w:val="single" w:sz="4" w:space="0" w:color="auto"/>
              <w:bottom w:val="single" w:sz="4" w:space="0" w:color="auto"/>
              <w:right w:val="single" w:sz="4" w:space="0" w:color="auto"/>
            </w:tcBorders>
            <w:vAlign w:val="center"/>
            <w:hideMark/>
          </w:tcPr>
          <w:p w14:paraId="6F5906F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2,2</w:t>
            </w:r>
          </w:p>
        </w:tc>
        <w:tc>
          <w:tcPr>
            <w:tcW w:w="931" w:type="dxa"/>
            <w:tcBorders>
              <w:top w:val="single" w:sz="4" w:space="0" w:color="auto"/>
              <w:left w:val="single" w:sz="4" w:space="0" w:color="auto"/>
              <w:bottom w:val="single" w:sz="4" w:space="0" w:color="auto"/>
              <w:right w:val="single" w:sz="4" w:space="0" w:color="auto"/>
            </w:tcBorders>
            <w:vAlign w:val="center"/>
            <w:hideMark/>
          </w:tcPr>
          <w:p w14:paraId="456E4AF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5,8</w:t>
            </w:r>
          </w:p>
        </w:tc>
        <w:tc>
          <w:tcPr>
            <w:tcW w:w="930" w:type="dxa"/>
            <w:tcBorders>
              <w:top w:val="single" w:sz="4" w:space="0" w:color="auto"/>
              <w:left w:val="single" w:sz="4" w:space="0" w:color="auto"/>
              <w:bottom w:val="single" w:sz="4" w:space="0" w:color="auto"/>
              <w:right w:val="single" w:sz="4" w:space="0" w:color="auto"/>
            </w:tcBorders>
            <w:vAlign w:val="center"/>
            <w:hideMark/>
          </w:tcPr>
          <w:p w14:paraId="333FB5E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3,6</w:t>
            </w:r>
          </w:p>
        </w:tc>
        <w:tc>
          <w:tcPr>
            <w:tcW w:w="931" w:type="dxa"/>
            <w:tcBorders>
              <w:top w:val="single" w:sz="4" w:space="0" w:color="auto"/>
              <w:left w:val="single" w:sz="4" w:space="0" w:color="auto"/>
              <w:bottom w:val="single" w:sz="4" w:space="0" w:color="auto"/>
              <w:right w:val="single" w:sz="4" w:space="0" w:color="auto"/>
            </w:tcBorders>
            <w:vAlign w:val="center"/>
            <w:hideMark/>
          </w:tcPr>
          <w:p w14:paraId="2E336C7D"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3,8</w:t>
            </w:r>
          </w:p>
        </w:tc>
        <w:tc>
          <w:tcPr>
            <w:tcW w:w="930" w:type="dxa"/>
            <w:tcBorders>
              <w:top w:val="single" w:sz="4" w:space="0" w:color="auto"/>
              <w:left w:val="single" w:sz="4" w:space="0" w:color="auto"/>
              <w:bottom w:val="single" w:sz="4" w:space="0" w:color="auto"/>
              <w:right w:val="single" w:sz="4" w:space="0" w:color="auto"/>
            </w:tcBorders>
            <w:vAlign w:val="center"/>
            <w:hideMark/>
          </w:tcPr>
          <w:p w14:paraId="05D5C903"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4,0</w:t>
            </w:r>
          </w:p>
        </w:tc>
        <w:tc>
          <w:tcPr>
            <w:tcW w:w="931" w:type="dxa"/>
            <w:tcBorders>
              <w:top w:val="single" w:sz="4" w:space="0" w:color="auto"/>
              <w:left w:val="single" w:sz="4" w:space="0" w:color="auto"/>
              <w:bottom w:val="single" w:sz="4" w:space="0" w:color="auto"/>
              <w:right w:val="single" w:sz="4" w:space="0" w:color="auto"/>
            </w:tcBorders>
            <w:vAlign w:val="center"/>
            <w:hideMark/>
          </w:tcPr>
          <w:p w14:paraId="758D242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4,2</w:t>
            </w:r>
          </w:p>
        </w:tc>
      </w:tr>
      <w:tr w:rsidR="00F37DCB" w14:paraId="650B1A47" w14:textId="77777777" w:rsidTr="00852A1F">
        <w:tc>
          <w:tcPr>
            <w:tcW w:w="3114" w:type="dxa"/>
            <w:tcBorders>
              <w:top w:val="single" w:sz="4" w:space="0" w:color="auto"/>
              <w:left w:val="single" w:sz="4" w:space="0" w:color="auto"/>
              <w:bottom w:val="single" w:sz="4" w:space="0" w:color="auto"/>
              <w:right w:val="single" w:sz="4" w:space="0" w:color="auto"/>
            </w:tcBorders>
            <w:hideMark/>
          </w:tcPr>
          <w:p w14:paraId="0BC9DBA0" w14:textId="77777777" w:rsidR="00852A1F" w:rsidRPr="00852A1F" w:rsidRDefault="00000000" w:rsidP="00852A1F">
            <w:pPr>
              <w:tabs>
                <w:tab w:val="left" w:pos="851"/>
              </w:tabs>
              <w:jc w:val="both"/>
              <w:rPr>
                <w:rFonts w:ascii="Times New Roman" w:hAnsi="Times New Roman"/>
                <w:sz w:val="24"/>
                <w:szCs w:val="24"/>
              </w:rPr>
            </w:pPr>
            <w:r w:rsidRPr="00852A1F">
              <w:rPr>
                <w:rFonts w:ascii="Times New Roman" w:hAnsi="Times New Roman"/>
                <w:sz w:val="24"/>
                <w:szCs w:val="24"/>
              </w:rPr>
              <w:t>Всього ЄСВ</w:t>
            </w:r>
          </w:p>
        </w:tc>
        <w:tc>
          <w:tcPr>
            <w:tcW w:w="930" w:type="dxa"/>
            <w:tcBorders>
              <w:top w:val="single" w:sz="4" w:space="0" w:color="auto"/>
              <w:left w:val="single" w:sz="4" w:space="0" w:color="auto"/>
              <w:bottom w:val="single" w:sz="4" w:space="0" w:color="auto"/>
              <w:right w:val="single" w:sz="4" w:space="0" w:color="auto"/>
            </w:tcBorders>
            <w:vAlign w:val="center"/>
            <w:hideMark/>
          </w:tcPr>
          <w:p w14:paraId="59FB393A"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54,8</w:t>
            </w:r>
          </w:p>
        </w:tc>
        <w:tc>
          <w:tcPr>
            <w:tcW w:w="930" w:type="dxa"/>
            <w:tcBorders>
              <w:top w:val="single" w:sz="4" w:space="0" w:color="auto"/>
              <w:left w:val="single" w:sz="4" w:space="0" w:color="auto"/>
              <w:bottom w:val="single" w:sz="4" w:space="0" w:color="auto"/>
              <w:right w:val="single" w:sz="4" w:space="0" w:color="auto"/>
            </w:tcBorders>
            <w:vAlign w:val="center"/>
            <w:hideMark/>
          </w:tcPr>
          <w:p w14:paraId="15CF5771"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86,8</w:t>
            </w:r>
          </w:p>
        </w:tc>
        <w:tc>
          <w:tcPr>
            <w:tcW w:w="931" w:type="dxa"/>
            <w:tcBorders>
              <w:top w:val="single" w:sz="4" w:space="0" w:color="auto"/>
              <w:left w:val="single" w:sz="4" w:space="0" w:color="auto"/>
              <w:bottom w:val="single" w:sz="4" w:space="0" w:color="auto"/>
              <w:right w:val="single" w:sz="4" w:space="0" w:color="auto"/>
            </w:tcBorders>
            <w:vAlign w:val="center"/>
            <w:hideMark/>
          </w:tcPr>
          <w:p w14:paraId="4E5A36B5"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122,5</w:t>
            </w:r>
          </w:p>
        </w:tc>
        <w:tc>
          <w:tcPr>
            <w:tcW w:w="930" w:type="dxa"/>
            <w:tcBorders>
              <w:top w:val="single" w:sz="4" w:space="0" w:color="auto"/>
              <w:left w:val="single" w:sz="4" w:space="0" w:color="auto"/>
              <w:bottom w:val="single" w:sz="4" w:space="0" w:color="auto"/>
              <w:right w:val="single" w:sz="4" w:space="0" w:color="auto"/>
            </w:tcBorders>
            <w:vAlign w:val="center"/>
            <w:hideMark/>
          </w:tcPr>
          <w:p w14:paraId="75F1A17B"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126,2</w:t>
            </w:r>
          </w:p>
        </w:tc>
        <w:tc>
          <w:tcPr>
            <w:tcW w:w="931" w:type="dxa"/>
            <w:tcBorders>
              <w:top w:val="single" w:sz="4" w:space="0" w:color="auto"/>
              <w:left w:val="single" w:sz="4" w:space="0" w:color="auto"/>
              <w:bottom w:val="single" w:sz="4" w:space="0" w:color="auto"/>
              <w:right w:val="single" w:sz="4" w:space="0" w:color="auto"/>
            </w:tcBorders>
            <w:vAlign w:val="center"/>
            <w:hideMark/>
          </w:tcPr>
          <w:p w14:paraId="51CCE2D2"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132,5</w:t>
            </w:r>
          </w:p>
        </w:tc>
        <w:tc>
          <w:tcPr>
            <w:tcW w:w="930" w:type="dxa"/>
            <w:tcBorders>
              <w:top w:val="single" w:sz="4" w:space="0" w:color="auto"/>
              <w:left w:val="single" w:sz="4" w:space="0" w:color="auto"/>
              <w:bottom w:val="single" w:sz="4" w:space="0" w:color="auto"/>
              <w:right w:val="single" w:sz="4" w:space="0" w:color="auto"/>
            </w:tcBorders>
            <w:vAlign w:val="center"/>
            <w:hideMark/>
          </w:tcPr>
          <w:p w14:paraId="3C2664EF"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139,1</w:t>
            </w:r>
          </w:p>
        </w:tc>
        <w:tc>
          <w:tcPr>
            <w:tcW w:w="931" w:type="dxa"/>
            <w:tcBorders>
              <w:top w:val="single" w:sz="4" w:space="0" w:color="auto"/>
              <w:left w:val="single" w:sz="4" w:space="0" w:color="auto"/>
              <w:bottom w:val="single" w:sz="4" w:space="0" w:color="auto"/>
              <w:right w:val="single" w:sz="4" w:space="0" w:color="auto"/>
            </w:tcBorders>
            <w:vAlign w:val="center"/>
            <w:hideMark/>
          </w:tcPr>
          <w:p w14:paraId="27FB0C14" w14:textId="77777777" w:rsidR="00852A1F" w:rsidRPr="00852A1F" w:rsidRDefault="00000000" w:rsidP="00852A1F">
            <w:pPr>
              <w:tabs>
                <w:tab w:val="left" w:pos="851"/>
              </w:tabs>
              <w:ind w:left="-57" w:right="-57"/>
              <w:jc w:val="right"/>
              <w:rPr>
                <w:rFonts w:ascii="Times New Roman" w:hAnsi="Times New Roman"/>
                <w:sz w:val="24"/>
                <w:szCs w:val="24"/>
              </w:rPr>
            </w:pPr>
            <w:r w:rsidRPr="00852A1F">
              <w:rPr>
                <w:rFonts w:ascii="Times New Roman" w:hAnsi="Times New Roman"/>
                <w:sz w:val="24"/>
                <w:szCs w:val="24"/>
              </w:rPr>
              <w:t>146,1</w:t>
            </w:r>
          </w:p>
        </w:tc>
      </w:tr>
    </w:tbl>
    <w:p w14:paraId="75FC0CC7" w14:textId="77777777" w:rsidR="00852A1F" w:rsidRPr="00852A1F" w:rsidRDefault="00852A1F" w:rsidP="00852A1F">
      <w:pPr>
        <w:tabs>
          <w:tab w:val="left" w:pos="851"/>
        </w:tabs>
        <w:spacing w:after="0" w:line="240" w:lineRule="auto"/>
        <w:rPr>
          <w:rFonts w:ascii="Times New Roman" w:eastAsia="Calibri" w:hAnsi="Times New Roman" w:cs="Times New Roman"/>
          <w:b/>
          <w:bCs/>
          <w:kern w:val="2"/>
          <w:sz w:val="28"/>
          <w:szCs w:val="28"/>
          <w:lang w:eastAsia="en-US"/>
          <w14:ligatures w14:val="standardContextual"/>
        </w:rPr>
      </w:pPr>
    </w:p>
    <w:p w14:paraId="61831937" w14:textId="77777777" w:rsid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Імпорт устаткування й обладнання</w:t>
      </w:r>
    </w:p>
    <w:p w14:paraId="7D6B349C" w14:textId="77777777" w:rsidR="0049496F" w:rsidRPr="00852A1F" w:rsidRDefault="0049496F"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14:paraId="14CE3884" w14:textId="77777777" w:rsid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Відповідно до частини шостої статті 287 Митного кодексу України, при ввезенні нового устаткування (обладнання) та комплектуючих виробів для нього за визначеними кодами УКТ ЗЕД учасники індустріальних парків звільняються від сплати мита. </w:t>
      </w:r>
    </w:p>
    <w:p w14:paraId="465ACC89" w14:textId="77777777" w:rsidR="0049496F" w:rsidRPr="00852A1F" w:rsidRDefault="0049496F"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24658088" w14:textId="77777777" w:rsid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Таке звільнення надається за умови, якщо зазначене устаткування (обладнання) та комплектуючі вироби до нього:</w:t>
      </w:r>
    </w:p>
    <w:p w14:paraId="6500B64C" w14:textId="77777777" w:rsidR="0049496F" w:rsidRPr="00852A1F" w:rsidRDefault="0049496F"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675E7A18" w14:textId="77777777" w:rsidR="00852A1F" w:rsidRDefault="00000000" w:rsidP="00852A1F">
      <w:pPr>
        <w:numPr>
          <w:ilvl w:val="0"/>
          <w:numId w:val="8"/>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 xml:space="preserve">є новими (з дати виготовлення до дати ввезення на митну територію України пройшло не більше трьох років); </w:t>
      </w:r>
    </w:p>
    <w:p w14:paraId="2E7EC78E" w14:textId="77777777" w:rsidR="0049496F" w:rsidRPr="00852A1F" w:rsidRDefault="0049496F" w:rsidP="0049496F">
      <w:pPr>
        <w:tabs>
          <w:tab w:val="left" w:pos="851"/>
        </w:tabs>
        <w:spacing w:after="0" w:line="240" w:lineRule="auto"/>
        <w:ind w:left="567"/>
        <w:contextualSpacing/>
        <w:jc w:val="both"/>
        <w:rPr>
          <w:rFonts w:ascii="Times New Roman" w:eastAsia="Times New Roman" w:hAnsi="Times New Roman" w:cs="Times New Roman"/>
          <w:sz w:val="28"/>
          <w:szCs w:val="28"/>
        </w:rPr>
      </w:pPr>
    </w:p>
    <w:p w14:paraId="50BA6E73" w14:textId="77777777" w:rsidR="0049496F" w:rsidRDefault="00000000" w:rsidP="0049496F">
      <w:pPr>
        <w:numPr>
          <w:ilvl w:val="0"/>
          <w:numId w:val="8"/>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 xml:space="preserve">не були у використанні; </w:t>
      </w:r>
    </w:p>
    <w:p w14:paraId="1B2BFFC8" w14:textId="77777777" w:rsidR="0049496F" w:rsidRPr="0049496F" w:rsidRDefault="0049496F" w:rsidP="0049496F">
      <w:pPr>
        <w:tabs>
          <w:tab w:val="left" w:pos="851"/>
        </w:tabs>
        <w:spacing w:after="0" w:line="240" w:lineRule="auto"/>
        <w:contextualSpacing/>
        <w:jc w:val="both"/>
        <w:rPr>
          <w:rFonts w:ascii="Times New Roman" w:eastAsia="Times New Roman" w:hAnsi="Times New Roman" w:cs="Times New Roman"/>
          <w:sz w:val="28"/>
          <w:szCs w:val="28"/>
        </w:rPr>
      </w:pPr>
    </w:p>
    <w:p w14:paraId="02005282" w14:textId="77777777" w:rsidR="00852A1F" w:rsidRDefault="00000000" w:rsidP="00852A1F">
      <w:pPr>
        <w:numPr>
          <w:ilvl w:val="0"/>
          <w:numId w:val="8"/>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 xml:space="preserve">ввозяться учасниками індустріальних парків виключно для власного використання на території (у межах) індустріального парку без права відчуження, передання в оренду, лізинг чи інше право користування третім особам на будь-яких умовах раніше п’яти років з дати їх ввезення на митну територію України; </w:t>
      </w:r>
    </w:p>
    <w:p w14:paraId="6169F734" w14:textId="77777777" w:rsidR="0049496F" w:rsidRPr="00852A1F" w:rsidRDefault="0049496F" w:rsidP="0049496F">
      <w:pPr>
        <w:tabs>
          <w:tab w:val="left" w:pos="851"/>
        </w:tabs>
        <w:spacing w:after="0" w:line="240" w:lineRule="auto"/>
        <w:contextualSpacing/>
        <w:jc w:val="both"/>
        <w:rPr>
          <w:rFonts w:ascii="Times New Roman" w:eastAsia="Times New Roman" w:hAnsi="Times New Roman" w:cs="Times New Roman"/>
          <w:sz w:val="28"/>
          <w:szCs w:val="28"/>
        </w:rPr>
      </w:pPr>
    </w:p>
    <w:p w14:paraId="393D65A7" w14:textId="77777777" w:rsidR="00852A1F" w:rsidRPr="00852A1F" w:rsidRDefault="00000000" w:rsidP="00852A1F">
      <w:pPr>
        <w:numPr>
          <w:ilvl w:val="0"/>
          <w:numId w:val="8"/>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852A1F">
        <w:rPr>
          <w:rFonts w:ascii="Times New Roman" w:eastAsia="Times New Roman" w:hAnsi="Times New Roman" w:cs="Times New Roman"/>
          <w:sz w:val="28"/>
          <w:szCs w:val="28"/>
        </w:rPr>
        <w:t>не мають походження з країни, визнаної державою-окупантом згідно із законом та/або державою-агресором щодо України згідно із законодавством, та/або не ввозяться з території держави-окупанта (агресора) та/або з окупованої території України, визначеної такою згідно із законом.</w:t>
      </w:r>
    </w:p>
    <w:p w14:paraId="03718765" w14:textId="77777777" w:rsidR="0049496F" w:rsidRDefault="0049496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563EB5C"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За інформацією від інвестиційних проєктів потенційних учасників індустріального парку, орієнтовна вартість імпортного обладнання, яке вони планують придбати для розгортання економічної діяльності в межах парку, </w:t>
      </w:r>
      <w:r w:rsidRPr="00852A1F">
        <w:rPr>
          <w:rFonts w:ascii="Times New Roman" w:eastAsia="Calibri" w:hAnsi="Times New Roman" w:cs="Times New Roman"/>
          <w:kern w:val="2"/>
          <w:sz w:val="28"/>
          <w:szCs w:val="28"/>
          <w:lang w:eastAsia="en-US"/>
          <w14:ligatures w14:val="standardContextual"/>
        </w:rPr>
        <w:lastRenderedPageBreak/>
        <w:t xml:space="preserve">сягає 420,0 млн грн. Серед імпортованого устаткування і обладнання для організації господарської діяльності в межах індустріального парку 41% (172,2 млн грн) закуповуватиметься з країн-членів ЄС. Відповідно до Угоди про поглиблену та всеосяжну зону вільної торгівлі між Україною та ЄС, ставки ввізних мит в Україні на майже всі промислові товари, що імпортуються з ЄС, встановлені на нульовому рівні. Таким чином, цей імпорт не потребуватиме преференції зі звільнення від сплати ввізного мита. </w:t>
      </w:r>
    </w:p>
    <w:p w14:paraId="5548EEB4"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На стадії ратифікації перебуває угода про вільну торгівлю між Україною і Туреччиною, підписана у лютому 2022 р. Відтак очікуваний імпорт турецького обладнання на суму 138,6 млн грн для здійснення господарської діяльності учасників індустріального парку також, імовірно, не обкладатиметься митом.</w:t>
      </w:r>
    </w:p>
    <w:p w14:paraId="69FA57C3"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Разом з цим очікується придбання обладнання з Китаю на суму 109,2 млн грн, з яким Україна не має жодних угод про преференції в торгівлі, а отже товари з якого обкладатимуться ввізним мито на загальних підставах. Відповідно до Закону України “Про Митний тариф України” ставки ввізних мит на товарні групи, що постачатимуться з Китаю для господарської діяльності на території індустріального парку, встановлені на рівні 0,5–15%. Середньозважена ставка мита на імпортне китайське обладнання з для індустріального парку оцінена у 8,6% від задекларованої вартості продукції. Таким чином, вартісний обсяг очікуваної преференції для учасників ІП зі звільнення від сплати ввізного мита оцінюється у близько 9,39 млн грн.</w:t>
      </w:r>
    </w:p>
    <w:p w14:paraId="4405D504"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Використання учасниками ІП преференції зі звільнення від сплати ввізного мита буде відбуватися у міру придбання та ввезення на митну територію України імпортного обладнання з країн, щодо яких встановлені ввізні мита на відповідну продукцію, для запуску та розширення господарської діяльності в рамках ІП. Беручи до уваги попередні плани учасників ІП щодо з придбання та ввезення відповідної продукції, очікуваний розподіл використання преференції протягом аналізованого періоду матиме наступний вигляд: 3,2 млн грн у 2029 р.; 2,8 млн грн у 2030 р.; 1,7 млн грн у 2031 р.; 0,8 млн грн у 2032 р.; 0,4 млн грн у 2033 р.; 0,3 млн грн у 2034 р.; 0,2 млн грн у 2035 р.</w:t>
      </w:r>
    </w:p>
    <w:p w14:paraId="2EC9D9FD"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Поряд з цим, відповідно до статті 197 Податкового кодексу України, звільняються від оподаткування ПДВ операції з ввезення на митну територію України у митному режимі імпорту нового устаткування (обладнання) та комплектуючих виробів до нього, визначені частиною шостою статті 287 Митного кодексу України, що ввозяться учасниками індустріальних парків виключно для власного використання для здійснення ними діяльності у сферах переробної промисловості, у сфері збирання, оброблення й видалення відходів, відновлення матеріалів на території (в межах) індустріального парку (без права надання в оренду, лізинг чи передачу в користування третім особам на будь-яких інших умовах), за умови, що з дати виготовлення устаткування (обладнання) та комплектуючих виробів до нього до дати їх ввезення на митну територію України пройшло не більше трьох років і вони не були у використанні.</w:t>
      </w:r>
    </w:p>
    <w:p w14:paraId="10BC8918"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lastRenderedPageBreak/>
        <w:t>Виходячи з наведених вище розрахунків, обсяг преференції для учасників ІП зі звільнення від сплати імпортного ПДВ на нове устаткування й обладнання оцінюється у 70 млн грн.</w:t>
      </w:r>
    </w:p>
    <w:p w14:paraId="2BE40A74" w14:textId="77777777" w:rsidR="00852A1F" w:rsidRDefault="00000000" w:rsidP="00E27A66">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Використання учасниками ІП преференції зі звільнення від сплати імпортного ПДВ буде відбуватися у міру придбання та ввезення на митну територію України імпортного обладнання для запуску та розширення господарської діяльності в рамках ІП. Беручи до уваги попередні плани учасників ІП щодо з придбання та ввезення відповідної продукції, очікуваний розподіл використання преференції протягом аналізованого періоду матиме наступний вигляд: 38,3 млн грн у 2029 р.; 18,5 млн грн у 2030 р.; 4,9 млн грн у 2031 р.; 4,0 млн грн у 2032 р.; 3,1 млн грн у 2033 р.; 0,7 млн грн у 2034 р.; 0,5 млн грн у 2035 р.</w:t>
      </w:r>
    </w:p>
    <w:p w14:paraId="6671C879" w14:textId="77777777" w:rsidR="0049496F" w:rsidRPr="00E27A66" w:rsidRDefault="0049496F" w:rsidP="00E27A66">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624BCF9" w14:textId="77777777" w:rsid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Плата за землю і податок на нерухоме майно, відмінне від земельної ділянки</w:t>
      </w:r>
    </w:p>
    <w:p w14:paraId="3A726F54" w14:textId="77777777" w:rsidR="0049496F" w:rsidRPr="00852A1F" w:rsidRDefault="0049496F"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14:paraId="5325BF4F"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Згідно Договору оренди, укладеному між Броварською міською радою Броварського району Київської області та ТОВ «АТОМІС» від «23» вересня 2025 року, земельна ділянка передана у строкове платне користування терміном на 35 років, орендна плата за ділянку становить 2 520 000 грн. на рік.</w:t>
      </w:r>
    </w:p>
    <w:p w14:paraId="6A2912B6"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Ставку орендної плати, зазначену в Договорі оренди, визначено за результатом торгів. Відповідно до статті 23 Закону України "Про оренду землі" (зі змінами) орендна плата за земельні ділянки, що перебувають у власності фізичних та юридичних осіб, переглядається за згодою сторін. Плата за земельні ділянки державної та комунальної власності, передані в оренду на земельних торгах, не може бути зменшена за згодою сторін протягом строку дії договору оренди, а також у разі його поновлення (крім випадків консервації таких земельних ділянок, а також визнання земельних ділянок забрудненими (потенційно забрудненими) вибухонебезпечними предметами).</w:t>
      </w:r>
    </w:p>
    <w:p w14:paraId="44BFC83A"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Згідно з пунктом 289.1 статті 289 Податкового кодексу України, для визначення розміру плати за землю використовується нормативна грошова оцінка земельних ділянок з урахуван</w:t>
      </w:r>
      <w:r w:rsidRPr="00852A1F">
        <w:rPr>
          <w:rFonts w:ascii="Times New Roman" w:eastAsia="Calibri" w:hAnsi="Times New Roman" w:cs="Times New Roman"/>
          <w:kern w:val="2"/>
          <w:sz w:val="28"/>
          <w:szCs w:val="28"/>
          <w:lang w:eastAsia="en-US"/>
          <w14:ligatures w14:val="standardContextual"/>
        </w:rPr>
        <w:softHyphen/>
        <w:t xml:space="preserve">ням коефіцієнта індексації, визначеного відповідно до законодавства. Середнє значення коефіцієнту індексації нормативної грошової оцінки для земель несільськогосподарського призначення протягом 2021–2025 років в Україні становило </w:t>
      </w:r>
      <w:r w:rsidRPr="00852A1F">
        <w:rPr>
          <w:rFonts w:ascii="Times New Roman" w:eastAsia="Calibri" w:hAnsi="Times New Roman" w:cs="Times New Roman"/>
          <w:b/>
          <w:bCs/>
          <w:kern w:val="2"/>
          <w:sz w:val="28"/>
          <w:szCs w:val="28"/>
          <w:lang w:eastAsia="en-US"/>
          <w14:ligatures w14:val="standardContextual"/>
        </w:rPr>
        <w:t>1,1</w:t>
      </w:r>
      <w:r w:rsidRPr="00852A1F">
        <w:rPr>
          <w:rFonts w:ascii="Times New Roman" w:eastAsia="Calibri" w:hAnsi="Times New Roman" w:cs="Times New Roman"/>
          <w:kern w:val="2"/>
          <w:sz w:val="28"/>
          <w:szCs w:val="28"/>
          <w:lang w:eastAsia="en-US"/>
          <w14:ligatures w14:val="standardContextual"/>
        </w:rPr>
        <w:t xml:space="preserve"> (зокрема, 1,1 – за 2021 р.; 1,15 – за 2022 р.; 1,051 – за 2023 р.; 1,12 – за 2024 р.; 1,08 – за 2025 рік). Відтак оціночні обсяги сплати орендної плати за землю у 2029–2035 рр., скориговані на коефіцієнт індексації, складуть: 3,7 млн грн у 2029 р.; 4,1 млн грн у 2030 р.; 4,5 млн грн у 2031 р.; 4,9 млн грн у 2032 р.; 5,4 млн грн у 2033 р.; 5,9 млн грн у 2034 р.; 6,5 млн грн у 2035 р.</w:t>
      </w:r>
    </w:p>
    <w:p w14:paraId="0C71396E" w14:textId="77777777" w:rsid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Загальний обсяг сплати орендної плати за землю протягом 2029–2035 рр. оцінюється у 35,05 млн грн.</w:t>
      </w:r>
    </w:p>
    <w:p w14:paraId="6EB4FB10" w14:textId="77777777" w:rsidR="0049496F" w:rsidRDefault="0049496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3010874E" w14:textId="77777777" w:rsidR="0049496F" w:rsidRPr="00852A1F" w:rsidRDefault="0049496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052383CC" w14:textId="77777777" w:rsidR="00852A1F" w:rsidRPr="00852A1F" w:rsidRDefault="00000000" w:rsidP="00852A1F">
      <w:pPr>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lastRenderedPageBreak/>
        <w:t>Експортна діяльність</w:t>
      </w:r>
    </w:p>
    <w:p w14:paraId="3E83CF06"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Бізнес-модель перспективних учасників ІП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передбачає першочергову орієнтованість на внутрішній ринок збуту, зокрема шляхом заміщення імпорту продукції, що вироблятиметься на території індустріального парку. Таким чином, на початковому етапі свого функціонування й у середньостроковому періоді експортні операції учасників парку матимуть епізодичний характер. Натомість сприяння експортній діяльності в регіоні та країні в цілому відбуватиметься опосередковано шляхом постачання виготовленої в індустріальному парку продукції (вузлів, обладнання, засобів виробництва, послуг) іншим суб’єктам господарювання у суміжних галузях, що посилюватиме їхню конкурентоспроможність на міжнародних ринках. Відповідні макроекономічні ефекти реалізації проєкту індустріального парку обґрунтовані та оцінені у Розділі 12 Концепції. У довгостроковій перспективі можливе розширення експортної діяльності індустріального парку у разі залучення нових учасників.</w:t>
      </w:r>
    </w:p>
    <w:p w14:paraId="61A9EF92" w14:textId="77777777" w:rsid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Відповідно до чинного законодавства, в Україні не встановлено вивізні (експортні) мита на продукцію і послуги, які вироблятимуться в межах індустріального парку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згідно його функціонального призначення (див. Розділ 3). Отже, у даному контексті наявність або відсутність експортної діяльності учасників ІП не матиме ефекту на доходи державного або місцевих бюджетів.</w:t>
      </w:r>
    </w:p>
    <w:p w14:paraId="4F589E70" w14:textId="77777777" w:rsidR="0049496F" w:rsidRPr="00852A1F" w:rsidRDefault="0049496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15C305D5" w14:textId="77777777" w:rsidR="00852A1F" w:rsidRPr="00852A1F" w:rsidRDefault="00000000" w:rsidP="00852A1F">
      <w:pPr>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Узагальнений фіскальний ефект</w:t>
      </w:r>
    </w:p>
    <w:p w14:paraId="75C3795E"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Підсумовуючи усе зазначене вище, було проведено попередній розрахунок усіх податків, зборів та нарахувань, які буде отримано бюджетами усіх рівнів у період 2029–2035 років від реалізації проєкту індустріального парку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Поряд з цим наведено обсяги податкових преференцій, які буде надано учасникам парку, та здійснено порівняльний аналіз відповідних надходжень та пільг (табл. 20).</w:t>
      </w:r>
    </w:p>
    <w:p w14:paraId="671405CE" w14:textId="77777777" w:rsidR="00852A1F" w:rsidRPr="00852A1F" w:rsidRDefault="00000000" w:rsidP="00852A1F">
      <w:pPr>
        <w:tabs>
          <w:tab w:val="left" w:pos="851"/>
        </w:tabs>
        <w:spacing w:after="0" w:line="240" w:lineRule="auto"/>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20.</w:t>
      </w:r>
      <w:r w:rsidRPr="00852A1F">
        <w:rPr>
          <w:rFonts w:ascii="Times New Roman" w:eastAsia="Calibri" w:hAnsi="Times New Roman" w:cs="Times New Roman"/>
          <w:kern w:val="2"/>
          <w:sz w:val="28"/>
          <w:szCs w:val="28"/>
          <w:lang w:eastAsia="en-US"/>
          <w14:ligatures w14:val="standardContextual"/>
        </w:rPr>
        <w:t xml:space="preserve"> Попередні оцінки податкових відрахувань та пільг для учасників та інших суб’єктів  ІП «БУДШЛЯХМАШ»</w:t>
      </w:r>
    </w:p>
    <w:p w14:paraId="062F9704" w14:textId="77777777" w:rsidR="00852A1F" w:rsidRPr="00852A1F" w:rsidRDefault="00000000" w:rsidP="00852A1F">
      <w:pPr>
        <w:tabs>
          <w:tab w:val="left" w:pos="851"/>
        </w:tabs>
        <w:spacing w:after="0" w:line="240" w:lineRule="auto"/>
        <w:jc w:val="right"/>
        <w:rPr>
          <w:rFonts w:ascii="Times New Roman" w:eastAsia="Calibri" w:hAnsi="Times New Roman" w:cs="Times New Roman"/>
          <w:i/>
          <w:iCs/>
          <w:kern w:val="2"/>
          <w:sz w:val="28"/>
          <w:szCs w:val="28"/>
          <w:lang w:eastAsia="en-US"/>
          <w14:ligatures w14:val="standardContextual"/>
        </w:rPr>
      </w:pPr>
      <w:r w:rsidRPr="00852A1F">
        <w:rPr>
          <w:rFonts w:ascii="Times New Roman" w:eastAsia="Calibri" w:hAnsi="Times New Roman" w:cs="Times New Roman"/>
          <w:i/>
          <w:iCs/>
          <w:kern w:val="2"/>
          <w:sz w:val="28"/>
          <w:szCs w:val="28"/>
          <w:lang w:eastAsia="en-US"/>
          <w14:ligatures w14:val="standardContextual"/>
        </w:rPr>
        <w:t>(млн грн)</w:t>
      </w:r>
    </w:p>
    <w:tbl>
      <w:tblPr>
        <w:tblW w:w="9825" w:type="dxa"/>
        <w:tblInd w:w="93" w:type="dxa"/>
        <w:tblLayout w:type="fixed"/>
        <w:tblLook w:val="04A0" w:firstRow="1" w:lastRow="0" w:firstColumn="1" w:lastColumn="0" w:noHBand="0" w:noVBand="1"/>
      </w:tblPr>
      <w:tblGrid>
        <w:gridCol w:w="1862"/>
        <w:gridCol w:w="961"/>
        <w:gridCol w:w="960"/>
        <w:gridCol w:w="960"/>
        <w:gridCol w:w="960"/>
        <w:gridCol w:w="960"/>
        <w:gridCol w:w="960"/>
        <w:gridCol w:w="1067"/>
        <w:gridCol w:w="1135"/>
      </w:tblGrid>
      <w:tr w:rsidR="00F37DCB" w14:paraId="79A41FCA" w14:textId="77777777" w:rsidTr="00852A1F">
        <w:trPr>
          <w:trHeight w:val="588"/>
        </w:trPr>
        <w:tc>
          <w:tcPr>
            <w:tcW w:w="1860" w:type="dxa"/>
            <w:tcBorders>
              <w:top w:val="single" w:sz="8" w:space="0" w:color="auto"/>
              <w:left w:val="single" w:sz="8" w:space="0" w:color="auto"/>
              <w:bottom w:val="single" w:sz="8" w:space="0" w:color="auto"/>
              <w:right w:val="single" w:sz="8" w:space="0" w:color="auto"/>
            </w:tcBorders>
            <w:shd w:val="clear" w:color="auto" w:fill="809EC2"/>
            <w:vAlign w:val="center"/>
            <w:hideMark/>
          </w:tcPr>
          <w:p w14:paraId="6AC12C7F"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Показники</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14:paraId="0FD4FF3F"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2029</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14:paraId="7950D811"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2030</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14:paraId="2D7E0F9E"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2031</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14:paraId="5829FB96"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2032</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14:paraId="5DA58581"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2033</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14:paraId="31FF81CD"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2034</w:t>
            </w:r>
          </w:p>
        </w:tc>
        <w:tc>
          <w:tcPr>
            <w:tcW w:w="1066" w:type="dxa"/>
            <w:tcBorders>
              <w:top w:val="single" w:sz="8" w:space="0" w:color="auto"/>
              <w:left w:val="nil"/>
              <w:bottom w:val="single" w:sz="8" w:space="0" w:color="auto"/>
              <w:right w:val="single" w:sz="8" w:space="0" w:color="auto"/>
            </w:tcBorders>
            <w:shd w:val="clear" w:color="auto" w:fill="809EC2"/>
            <w:vAlign w:val="center"/>
            <w:hideMark/>
          </w:tcPr>
          <w:p w14:paraId="32236A71"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2035</w:t>
            </w:r>
          </w:p>
        </w:tc>
        <w:tc>
          <w:tcPr>
            <w:tcW w:w="1134" w:type="dxa"/>
            <w:tcBorders>
              <w:top w:val="single" w:sz="8" w:space="0" w:color="auto"/>
              <w:left w:val="nil"/>
              <w:bottom w:val="single" w:sz="8" w:space="0" w:color="auto"/>
              <w:right w:val="single" w:sz="8" w:space="0" w:color="auto"/>
            </w:tcBorders>
            <w:shd w:val="clear" w:color="auto" w:fill="809EC2"/>
            <w:vAlign w:val="center"/>
            <w:hideMark/>
          </w:tcPr>
          <w:p w14:paraId="13B74A25"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Всього</w:t>
            </w:r>
          </w:p>
        </w:tc>
      </w:tr>
      <w:tr w:rsidR="00F37DCB" w14:paraId="3434B01A" w14:textId="77777777" w:rsidTr="00852A1F">
        <w:trPr>
          <w:trHeight w:val="300"/>
        </w:trPr>
        <w:tc>
          <w:tcPr>
            <w:tcW w:w="9820" w:type="dxa"/>
            <w:gridSpan w:val="9"/>
            <w:tcBorders>
              <w:top w:val="single" w:sz="8" w:space="0" w:color="auto"/>
              <w:left w:val="single" w:sz="8" w:space="0" w:color="auto"/>
              <w:bottom w:val="single" w:sz="8" w:space="0" w:color="auto"/>
              <w:right w:val="single" w:sz="8" w:space="0" w:color="000000"/>
            </w:tcBorders>
            <w:vAlign w:val="center"/>
            <w:hideMark/>
          </w:tcPr>
          <w:p w14:paraId="28648AFC"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Податкові й інші надходження</w:t>
            </w:r>
          </w:p>
        </w:tc>
      </w:tr>
      <w:tr w:rsidR="00F37DCB" w14:paraId="061A2665"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6454A504"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ПДВ</w:t>
            </w:r>
          </w:p>
        </w:tc>
        <w:tc>
          <w:tcPr>
            <w:tcW w:w="960" w:type="dxa"/>
            <w:tcBorders>
              <w:top w:val="nil"/>
              <w:left w:val="nil"/>
              <w:bottom w:val="single" w:sz="8" w:space="0" w:color="auto"/>
              <w:right w:val="single" w:sz="8" w:space="0" w:color="auto"/>
            </w:tcBorders>
            <w:vAlign w:val="center"/>
            <w:hideMark/>
          </w:tcPr>
          <w:p w14:paraId="1E4B86E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283,0</w:t>
            </w:r>
          </w:p>
        </w:tc>
        <w:tc>
          <w:tcPr>
            <w:tcW w:w="960" w:type="dxa"/>
            <w:tcBorders>
              <w:top w:val="nil"/>
              <w:left w:val="nil"/>
              <w:bottom w:val="single" w:sz="8" w:space="0" w:color="auto"/>
              <w:right w:val="single" w:sz="8" w:space="0" w:color="auto"/>
            </w:tcBorders>
            <w:vAlign w:val="center"/>
            <w:hideMark/>
          </w:tcPr>
          <w:p w14:paraId="5283672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388,2</w:t>
            </w:r>
          </w:p>
        </w:tc>
        <w:tc>
          <w:tcPr>
            <w:tcW w:w="960" w:type="dxa"/>
            <w:tcBorders>
              <w:top w:val="nil"/>
              <w:left w:val="nil"/>
              <w:bottom w:val="single" w:sz="8" w:space="0" w:color="auto"/>
              <w:right w:val="single" w:sz="8" w:space="0" w:color="auto"/>
            </w:tcBorders>
            <w:vAlign w:val="center"/>
            <w:hideMark/>
          </w:tcPr>
          <w:p w14:paraId="1619C44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533,2</w:t>
            </w:r>
          </w:p>
        </w:tc>
        <w:tc>
          <w:tcPr>
            <w:tcW w:w="960" w:type="dxa"/>
            <w:tcBorders>
              <w:top w:val="nil"/>
              <w:left w:val="nil"/>
              <w:bottom w:val="single" w:sz="8" w:space="0" w:color="auto"/>
              <w:right w:val="single" w:sz="8" w:space="0" w:color="auto"/>
            </w:tcBorders>
            <w:vAlign w:val="center"/>
            <w:hideMark/>
          </w:tcPr>
          <w:p w14:paraId="758A86B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554,5</w:t>
            </w:r>
          </w:p>
        </w:tc>
        <w:tc>
          <w:tcPr>
            <w:tcW w:w="960" w:type="dxa"/>
            <w:tcBorders>
              <w:top w:val="nil"/>
              <w:left w:val="nil"/>
              <w:bottom w:val="single" w:sz="8" w:space="0" w:color="auto"/>
              <w:right w:val="single" w:sz="8" w:space="0" w:color="auto"/>
            </w:tcBorders>
            <w:vAlign w:val="center"/>
            <w:hideMark/>
          </w:tcPr>
          <w:p w14:paraId="5E600967"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576,7</w:t>
            </w:r>
          </w:p>
        </w:tc>
        <w:tc>
          <w:tcPr>
            <w:tcW w:w="960" w:type="dxa"/>
            <w:tcBorders>
              <w:top w:val="nil"/>
              <w:left w:val="nil"/>
              <w:bottom w:val="single" w:sz="8" w:space="0" w:color="auto"/>
              <w:right w:val="single" w:sz="8" w:space="0" w:color="auto"/>
            </w:tcBorders>
            <w:vAlign w:val="center"/>
            <w:hideMark/>
          </w:tcPr>
          <w:p w14:paraId="2555A14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599,7</w:t>
            </w:r>
          </w:p>
        </w:tc>
        <w:tc>
          <w:tcPr>
            <w:tcW w:w="1066" w:type="dxa"/>
            <w:tcBorders>
              <w:top w:val="nil"/>
              <w:left w:val="nil"/>
              <w:bottom w:val="single" w:sz="8" w:space="0" w:color="auto"/>
              <w:right w:val="single" w:sz="8" w:space="0" w:color="auto"/>
            </w:tcBorders>
            <w:vAlign w:val="center"/>
            <w:hideMark/>
          </w:tcPr>
          <w:p w14:paraId="61196ACC"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623,7</w:t>
            </w:r>
          </w:p>
        </w:tc>
        <w:tc>
          <w:tcPr>
            <w:tcW w:w="1134" w:type="dxa"/>
            <w:tcBorders>
              <w:top w:val="nil"/>
              <w:left w:val="nil"/>
              <w:bottom w:val="single" w:sz="8" w:space="0" w:color="auto"/>
              <w:right w:val="single" w:sz="8" w:space="0" w:color="auto"/>
            </w:tcBorders>
            <w:vAlign w:val="center"/>
            <w:hideMark/>
          </w:tcPr>
          <w:p w14:paraId="272308E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val="ru-RU" w:eastAsia="ru-RU"/>
              </w:rPr>
              <w:t>3559,0</w:t>
            </w:r>
          </w:p>
        </w:tc>
      </w:tr>
      <w:tr w:rsidR="00F37DCB" w14:paraId="0448C7E0" w14:textId="77777777" w:rsidTr="00852A1F">
        <w:trPr>
          <w:trHeight w:val="588"/>
        </w:trPr>
        <w:tc>
          <w:tcPr>
            <w:tcW w:w="1860" w:type="dxa"/>
            <w:tcBorders>
              <w:top w:val="nil"/>
              <w:left w:val="single" w:sz="8" w:space="0" w:color="auto"/>
              <w:bottom w:val="single" w:sz="8" w:space="0" w:color="auto"/>
              <w:right w:val="single" w:sz="8" w:space="0" w:color="auto"/>
            </w:tcBorders>
            <w:vAlign w:val="center"/>
            <w:hideMark/>
          </w:tcPr>
          <w:p w14:paraId="343FB04E"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Податок на прибуток</w:t>
            </w:r>
          </w:p>
        </w:tc>
        <w:tc>
          <w:tcPr>
            <w:tcW w:w="960" w:type="dxa"/>
            <w:tcBorders>
              <w:top w:val="nil"/>
              <w:left w:val="nil"/>
              <w:bottom w:val="single" w:sz="8" w:space="0" w:color="auto"/>
              <w:right w:val="single" w:sz="8" w:space="0" w:color="auto"/>
            </w:tcBorders>
            <w:vAlign w:val="center"/>
            <w:hideMark/>
          </w:tcPr>
          <w:p w14:paraId="0A5B825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0,0</w:t>
            </w:r>
          </w:p>
        </w:tc>
        <w:tc>
          <w:tcPr>
            <w:tcW w:w="960" w:type="dxa"/>
            <w:tcBorders>
              <w:top w:val="nil"/>
              <w:left w:val="nil"/>
              <w:bottom w:val="single" w:sz="8" w:space="0" w:color="auto"/>
              <w:right w:val="single" w:sz="8" w:space="0" w:color="auto"/>
            </w:tcBorders>
            <w:vAlign w:val="center"/>
            <w:hideMark/>
          </w:tcPr>
          <w:p w14:paraId="73A433EC"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5,2</w:t>
            </w:r>
          </w:p>
        </w:tc>
        <w:tc>
          <w:tcPr>
            <w:tcW w:w="960" w:type="dxa"/>
            <w:tcBorders>
              <w:top w:val="nil"/>
              <w:left w:val="nil"/>
              <w:bottom w:val="single" w:sz="8" w:space="0" w:color="auto"/>
              <w:right w:val="single" w:sz="8" w:space="0" w:color="auto"/>
            </w:tcBorders>
            <w:vAlign w:val="center"/>
            <w:hideMark/>
          </w:tcPr>
          <w:p w14:paraId="7D68C94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12,3</w:t>
            </w:r>
          </w:p>
        </w:tc>
        <w:tc>
          <w:tcPr>
            <w:tcW w:w="960" w:type="dxa"/>
            <w:tcBorders>
              <w:top w:val="nil"/>
              <w:left w:val="nil"/>
              <w:bottom w:val="single" w:sz="8" w:space="0" w:color="auto"/>
              <w:right w:val="single" w:sz="8" w:space="0" w:color="auto"/>
            </w:tcBorders>
            <w:vAlign w:val="center"/>
            <w:hideMark/>
          </w:tcPr>
          <w:p w14:paraId="37FEECB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12,8</w:t>
            </w:r>
          </w:p>
        </w:tc>
        <w:tc>
          <w:tcPr>
            <w:tcW w:w="960" w:type="dxa"/>
            <w:tcBorders>
              <w:top w:val="nil"/>
              <w:left w:val="nil"/>
              <w:bottom w:val="single" w:sz="8" w:space="0" w:color="auto"/>
              <w:right w:val="single" w:sz="8" w:space="0" w:color="auto"/>
            </w:tcBorders>
            <w:vAlign w:val="center"/>
            <w:hideMark/>
          </w:tcPr>
          <w:p w14:paraId="49CC9B7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13,3</w:t>
            </w:r>
          </w:p>
        </w:tc>
        <w:tc>
          <w:tcPr>
            <w:tcW w:w="960" w:type="dxa"/>
            <w:tcBorders>
              <w:top w:val="nil"/>
              <w:left w:val="nil"/>
              <w:bottom w:val="single" w:sz="8" w:space="0" w:color="auto"/>
              <w:right w:val="single" w:sz="8" w:space="0" w:color="auto"/>
            </w:tcBorders>
            <w:vAlign w:val="center"/>
            <w:hideMark/>
          </w:tcPr>
          <w:p w14:paraId="49754D1E"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13,8</w:t>
            </w:r>
          </w:p>
        </w:tc>
        <w:tc>
          <w:tcPr>
            <w:tcW w:w="1066" w:type="dxa"/>
            <w:tcBorders>
              <w:top w:val="nil"/>
              <w:left w:val="nil"/>
              <w:bottom w:val="single" w:sz="8" w:space="0" w:color="auto"/>
              <w:right w:val="single" w:sz="8" w:space="0" w:color="auto"/>
            </w:tcBorders>
            <w:vAlign w:val="center"/>
            <w:hideMark/>
          </w:tcPr>
          <w:p w14:paraId="341C61C6"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14,4</w:t>
            </w:r>
          </w:p>
        </w:tc>
        <w:tc>
          <w:tcPr>
            <w:tcW w:w="1134" w:type="dxa"/>
            <w:tcBorders>
              <w:top w:val="nil"/>
              <w:left w:val="nil"/>
              <w:bottom w:val="single" w:sz="8" w:space="0" w:color="auto"/>
              <w:right w:val="single" w:sz="8" w:space="0" w:color="auto"/>
            </w:tcBorders>
            <w:vAlign w:val="center"/>
            <w:hideMark/>
          </w:tcPr>
          <w:p w14:paraId="3FDFB5A8"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71,8</w:t>
            </w:r>
          </w:p>
        </w:tc>
      </w:tr>
      <w:tr w:rsidR="00F37DCB" w14:paraId="14AD9F3A"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772887AE"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ПДФО</w:t>
            </w:r>
          </w:p>
        </w:tc>
        <w:tc>
          <w:tcPr>
            <w:tcW w:w="960" w:type="dxa"/>
            <w:tcBorders>
              <w:top w:val="nil"/>
              <w:left w:val="nil"/>
              <w:bottom w:val="single" w:sz="8" w:space="0" w:color="auto"/>
              <w:right w:val="single" w:sz="8" w:space="0" w:color="auto"/>
            </w:tcBorders>
            <w:vAlign w:val="center"/>
            <w:hideMark/>
          </w:tcPr>
          <w:p w14:paraId="68EA1DF6"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44,8</w:t>
            </w:r>
          </w:p>
        </w:tc>
        <w:tc>
          <w:tcPr>
            <w:tcW w:w="960" w:type="dxa"/>
            <w:tcBorders>
              <w:top w:val="nil"/>
              <w:left w:val="nil"/>
              <w:bottom w:val="single" w:sz="8" w:space="0" w:color="auto"/>
              <w:right w:val="single" w:sz="8" w:space="0" w:color="auto"/>
            </w:tcBorders>
            <w:vAlign w:val="center"/>
            <w:hideMark/>
          </w:tcPr>
          <w:p w14:paraId="788C5B07"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71,0</w:t>
            </w:r>
          </w:p>
        </w:tc>
        <w:tc>
          <w:tcPr>
            <w:tcW w:w="960" w:type="dxa"/>
            <w:tcBorders>
              <w:top w:val="nil"/>
              <w:left w:val="nil"/>
              <w:bottom w:val="single" w:sz="8" w:space="0" w:color="auto"/>
              <w:right w:val="single" w:sz="8" w:space="0" w:color="auto"/>
            </w:tcBorders>
            <w:vAlign w:val="center"/>
            <w:hideMark/>
          </w:tcPr>
          <w:p w14:paraId="3B8D14A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100,2</w:t>
            </w:r>
          </w:p>
        </w:tc>
        <w:tc>
          <w:tcPr>
            <w:tcW w:w="960" w:type="dxa"/>
            <w:tcBorders>
              <w:top w:val="nil"/>
              <w:left w:val="nil"/>
              <w:bottom w:val="single" w:sz="8" w:space="0" w:color="auto"/>
              <w:right w:val="single" w:sz="8" w:space="0" w:color="auto"/>
            </w:tcBorders>
            <w:vAlign w:val="center"/>
            <w:hideMark/>
          </w:tcPr>
          <w:p w14:paraId="2E5D2C5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103,2</w:t>
            </w:r>
          </w:p>
        </w:tc>
        <w:tc>
          <w:tcPr>
            <w:tcW w:w="960" w:type="dxa"/>
            <w:tcBorders>
              <w:top w:val="nil"/>
              <w:left w:val="nil"/>
              <w:bottom w:val="single" w:sz="8" w:space="0" w:color="auto"/>
              <w:right w:val="single" w:sz="8" w:space="0" w:color="auto"/>
            </w:tcBorders>
            <w:vAlign w:val="center"/>
            <w:hideMark/>
          </w:tcPr>
          <w:p w14:paraId="477B0D3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108,4</w:t>
            </w:r>
          </w:p>
        </w:tc>
        <w:tc>
          <w:tcPr>
            <w:tcW w:w="960" w:type="dxa"/>
            <w:tcBorders>
              <w:top w:val="nil"/>
              <w:left w:val="nil"/>
              <w:bottom w:val="single" w:sz="8" w:space="0" w:color="auto"/>
              <w:right w:val="single" w:sz="8" w:space="0" w:color="auto"/>
            </w:tcBorders>
            <w:vAlign w:val="center"/>
            <w:hideMark/>
          </w:tcPr>
          <w:p w14:paraId="56B73B1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113,8</w:t>
            </w:r>
          </w:p>
        </w:tc>
        <w:tc>
          <w:tcPr>
            <w:tcW w:w="1066" w:type="dxa"/>
            <w:tcBorders>
              <w:top w:val="nil"/>
              <w:left w:val="nil"/>
              <w:bottom w:val="single" w:sz="8" w:space="0" w:color="auto"/>
              <w:right w:val="single" w:sz="8" w:space="0" w:color="auto"/>
            </w:tcBorders>
            <w:vAlign w:val="center"/>
            <w:hideMark/>
          </w:tcPr>
          <w:p w14:paraId="4E61E294"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119,5</w:t>
            </w:r>
          </w:p>
        </w:tc>
        <w:tc>
          <w:tcPr>
            <w:tcW w:w="1134" w:type="dxa"/>
            <w:tcBorders>
              <w:top w:val="nil"/>
              <w:left w:val="nil"/>
              <w:bottom w:val="single" w:sz="8" w:space="0" w:color="auto"/>
              <w:right w:val="single" w:sz="8" w:space="0" w:color="auto"/>
            </w:tcBorders>
            <w:vAlign w:val="center"/>
            <w:hideMark/>
          </w:tcPr>
          <w:p w14:paraId="1C3E14B8"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660,9</w:t>
            </w:r>
          </w:p>
        </w:tc>
      </w:tr>
      <w:tr w:rsidR="00F37DCB" w14:paraId="09C2DD43"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63C23961"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Військовий збір</w:t>
            </w:r>
          </w:p>
        </w:tc>
        <w:tc>
          <w:tcPr>
            <w:tcW w:w="960" w:type="dxa"/>
            <w:tcBorders>
              <w:top w:val="nil"/>
              <w:left w:val="nil"/>
              <w:bottom w:val="single" w:sz="8" w:space="0" w:color="auto"/>
              <w:right w:val="single" w:sz="8" w:space="0" w:color="auto"/>
            </w:tcBorders>
            <w:vAlign w:val="center"/>
            <w:hideMark/>
          </w:tcPr>
          <w:p w14:paraId="2D2018C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12,5</w:t>
            </w:r>
          </w:p>
        </w:tc>
        <w:tc>
          <w:tcPr>
            <w:tcW w:w="960" w:type="dxa"/>
            <w:tcBorders>
              <w:top w:val="nil"/>
              <w:left w:val="nil"/>
              <w:bottom w:val="single" w:sz="8" w:space="0" w:color="auto"/>
              <w:right w:val="single" w:sz="8" w:space="0" w:color="auto"/>
            </w:tcBorders>
            <w:vAlign w:val="center"/>
            <w:hideMark/>
          </w:tcPr>
          <w:p w14:paraId="436267C6"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19,7</w:t>
            </w:r>
          </w:p>
        </w:tc>
        <w:tc>
          <w:tcPr>
            <w:tcW w:w="960" w:type="dxa"/>
            <w:tcBorders>
              <w:top w:val="nil"/>
              <w:left w:val="nil"/>
              <w:bottom w:val="single" w:sz="8" w:space="0" w:color="auto"/>
              <w:right w:val="single" w:sz="8" w:space="0" w:color="auto"/>
            </w:tcBorders>
            <w:vAlign w:val="center"/>
            <w:hideMark/>
          </w:tcPr>
          <w:p w14:paraId="3133F198"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27,8</w:t>
            </w:r>
          </w:p>
        </w:tc>
        <w:tc>
          <w:tcPr>
            <w:tcW w:w="960" w:type="dxa"/>
            <w:tcBorders>
              <w:top w:val="nil"/>
              <w:left w:val="nil"/>
              <w:bottom w:val="single" w:sz="8" w:space="0" w:color="auto"/>
              <w:right w:val="single" w:sz="8" w:space="0" w:color="auto"/>
            </w:tcBorders>
            <w:vAlign w:val="center"/>
            <w:hideMark/>
          </w:tcPr>
          <w:p w14:paraId="30C825D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28,7</w:t>
            </w:r>
          </w:p>
        </w:tc>
        <w:tc>
          <w:tcPr>
            <w:tcW w:w="960" w:type="dxa"/>
            <w:tcBorders>
              <w:top w:val="nil"/>
              <w:left w:val="nil"/>
              <w:bottom w:val="single" w:sz="8" w:space="0" w:color="auto"/>
              <w:right w:val="single" w:sz="8" w:space="0" w:color="auto"/>
            </w:tcBorders>
            <w:vAlign w:val="center"/>
            <w:hideMark/>
          </w:tcPr>
          <w:p w14:paraId="095F955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30,1</w:t>
            </w:r>
          </w:p>
        </w:tc>
        <w:tc>
          <w:tcPr>
            <w:tcW w:w="960" w:type="dxa"/>
            <w:tcBorders>
              <w:top w:val="nil"/>
              <w:left w:val="nil"/>
              <w:bottom w:val="single" w:sz="8" w:space="0" w:color="auto"/>
              <w:right w:val="single" w:sz="8" w:space="0" w:color="auto"/>
            </w:tcBorders>
            <w:vAlign w:val="center"/>
            <w:hideMark/>
          </w:tcPr>
          <w:p w14:paraId="32F149AE"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31,6</w:t>
            </w:r>
          </w:p>
        </w:tc>
        <w:tc>
          <w:tcPr>
            <w:tcW w:w="1066" w:type="dxa"/>
            <w:tcBorders>
              <w:top w:val="nil"/>
              <w:left w:val="nil"/>
              <w:bottom w:val="single" w:sz="8" w:space="0" w:color="auto"/>
              <w:right w:val="single" w:sz="8" w:space="0" w:color="auto"/>
            </w:tcBorders>
            <w:vAlign w:val="center"/>
            <w:hideMark/>
          </w:tcPr>
          <w:p w14:paraId="6DA46396"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33,2</w:t>
            </w:r>
          </w:p>
        </w:tc>
        <w:tc>
          <w:tcPr>
            <w:tcW w:w="1134" w:type="dxa"/>
            <w:tcBorders>
              <w:top w:val="nil"/>
              <w:left w:val="nil"/>
              <w:bottom w:val="single" w:sz="8" w:space="0" w:color="auto"/>
              <w:right w:val="single" w:sz="8" w:space="0" w:color="auto"/>
            </w:tcBorders>
            <w:vAlign w:val="center"/>
            <w:hideMark/>
          </w:tcPr>
          <w:p w14:paraId="568D675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183,6</w:t>
            </w:r>
          </w:p>
        </w:tc>
      </w:tr>
      <w:tr w:rsidR="00F37DCB" w14:paraId="18580F08"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13AF0698"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ЄСВ</w:t>
            </w:r>
          </w:p>
        </w:tc>
        <w:tc>
          <w:tcPr>
            <w:tcW w:w="960" w:type="dxa"/>
            <w:tcBorders>
              <w:top w:val="nil"/>
              <w:left w:val="nil"/>
              <w:bottom w:val="single" w:sz="8" w:space="0" w:color="auto"/>
              <w:right w:val="single" w:sz="8" w:space="0" w:color="auto"/>
            </w:tcBorders>
            <w:vAlign w:val="center"/>
            <w:hideMark/>
          </w:tcPr>
          <w:p w14:paraId="3C9CB1FC"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54,8</w:t>
            </w:r>
          </w:p>
        </w:tc>
        <w:tc>
          <w:tcPr>
            <w:tcW w:w="960" w:type="dxa"/>
            <w:tcBorders>
              <w:top w:val="nil"/>
              <w:left w:val="nil"/>
              <w:bottom w:val="single" w:sz="8" w:space="0" w:color="auto"/>
              <w:right w:val="single" w:sz="8" w:space="0" w:color="auto"/>
            </w:tcBorders>
            <w:vAlign w:val="center"/>
            <w:hideMark/>
          </w:tcPr>
          <w:p w14:paraId="6264F64C"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86,8</w:t>
            </w:r>
          </w:p>
        </w:tc>
        <w:tc>
          <w:tcPr>
            <w:tcW w:w="960" w:type="dxa"/>
            <w:tcBorders>
              <w:top w:val="nil"/>
              <w:left w:val="nil"/>
              <w:bottom w:val="single" w:sz="8" w:space="0" w:color="auto"/>
              <w:right w:val="single" w:sz="8" w:space="0" w:color="auto"/>
            </w:tcBorders>
            <w:vAlign w:val="center"/>
            <w:hideMark/>
          </w:tcPr>
          <w:p w14:paraId="5649B513"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122,5</w:t>
            </w:r>
          </w:p>
        </w:tc>
        <w:tc>
          <w:tcPr>
            <w:tcW w:w="960" w:type="dxa"/>
            <w:tcBorders>
              <w:top w:val="nil"/>
              <w:left w:val="nil"/>
              <w:bottom w:val="single" w:sz="8" w:space="0" w:color="auto"/>
              <w:right w:val="single" w:sz="8" w:space="0" w:color="auto"/>
            </w:tcBorders>
            <w:vAlign w:val="center"/>
            <w:hideMark/>
          </w:tcPr>
          <w:p w14:paraId="64B47038"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126,2</w:t>
            </w:r>
          </w:p>
        </w:tc>
        <w:tc>
          <w:tcPr>
            <w:tcW w:w="960" w:type="dxa"/>
            <w:tcBorders>
              <w:top w:val="nil"/>
              <w:left w:val="nil"/>
              <w:bottom w:val="single" w:sz="8" w:space="0" w:color="auto"/>
              <w:right w:val="single" w:sz="8" w:space="0" w:color="auto"/>
            </w:tcBorders>
            <w:vAlign w:val="center"/>
            <w:hideMark/>
          </w:tcPr>
          <w:p w14:paraId="7941F7C5"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132,5</w:t>
            </w:r>
          </w:p>
        </w:tc>
        <w:tc>
          <w:tcPr>
            <w:tcW w:w="960" w:type="dxa"/>
            <w:tcBorders>
              <w:top w:val="nil"/>
              <w:left w:val="nil"/>
              <w:bottom w:val="single" w:sz="8" w:space="0" w:color="auto"/>
              <w:right w:val="single" w:sz="8" w:space="0" w:color="auto"/>
            </w:tcBorders>
            <w:vAlign w:val="center"/>
            <w:hideMark/>
          </w:tcPr>
          <w:p w14:paraId="72CB423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139,1</w:t>
            </w:r>
          </w:p>
        </w:tc>
        <w:tc>
          <w:tcPr>
            <w:tcW w:w="1066" w:type="dxa"/>
            <w:tcBorders>
              <w:top w:val="nil"/>
              <w:left w:val="nil"/>
              <w:bottom w:val="single" w:sz="8" w:space="0" w:color="auto"/>
              <w:right w:val="single" w:sz="8" w:space="0" w:color="auto"/>
            </w:tcBorders>
            <w:vAlign w:val="center"/>
            <w:hideMark/>
          </w:tcPr>
          <w:p w14:paraId="7AB734E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146,1</w:t>
            </w:r>
          </w:p>
        </w:tc>
        <w:tc>
          <w:tcPr>
            <w:tcW w:w="1134" w:type="dxa"/>
            <w:tcBorders>
              <w:top w:val="nil"/>
              <w:left w:val="nil"/>
              <w:bottom w:val="single" w:sz="8" w:space="0" w:color="auto"/>
              <w:right w:val="single" w:sz="8" w:space="0" w:color="auto"/>
            </w:tcBorders>
            <w:vAlign w:val="center"/>
            <w:hideMark/>
          </w:tcPr>
          <w:p w14:paraId="6176744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808,0</w:t>
            </w:r>
          </w:p>
        </w:tc>
      </w:tr>
      <w:tr w:rsidR="00F37DCB" w14:paraId="5E08F966"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054558B6"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Плата за землю</w:t>
            </w:r>
          </w:p>
        </w:tc>
        <w:tc>
          <w:tcPr>
            <w:tcW w:w="960" w:type="dxa"/>
            <w:tcBorders>
              <w:top w:val="nil"/>
              <w:left w:val="nil"/>
              <w:bottom w:val="single" w:sz="8" w:space="0" w:color="auto"/>
              <w:right w:val="single" w:sz="8" w:space="0" w:color="auto"/>
            </w:tcBorders>
            <w:vAlign w:val="center"/>
            <w:hideMark/>
          </w:tcPr>
          <w:p w14:paraId="5068F77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3,7</w:t>
            </w:r>
          </w:p>
        </w:tc>
        <w:tc>
          <w:tcPr>
            <w:tcW w:w="960" w:type="dxa"/>
            <w:tcBorders>
              <w:top w:val="nil"/>
              <w:left w:val="nil"/>
              <w:bottom w:val="single" w:sz="8" w:space="0" w:color="auto"/>
              <w:right w:val="single" w:sz="8" w:space="0" w:color="auto"/>
            </w:tcBorders>
            <w:vAlign w:val="center"/>
            <w:hideMark/>
          </w:tcPr>
          <w:p w14:paraId="65E95BC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4,1</w:t>
            </w:r>
          </w:p>
        </w:tc>
        <w:tc>
          <w:tcPr>
            <w:tcW w:w="960" w:type="dxa"/>
            <w:tcBorders>
              <w:top w:val="nil"/>
              <w:left w:val="nil"/>
              <w:bottom w:val="single" w:sz="8" w:space="0" w:color="auto"/>
              <w:right w:val="single" w:sz="8" w:space="0" w:color="auto"/>
            </w:tcBorders>
            <w:vAlign w:val="center"/>
            <w:hideMark/>
          </w:tcPr>
          <w:p w14:paraId="4473B8B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4,5</w:t>
            </w:r>
          </w:p>
        </w:tc>
        <w:tc>
          <w:tcPr>
            <w:tcW w:w="960" w:type="dxa"/>
            <w:tcBorders>
              <w:top w:val="nil"/>
              <w:left w:val="nil"/>
              <w:bottom w:val="single" w:sz="8" w:space="0" w:color="auto"/>
              <w:right w:val="single" w:sz="8" w:space="0" w:color="auto"/>
            </w:tcBorders>
            <w:vAlign w:val="center"/>
            <w:hideMark/>
          </w:tcPr>
          <w:p w14:paraId="26812363"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4,9</w:t>
            </w:r>
          </w:p>
        </w:tc>
        <w:tc>
          <w:tcPr>
            <w:tcW w:w="960" w:type="dxa"/>
            <w:tcBorders>
              <w:top w:val="nil"/>
              <w:left w:val="nil"/>
              <w:bottom w:val="single" w:sz="8" w:space="0" w:color="auto"/>
              <w:right w:val="single" w:sz="8" w:space="0" w:color="auto"/>
            </w:tcBorders>
            <w:vAlign w:val="center"/>
            <w:hideMark/>
          </w:tcPr>
          <w:p w14:paraId="43375293"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5,4</w:t>
            </w:r>
          </w:p>
        </w:tc>
        <w:tc>
          <w:tcPr>
            <w:tcW w:w="960" w:type="dxa"/>
            <w:tcBorders>
              <w:top w:val="nil"/>
              <w:left w:val="nil"/>
              <w:bottom w:val="single" w:sz="8" w:space="0" w:color="auto"/>
              <w:right w:val="single" w:sz="8" w:space="0" w:color="auto"/>
            </w:tcBorders>
            <w:vAlign w:val="center"/>
            <w:hideMark/>
          </w:tcPr>
          <w:p w14:paraId="3C67A16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5,9</w:t>
            </w:r>
          </w:p>
        </w:tc>
        <w:tc>
          <w:tcPr>
            <w:tcW w:w="1066" w:type="dxa"/>
            <w:tcBorders>
              <w:top w:val="nil"/>
              <w:left w:val="nil"/>
              <w:bottom w:val="single" w:sz="8" w:space="0" w:color="auto"/>
              <w:right w:val="single" w:sz="8" w:space="0" w:color="auto"/>
            </w:tcBorders>
            <w:vAlign w:val="center"/>
            <w:hideMark/>
          </w:tcPr>
          <w:p w14:paraId="6EA8AC22"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6,5</w:t>
            </w:r>
          </w:p>
        </w:tc>
        <w:tc>
          <w:tcPr>
            <w:tcW w:w="1134" w:type="dxa"/>
            <w:tcBorders>
              <w:top w:val="nil"/>
              <w:left w:val="nil"/>
              <w:bottom w:val="single" w:sz="8" w:space="0" w:color="auto"/>
              <w:right w:val="single" w:sz="8" w:space="0" w:color="auto"/>
            </w:tcBorders>
            <w:vAlign w:val="center"/>
            <w:hideMark/>
          </w:tcPr>
          <w:p w14:paraId="57E096E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35,0</w:t>
            </w:r>
          </w:p>
        </w:tc>
      </w:tr>
      <w:tr w:rsidR="00F37DCB" w14:paraId="2A73C33E" w14:textId="77777777" w:rsidTr="00852A1F">
        <w:trPr>
          <w:trHeight w:val="588"/>
        </w:trPr>
        <w:tc>
          <w:tcPr>
            <w:tcW w:w="1860" w:type="dxa"/>
            <w:tcBorders>
              <w:top w:val="nil"/>
              <w:left w:val="single" w:sz="8" w:space="0" w:color="auto"/>
              <w:bottom w:val="single" w:sz="8" w:space="0" w:color="auto"/>
              <w:right w:val="single" w:sz="8" w:space="0" w:color="auto"/>
            </w:tcBorders>
            <w:vAlign w:val="center"/>
            <w:hideMark/>
          </w:tcPr>
          <w:p w14:paraId="195498B8" w14:textId="77777777" w:rsidR="00852A1F" w:rsidRPr="00852A1F" w:rsidRDefault="00000000" w:rsidP="00852A1F">
            <w:pPr>
              <w:spacing w:after="0" w:line="240" w:lineRule="auto"/>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Разом надходжень</w:t>
            </w:r>
          </w:p>
        </w:tc>
        <w:tc>
          <w:tcPr>
            <w:tcW w:w="960" w:type="dxa"/>
            <w:tcBorders>
              <w:top w:val="nil"/>
              <w:left w:val="nil"/>
              <w:bottom w:val="single" w:sz="8" w:space="0" w:color="auto"/>
              <w:right w:val="single" w:sz="8" w:space="0" w:color="auto"/>
            </w:tcBorders>
            <w:vAlign w:val="center"/>
            <w:hideMark/>
          </w:tcPr>
          <w:p w14:paraId="5D739C70"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398,8</w:t>
            </w:r>
          </w:p>
        </w:tc>
        <w:tc>
          <w:tcPr>
            <w:tcW w:w="960" w:type="dxa"/>
            <w:tcBorders>
              <w:top w:val="nil"/>
              <w:left w:val="nil"/>
              <w:bottom w:val="single" w:sz="8" w:space="0" w:color="auto"/>
              <w:right w:val="single" w:sz="8" w:space="0" w:color="auto"/>
            </w:tcBorders>
            <w:vAlign w:val="center"/>
            <w:hideMark/>
          </w:tcPr>
          <w:p w14:paraId="37456D79"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575,0</w:t>
            </w:r>
          </w:p>
        </w:tc>
        <w:tc>
          <w:tcPr>
            <w:tcW w:w="960" w:type="dxa"/>
            <w:tcBorders>
              <w:top w:val="nil"/>
              <w:left w:val="nil"/>
              <w:bottom w:val="single" w:sz="8" w:space="0" w:color="auto"/>
              <w:right w:val="single" w:sz="8" w:space="0" w:color="auto"/>
            </w:tcBorders>
            <w:vAlign w:val="center"/>
            <w:hideMark/>
          </w:tcPr>
          <w:p w14:paraId="7D858D4D"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800,5</w:t>
            </w:r>
          </w:p>
        </w:tc>
        <w:tc>
          <w:tcPr>
            <w:tcW w:w="960" w:type="dxa"/>
            <w:tcBorders>
              <w:top w:val="nil"/>
              <w:left w:val="nil"/>
              <w:bottom w:val="single" w:sz="8" w:space="0" w:color="auto"/>
              <w:right w:val="single" w:sz="8" w:space="0" w:color="auto"/>
            </w:tcBorders>
            <w:vAlign w:val="center"/>
            <w:hideMark/>
          </w:tcPr>
          <w:p w14:paraId="078AB4B8"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830,3</w:t>
            </w:r>
          </w:p>
        </w:tc>
        <w:tc>
          <w:tcPr>
            <w:tcW w:w="960" w:type="dxa"/>
            <w:tcBorders>
              <w:top w:val="nil"/>
              <w:left w:val="nil"/>
              <w:bottom w:val="single" w:sz="8" w:space="0" w:color="auto"/>
              <w:right w:val="single" w:sz="8" w:space="0" w:color="auto"/>
            </w:tcBorders>
            <w:vAlign w:val="center"/>
            <w:hideMark/>
          </w:tcPr>
          <w:p w14:paraId="6F43A020"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866,4</w:t>
            </w:r>
          </w:p>
        </w:tc>
        <w:tc>
          <w:tcPr>
            <w:tcW w:w="960" w:type="dxa"/>
            <w:tcBorders>
              <w:top w:val="nil"/>
              <w:left w:val="nil"/>
              <w:bottom w:val="single" w:sz="8" w:space="0" w:color="auto"/>
              <w:right w:val="single" w:sz="8" w:space="0" w:color="auto"/>
            </w:tcBorders>
            <w:vAlign w:val="center"/>
            <w:hideMark/>
          </w:tcPr>
          <w:p w14:paraId="1062EF0D"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903,9</w:t>
            </w:r>
          </w:p>
        </w:tc>
        <w:tc>
          <w:tcPr>
            <w:tcW w:w="1066" w:type="dxa"/>
            <w:tcBorders>
              <w:top w:val="nil"/>
              <w:left w:val="nil"/>
              <w:bottom w:val="single" w:sz="8" w:space="0" w:color="auto"/>
              <w:right w:val="single" w:sz="8" w:space="0" w:color="auto"/>
            </w:tcBorders>
            <w:vAlign w:val="center"/>
            <w:hideMark/>
          </w:tcPr>
          <w:p w14:paraId="3E799047"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943,4</w:t>
            </w:r>
          </w:p>
        </w:tc>
        <w:tc>
          <w:tcPr>
            <w:tcW w:w="1134" w:type="dxa"/>
            <w:tcBorders>
              <w:top w:val="nil"/>
              <w:left w:val="nil"/>
              <w:bottom w:val="single" w:sz="8" w:space="0" w:color="auto"/>
              <w:right w:val="single" w:sz="8" w:space="0" w:color="auto"/>
            </w:tcBorders>
            <w:vAlign w:val="center"/>
            <w:hideMark/>
          </w:tcPr>
          <w:p w14:paraId="58A0C35E"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5318,3</w:t>
            </w:r>
          </w:p>
        </w:tc>
      </w:tr>
      <w:tr w:rsidR="00F37DCB" w14:paraId="57D4E993" w14:textId="77777777" w:rsidTr="00852A1F">
        <w:trPr>
          <w:trHeight w:val="588"/>
        </w:trPr>
        <w:tc>
          <w:tcPr>
            <w:tcW w:w="1860" w:type="dxa"/>
            <w:tcBorders>
              <w:top w:val="nil"/>
              <w:left w:val="single" w:sz="8" w:space="0" w:color="auto"/>
              <w:bottom w:val="single" w:sz="8" w:space="0" w:color="auto"/>
              <w:right w:val="single" w:sz="8" w:space="0" w:color="auto"/>
            </w:tcBorders>
            <w:vAlign w:val="center"/>
            <w:hideMark/>
          </w:tcPr>
          <w:p w14:paraId="3615F00D"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lastRenderedPageBreak/>
              <w:t>у т. ч. в місцевий бюджет</w:t>
            </w:r>
          </w:p>
        </w:tc>
        <w:tc>
          <w:tcPr>
            <w:tcW w:w="960" w:type="dxa"/>
            <w:tcBorders>
              <w:top w:val="nil"/>
              <w:left w:val="nil"/>
              <w:bottom w:val="single" w:sz="8" w:space="0" w:color="auto"/>
              <w:right w:val="single" w:sz="8" w:space="0" w:color="auto"/>
            </w:tcBorders>
            <w:vAlign w:val="center"/>
            <w:hideMark/>
          </w:tcPr>
          <w:p w14:paraId="02A6E3F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32,4</w:t>
            </w:r>
          </w:p>
        </w:tc>
        <w:tc>
          <w:tcPr>
            <w:tcW w:w="960" w:type="dxa"/>
            <w:tcBorders>
              <w:top w:val="nil"/>
              <w:left w:val="nil"/>
              <w:bottom w:val="single" w:sz="8" w:space="0" w:color="auto"/>
              <w:right w:val="single" w:sz="8" w:space="0" w:color="auto"/>
            </w:tcBorders>
            <w:vAlign w:val="center"/>
            <w:hideMark/>
          </w:tcPr>
          <w:p w14:paraId="57851C67"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49,5</w:t>
            </w:r>
          </w:p>
        </w:tc>
        <w:tc>
          <w:tcPr>
            <w:tcW w:w="960" w:type="dxa"/>
            <w:tcBorders>
              <w:top w:val="nil"/>
              <w:left w:val="nil"/>
              <w:bottom w:val="single" w:sz="8" w:space="0" w:color="auto"/>
              <w:right w:val="single" w:sz="8" w:space="0" w:color="auto"/>
            </w:tcBorders>
            <w:vAlign w:val="center"/>
            <w:hideMark/>
          </w:tcPr>
          <w:p w14:paraId="289F7DCE"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68,6</w:t>
            </w:r>
          </w:p>
        </w:tc>
        <w:tc>
          <w:tcPr>
            <w:tcW w:w="960" w:type="dxa"/>
            <w:tcBorders>
              <w:top w:val="nil"/>
              <w:left w:val="nil"/>
              <w:bottom w:val="single" w:sz="8" w:space="0" w:color="auto"/>
              <w:right w:val="single" w:sz="8" w:space="0" w:color="auto"/>
            </w:tcBorders>
            <w:vAlign w:val="center"/>
            <w:hideMark/>
          </w:tcPr>
          <w:p w14:paraId="09A9FEE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70,9</w:t>
            </w:r>
          </w:p>
        </w:tc>
        <w:tc>
          <w:tcPr>
            <w:tcW w:w="960" w:type="dxa"/>
            <w:tcBorders>
              <w:top w:val="nil"/>
              <w:left w:val="nil"/>
              <w:bottom w:val="single" w:sz="8" w:space="0" w:color="auto"/>
              <w:right w:val="single" w:sz="8" w:space="0" w:color="auto"/>
            </w:tcBorders>
            <w:vAlign w:val="center"/>
            <w:hideMark/>
          </w:tcPr>
          <w:p w14:paraId="59A4F787"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74,8</w:t>
            </w:r>
          </w:p>
        </w:tc>
        <w:tc>
          <w:tcPr>
            <w:tcW w:w="960" w:type="dxa"/>
            <w:tcBorders>
              <w:top w:val="nil"/>
              <w:left w:val="nil"/>
              <w:bottom w:val="single" w:sz="8" w:space="0" w:color="auto"/>
              <w:right w:val="single" w:sz="8" w:space="0" w:color="auto"/>
            </w:tcBorders>
            <w:vAlign w:val="center"/>
            <w:hideMark/>
          </w:tcPr>
          <w:p w14:paraId="28B8C97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78,7</w:t>
            </w:r>
          </w:p>
        </w:tc>
        <w:tc>
          <w:tcPr>
            <w:tcW w:w="1066" w:type="dxa"/>
            <w:tcBorders>
              <w:top w:val="nil"/>
              <w:left w:val="nil"/>
              <w:bottom w:val="single" w:sz="8" w:space="0" w:color="auto"/>
              <w:right w:val="single" w:sz="8" w:space="0" w:color="auto"/>
            </w:tcBorders>
            <w:vAlign w:val="center"/>
            <w:hideMark/>
          </w:tcPr>
          <w:p w14:paraId="5414ADE5"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83,0</w:t>
            </w:r>
          </w:p>
        </w:tc>
        <w:tc>
          <w:tcPr>
            <w:tcW w:w="1134" w:type="dxa"/>
            <w:tcBorders>
              <w:top w:val="nil"/>
              <w:left w:val="nil"/>
              <w:bottom w:val="single" w:sz="8" w:space="0" w:color="auto"/>
              <w:right w:val="single" w:sz="8" w:space="0" w:color="auto"/>
            </w:tcBorders>
            <w:vAlign w:val="center"/>
            <w:hideMark/>
          </w:tcPr>
          <w:p w14:paraId="38600CB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458,0</w:t>
            </w:r>
          </w:p>
        </w:tc>
      </w:tr>
      <w:tr w:rsidR="00F37DCB" w14:paraId="245FE748" w14:textId="77777777" w:rsidTr="00852A1F">
        <w:trPr>
          <w:trHeight w:val="300"/>
        </w:trPr>
        <w:tc>
          <w:tcPr>
            <w:tcW w:w="9820" w:type="dxa"/>
            <w:gridSpan w:val="9"/>
            <w:tcBorders>
              <w:top w:val="single" w:sz="8" w:space="0" w:color="auto"/>
              <w:left w:val="single" w:sz="8" w:space="0" w:color="auto"/>
              <w:bottom w:val="single" w:sz="8" w:space="0" w:color="auto"/>
              <w:right w:val="single" w:sz="8" w:space="0" w:color="000000"/>
            </w:tcBorders>
            <w:vAlign w:val="center"/>
            <w:hideMark/>
          </w:tcPr>
          <w:p w14:paraId="1E119A79"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Податкові пільги</w:t>
            </w:r>
          </w:p>
        </w:tc>
      </w:tr>
      <w:tr w:rsidR="00F37DCB" w14:paraId="77AA81BB" w14:textId="77777777" w:rsidTr="00852A1F">
        <w:trPr>
          <w:trHeight w:val="588"/>
        </w:trPr>
        <w:tc>
          <w:tcPr>
            <w:tcW w:w="1860" w:type="dxa"/>
            <w:tcBorders>
              <w:top w:val="nil"/>
              <w:left w:val="single" w:sz="8" w:space="0" w:color="auto"/>
              <w:bottom w:val="single" w:sz="8" w:space="0" w:color="auto"/>
              <w:right w:val="single" w:sz="8" w:space="0" w:color="auto"/>
            </w:tcBorders>
            <w:vAlign w:val="center"/>
            <w:hideMark/>
          </w:tcPr>
          <w:p w14:paraId="0E386809"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Податок на прибуток</w:t>
            </w:r>
          </w:p>
        </w:tc>
        <w:tc>
          <w:tcPr>
            <w:tcW w:w="960" w:type="dxa"/>
            <w:tcBorders>
              <w:top w:val="nil"/>
              <w:left w:val="nil"/>
              <w:bottom w:val="single" w:sz="8" w:space="0" w:color="auto"/>
              <w:right w:val="single" w:sz="8" w:space="0" w:color="auto"/>
            </w:tcBorders>
            <w:vAlign w:val="center"/>
            <w:hideMark/>
          </w:tcPr>
          <w:p w14:paraId="24FBE18F"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0,0</w:t>
            </w:r>
          </w:p>
        </w:tc>
        <w:tc>
          <w:tcPr>
            <w:tcW w:w="960" w:type="dxa"/>
            <w:tcBorders>
              <w:top w:val="nil"/>
              <w:left w:val="nil"/>
              <w:bottom w:val="single" w:sz="8" w:space="0" w:color="auto"/>
              <w:right w:val="single" w:sz="8" w:space="0" w:color="auto"/>
            </w:tcBorders>
            <w:vAlign w:val="center"/>
            <w:hideMark/>
          </w:tcPr>
          <w:p w14:paraId="6E08FEF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51,4</w:t>
            </w:r>
          </w:p>
        </w:tc>
        <w:tc>
          <w:tcPr>
            <w:tcW w:w="960" w:type="dxa"/>
            <w:tcBorders>
              <w:top w:val="nil"/>
              <w:left w:val="nil"/>
              <w:bottom w:val="single" w:sz="8" w:space="0" w:color="auto"/>
              <w:right w:val="single" w:sz="8" w:space="0" w:color="auto"/>
            </w:tcBorders>
            <w:vAlign w:val="center"/>
            <w:hideMark/>
          </w:tcPr>
          <w:p w14:paraId="6A295524"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130,3</w:t>
            </w:r>
          </w:p>
        </w:tc>
        <w:tc>
          <w:tcPr>
            <w:tcW w:w="960" w:type="dxa"/>
            <w:tcBorders>
              <w:top w:val="nil"/>
              <w:left w:val="nil"/>
              <w:bottom w:val="single" w:sz="8" w:space="0" w:color="auto"/>
              <w:right w:val="single" w:sz="8" w:space="0" w:color="auto"/>
            </w:tcBorders>
            <w:vAlign w:val="center"/>
            <w:hideMark/>
          </w:tcPr>
          <w:p w14:paraId="4EB42E0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135,5</w:t>
            </w:r>
          </w:p>
        </w:tc>
        <w:tc>
          <w:tcPr>
            <w:tcW w:w="960" w:type="dxa"/>
            <w:tcBorders>
              <w:top w:val="nil"/>
              <w:left w:val="nil"/>
              <w:bottom w:val="single" w:sz="8" w:space="0" w:color="auto"/>
              <w:right w:val="single" w:sz="8" w:space="0" w:color="auto"/>
            </w:tcBorders>
            <w:vAlign w:val="center"/>
            <w:hideMark/>
          </w:tcPr>
          <w:p w14:paraId="7155B3B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140,9</w:t>
            </w:r>
          </w:p>
        </w:tc>
        <w:tc>
          <w:tcPr>
            <w:tcW w:w="960" w:type="dxa"/>
            <w:tcBorders>
              <w:top w:val="nil"/>
              <w:left w:val="nil"/>
              <w:bottom w:val="single" w:sz="8" w:space="0" w:color="auto"/>
              <w:right w:val="single" w:sz="8" w:space="0" w:color="auto"/>
            </w:tcBorders>
            <w:vAlign w:val="center"/>
            <w:hideMark/>
          </w:tcPr>
          <w:p w14:paraId="7FDCDED4"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146,6</w:t>
            </w:r>
          </w:p>
        </w:tc>
        <w:tc>
          <w:tcPr>
            <w:tcW w:w="1066" w:type="dxa"/>
            <w:tcBorders>
              <w:top w:val="nil"/>
              <w:left w:val="nil"/>
              <w:bottom w:val="single" w:sz="8" w:space="0" w:color="auto"/>
              <w:right w:val="single" w:sz="8" w:space="0" w:color="auto"/>
            </w:tcBorders>
            <w:vAlign w:val="center"/>
            <w:hideMark/>
          </w:tcPr>
          <w:p w14:paraId="575D5962"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152,4</w:t>
            </w:r>
          </w:p>
        </w:tc>
        <w:tc>
          <w:tcPr>
            <w:tcW w:w="1134" w:type="dxa"/>
            <w:tcBorders>
              <w:top w:val="nil"/>
              <w:left w:val="nil"/>
              <w:bottom w:val="single" w:sz="8" w:space="0" w:color="auto"/>
              <w:right w:val="single" w:sz="8" w:space="0" w:color="auto"/>
            </w:tcBorders>
            <w:vAlign w:val="center"/>
            <w:hideMark/>
          </w:tcPr>
          <w:p w14:paraId="333AF3DF"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757,1</w:t>
            </w:r>
          </w:p>
        </w:tc>
      </w:tr>
      <w:tr w:rsidR="00F37DCB" w14:paraId="7C9C5EFF"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633FED53"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Ввізне мито</w:t>
            </w:r>
          </w:p>
        </w:tc>
        <w:tc>
          <w:tcPr>
            <w:tcW w:w="960" w:type="dxa"/>
            <w:tcBorders>
              <w:top w:val="nil"/>
              <w:left w:val="nil"/>
              <w:bottom w:val="single" w:sz="8" w:space="0" w:color="auto"/>
              <w:right w:val="single" w:sz="8" w:space="0" w:color="auto"/>
            </w:tcBorders>
            <w:vAlign w:val="center"/>
            <w:hideMark/>
          </w:tcPr>
          <w:p w14:paraId="268075E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3,2</w:t>
            </w:r>
          </w:p>
        </w:tc>
        <w:tc>
          <w:tcPr>
            <w:tcW w:w="960" w:type="dxa"/>
            <w:tcBorders>
              <w:top w:val="nil"/>
              <w:left w:val="nil"/>
              <w:bottom w:val="single" w:sz="8" w:space="0" w:color="auto"/>
              <w:right w:val="single" w:sz="8" w:space="0" w:color="auto"/>
            </w:tcBorders>
            <w:vAlign w:val="center"/>
            <w:hideMark/>
          </w:tcPr>
          <w:p w14:paraId="2936DB5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2,8</w:t>
            </w:r>
          </w:p>
        </w:tc>
        <w:tc>
          <w:tcPr>
            <w:tcW w:w="960" w:type="dxa"/>
            <w:tcBorders>
              <w:top w:val="nil"/>
              <w:left w:val="nil"/>
              <w:bottom w:val="single" w:sz="8" w:space="0" w:color="auto"/>
              <w:right w:val="single" w:sz="8" w:space="0" w:color="auto"/>
            </w:tcBorders>
            <w:vAlign w:val="center"/>
            <w:hideMark/>
          </w:tcPr>
          <w:p w14:paraId="388A08C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1,7</w:t>
            </w:r>
          </w:p>
        </w:tc>
        <w:tc>
          <w:tcPr>
            <w:tcW w:w="960" w:type="dxa"/>
            <w:tcBorders>
              <w:top w:val="nil"/>
              <w:left w:val="nil"/>
              <w:bottom w:val="single" w:sz="8" w:space="0" w:color="auto"/>
              <w:right w:val="single" w:sz="8" w:space="0" w:color="auto"/>
            </w:tcBorders>
            <w:vAlign w:val="center"/>
            <w:hideMark/>
          </w:tcPr>
          <w:p w14:paraId="227E8DA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0,8</w:t>
            </w:r>
          </w:p>
        </w:tc>
        <w:tc>
          <w:tcPr>
            <w:tcW w:w="960" w:type="dxa"/>
            <w:tcBorders>
              <w:top w:val="nil"/>
              <w:left w:val="nil"/>
              <w:bottom w:val="single" w:sz="8" w:space="0" w:color="auto"/>
              <w:right w:val="single" w:sz="8" w:space="0" w:color="auto"/>
            </w:tcBorders>
            <w:vAlign w:val="center"/>
            <w:hideMark/>
          </w:tcPr>
          <w:p w14:paraId="6C0D530D"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0,4</w:t>
            </w:r>
          </w:p>
        </w:tc>
        <w:tc>
          <w:tcPr>
            <w:tcW w:w="960" w:type="dxa"/>
            <w:tcBorders>
              <w:top w:val="nil"/>
              <w:left w:val="nil"/>
              <w:bottom w:val="single" w:sz="8" w:space="0" w:color="auto"/>
              <w:right w:val="single" w:sz="8" w:space="0" w:color="auto"/>
            </w:tcBorders>
            <w:vAlign w:val="center"/>
            <w:hideMark/>
          </w:tcPr>
          <w:p w14:paraId="5637FE93"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0,3</w:t>
            </w:r>
          </w:p>
        </w:tc>
        <w:tc>
          <w:tcPr>
            <w:tcW w:w="1066" w:type="dxa"/>
            <w:tcBorders>
              <w:top w:val="nil"/>
              <w:left w:val="nil"/>
              <w:bottom w:val="single" w:sz="8" w:space="0" w:color="auto"/>
              <w:right w:val="single" w:sz="8" w:space="0" w:color="auto"/>
            </w:tcBorders>
            <w:vAlign w:val="center"/>
            <w:hideMark/>
          </w:tcPr>
          <w:p w14:paraId="3D2E3A20"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0,2</w:t>
            </w:r>
          </w:p>
        </w:tc>
        <w:tc>
          <w:tcPr>
            <w:tcW w:w="1134" w:type="dxa"/>
            <w:tcBorders>
              <w:top w:val="nil"/>
              <w:left w:val="nil"/>
              <w:bottom w:val="single" w:sz="8" w:space="0" w:color="auto"/>
              <w:right w:val="single" w:sz="8" w:space="0" w:color="auto"/>
            </w:tcBorders>
            <w:vAlign w:val="center"/>
            <w:hideMark/>
          </w:tcPr>
          <w:p w14:paraId="3178A69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9,4</w:t>
            </w:r>
          </w:p>
        </w:tc>
      </w:tr>
      <w:tr w:rsidR="00F37DCB" w14:paraId="2D008A48"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15F562E9"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Імпортний ПДВ</w:t>
            </w:r>
          </w:p>
        </w:tc>
        <w:tc>
          <w:tcPr>
            <w:tcW w:w="960" w:type="dxa"/>
            <w:tcBorders>
              <w:top w:val="nil"/>
              <w:left w:val="nil"/>
              <w:bottom w:val="single" w:sz="8" w:space="0" w:color="auto"/>
              <w:right w:val="single" w:sz="8" w:space="0" w:color="auto"/>
            </w:tcBorders>
            <w:vAlign w:val="center"/>
            <w:hideMark/>
          </w:tcPr>
          <w:p w14:paraId="01E04B4E"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38,3</w:t>
            </w:r>
          </w:p>
        </w:tc>
        <w:tc>
          <w:tcPr>
            <w:tcW w:w="960" w:type="dxa"/>
            <w:tcBorders>
              <w:top w:val="nil"/>
              <w:left w:val="nil"/>
              <w:bottom w:val="single" w:sz="8" w:space="0" w:color="auto"/>
              <w:right w:val="single" w:sz="8" w:space="0" w:color="auto"/>
            </w:tcBorders>
            <w:vAlign w:val="center"/>
            <w:hideMark/>
          </w:tcPr>
          <w:p w14:paraId="14B5ADD4"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18,5</w:t>
            </w:r>
          </w:p>
        </w:tc>
        <w:tc>
          <w:tcPr>
            <w:tcW w:w="960" w:type="dxa"/>
            <w:tcBorders>
              <w:top w:val="nil"/>
              <w:left w:val="nil"/>
              <w:bottom w:val="single" w:sz="8" w:space="0" w:color="auto"/>
              <w:right w:val="single" w:sz="8" w:space="0" w:color="auto"/>
            </w:tcBorders>
            <w:vAlign w:val="center"/>
            <w:hideMark/>
          </w:tcPr>
          <w:p w14:paraId="18DA643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4,9</w:t>
            </w:r>
          </w:p>
        </w:tc>
        <w:tc>
          <w:tcPr>
            <w:tcW w:w="960" w:type="dxa"/>
            <w:tcBorders>
              <w:top w:val="nil"/>
              <w:left w:val="nil"/>
              <w:bottom w:val="single" w:sz="8" w:space="0" w:color="auto"/>
              <w:right w:val="single" w:sz="8" w:space="0" w:color="auto"/>
            </w:tcBorders>
            <w:vAlign w:val="center"/>
            <w:hideMark/>
          </w:tcPr>
          <w:p w14:paraId="0D43D71F"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4,0</w:t>
            </w:r>
          </w:p>
        </w:tc>
        <w:tc>
          <w:tcPr>
            <w:tcW w:w="960" w:type="dxa"/>
            <w:tcBorders>
              <w:top w:val="nil"/>
              <w:left w:val="nil"/>
              <w:bottom w:val="single" w:sz="8" w:space="0" w:color="auto"/>
              <w:right w:val="single" w:sz="8" w:space="0" w:color="auto"/>
            </w:tcBorders>
            <w:vAlign w:val="center"/>
            <w:hideMark/>
          </w:tcPr>
          <w:p w14:paraId="7EA06FC3"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3,1</w:t>
            </w:r>
          </w:p>
        </w:tc>
        <w:tc>
          <w:tcPr>
            <w:tcW w:w="960" w:type="dxa"/>
            <w:tcBorders>
              <w:top w:val="nil"/>
              <w:left w:val="nil"/>
              <w:bottom w:val="single" w:sz="8" w:space="0" w:color="auto"/>
              <w:right w:val="single" w:sz="8" w:space="0" w:color="auto"/>
            </w:tcBorders>
            <w:vAlign w:val="center"/>
            <w:hideMark/>
          </w:tcPr>
          <w:p w14:paraId="6BEC922F"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0,7</w:t>
            </w:r>
          </w:p>
        </w:tc>
        <w:tc>
          <w:tcPr>
            <w:tcW w:w="1066" w:type="dxa"/>
            <w:tcBorders>
              <w:top w:val="nil"/>
              <w:left w:val="nil"/>
              <w:bottom w:val="single" w:sz="8" w:space="0" w:color="auto"/>
              <w:right w:val="single" w:sz="8" w:space="0" w:color="auto"/>
            </w:tcBorders>
            <w:vAlign w:val="center"/>
            <w:hideMark/>
          </w:tcPr>
          <w:p w14:paraId="6DB10923"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0,5</w:t>
            </w:r>
          </w:p>
        </w:tc>
        <w:tc>
          <w:tcPr>
            <w:tcW w:w="1134" w:type="dxa"/>
            <w:tcBorders>
              <w:top w:val="nil"/>
              <w:left w:val="nil"/>
              <w:bottom w:val="single" w:sz="8" w:space="0" w:color="auto"/>
              <w:right w:val="single" w:sz="8" w:space="0" w:color="auto"/>
            </w:tcBorders>
            <w:vAlign w:val="center"/>
            <w:hideMark/>
          </w:tcPr>
          <w:p w14:paraId="3BB86B7E"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70,0</w:t>
            </w:r>
          </w:p>
        </w:tc>
      </w:tr>
      <w:tr w:rsidR="00F37DCB" w14:paraId="0B23F0E5"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08C5A6E7" w14:textId="77777777" w:rsidR="00852A1F" w:rsidRPr="00852A1F" w:rsidRDefault="00000000" w:rsidP="00852A1F">
            <w:pPr>
              <w:spacing w:after="0" w:line="240" w:lineRule="auto"/>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Разом пільги</w:t>
            </w:r>
          </w:p>
        </w:tc>
        <w:tc>
          <w:tcPr>
            <w:tcW w:w="960" w:type="dxa"/>
            <w:tcBorders>
              <w:top w:val="nil"/>
              <w:left w:val="nil"/>
              <w:bottom w:val="single" w:sz="8" w:space="0" w:color="auto"/>
              <w:right w:val="single" w:sz="8" w:space="0" w:color="auto"/>
            </w:tcBorders>
            <w:vAlign w:val="center"/>
            <w:hideMark/>
          </w:tcPr>
          <w:p w14:paraId="21A0AEFB"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41,5</w:t>
            </w:r>
          </w:p>
        </w:tc>
        <w:tc>
          <w:tcPr>
            <w:tcW w:w="960" w:type="dxa"/>
            <w:tcBorders>
              <w:top w:val="nil"/>
              <w:left w:val="nil"/>
              <w:bottom w:val="single" w:sz="8" w:space="0" w:color="auto"/>
              <w:right w:val="single" w:sz="8" w:space="0" w:color="auto"/>
            </w:tcBorders>
            <w:vAlign w:val="center"/>
            <w:hideMark/>
          </w:tcPr>
          <w:p w14:paraId="2C659C77"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72,7</w:t>
            </w:r>
          </w:p>
        </w:tc>
        <w:tc>
          <w:tcPr>
            <w:tcW w:w="960" w:type="dxa"/>
            <w:tcBorders>
              <w:top w:val="nil"/>
              <w:left w:val="nil"/>
              <w:bottom w:val="single" w:sz="8" w:space="0" w:color="auto"/>
              <w:right w:val="single" w:sz="8" w:space="0" w:color="auto"/>
            </w:tcBorders>
            <w:vAlign w:val="center"/>
            <w:hideMark/>
          </w:tcPr>
          <w:p w14:paraId="51304D6F"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136,9</w:t>
            </w:r>
          </w:p>
        </w:tc>
        <w:tc>
          <w:tcPr>
            <w:tcW w:w="960" w:type="dxa"/>
            <w:tcBorders>
              <w:top w:val="nil"/>
              <w:left w:val="nil"/>
              <w:bottom w:val="single" w:sz="8" w:space="0" w:color="auto"/>
              <w:right w:val="single" w:sz="8" w:space="0" w:color="auto"/>
            </w:tcBorders>
            <w:vAlign w:val="center"/>
            <w:hideMark/>
          </w:tcPr>
          <w:p w14:paraId="45176AC0"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140,3</w:t>
            </w:r>
          </w:p>
        </w:tc>
        <w:tc>
          <w:tcPr>
            <w:tcW w:w="960" w:type="dxa"/>
            <w:tcBorders>
              <w:top w:val="nil"/>
              <w:left w:val="nil"/>
              <w:bottom w:val="single" w:sz="8" w:space="0" w:color="auto"/>
              <w:right w:val="single" w:sz="8" w:space="0" w:color="auto"/>
            </w:tcBorders>
            <w:vAlign w:val="center"/>
            <w:hideMark/>
          </w:tcPr>
          <w:p w14:paraId="2E670FE8"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144,4</w:t>
            </w:r>
          </w:p>
        </w:tc>
        <w:tc>
          <w:tcPr>
            <w:tcW w:w="960" w:type="dxa"/>
            <w:tcBorders>
              <w:top w:val="nil"/>
              <w:left w:val="nil"/>
              <w:bottom w:val="single" w:sz="8" w:space="0" w:color="auto"/>
              <w:right w:val="single" w:sz="8" w:space="0" w:color="auto"/>
            </w:tcBorders>
            <w:vAlign w:val="center"/>
            <w:hideMark/>
          </w:tcPr>
          <w:p w14:paraId="42DA0E0C"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147,6</w:t>
            </w:r>
          </w:p>
        </w:tc>
        <w:tc>
          <w:tcPr>
            <w:tcW w:w="1066" w:type="dxa"/>
            <w:tcBorders>
              <w:top w:val="nil"/>
              <w:left w:val="nil"/>
              <w:bottom w:val="single" w:sz="8" w:space="0" w:color="auto"/>
              <w:right w:val="single" w:sz="8" w:space="0" w:color="auto"/>
            </w:tcBorders>
            <w:vAlign w:val="center"/>
            <w:hideMark/>
          </w:tcPr>
          <w:p w14:paraId="4259C93C"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153,1</w:t>
            </w:r>
          </w:p>
        </w:tc>
        <w:tc>
          <w:tcPr>
            <w:tcW w:w="1134" w:type="dxa"/>
            <w:tcBorders>
              <w:top w:val="nil"/>
              <w:left w:val="nil"/>
              <w:bottom w:val="single" w:sz="8" w:space="0" w:color="auto"/>
              <w:right w:val="single" w:sz="8" w:space="0" w:color="auto"/>
            </w:tcBorders>
            <w:vAlign w:val="center"/>
            <w:hideMark/>
          </w:tcPr>
          <w:p w14:paraId="0989EBB3"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836,5</w:t>
            </w:r>
          </w:p>
        </w:tc>
      </w:tr>
      <w:tr w:rsidR="00F37DCB" w14:paraId="4F81DB8A" w14:textId="77777777" w:rsidTr="00852A1F">
        <w:trPr>
          <w:trHeight w:val="300"/>
        </w:trPr>
        <w:tc>
          <w:tcPr>
            <w:tcW w:w="9820" w:type="dxa"/>
            <w:gridSpan w:val="9"/>
            <w:tcBorders>
              <w:top w:val="single" w:sz="8" w:space="0" w:color="auto"/>
              <w:left w:val="single" w:sz="8" w:space="0" w:color="auto"/>
              <w:bottom w:val="single" w:sz="8" w:space="0" w:color="auto"/>
              <w:right w:val="single" w:sz="8" w:space="0" w:color="000000"/>
            </w:tcBorders>
            <w:vAlign w:val="center"/>
            <w:hideMark/>
          </w:tcPr>
          <w:p w14:paraId="7CDD43E0" w14:textId="77777777" w:rsidR="00852A1F" w:rsidRPr="00852A1F" w:rsidRDefault="00000000" w:rsidP="00852A1F">
            <w:pPr>
              <w:spacing w:after="0" w:line="240" w:lineRule="auto"/>
              <w:jc w:val="center"/>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Чистий фіскальний ефект</w:t>
            </w:r>
          </w:p>
        </w:tc>
      </w:tr>
      <w:tr w:rsidR="00F37DCB" w14:paraId="2B8B38B0" w14:textId="77777777" w:rsidTr="00852A1F">
        <w:trPr>
          <w:trHeight w:val="876"/>
        </w:trPr>
        <w:tc>
          <w:tcPr>
            <w:tcW w:w="1860" w:type="dxa"/>
            <w:tcBorders>
              <w:top w:val="nil"/>
              <w:left w:val="single" w:sz="8" w:space="0" w:color="auto"/>
              <w:bottom w:val="single" w:sz="8" w:space="0" w:color="auto"/>
              <w:right w:val="single" w:sz="8" w:space="0" w:color="auto"/>
            </w:tcBorders>
            <w:vAlign w:val="center"/>
            <w:hideMark/>
          </w:tcPr>
          <w:p w14:paraId="43D01E04"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Для державного бюджету і пенсійного фонду</w:t>
            </w:r>
          </w:p>
        </w:tc>
        <w:tc>
          <w:tcPr>
            <w:tcW w:w="960" w:type="dxa"/>
            <w:tcBorders>
              <w:top w:val="nil"/>
              <w:left w:val="nil"/>
              <w:bottom w:val="single" w:sz="8" w:space="0" w:color="auto"/>
              <w:right w:val="single" w:sz="8" w:space="0" w:color="auto"/>
            </w:tcBorders>
            <w:vAlign w:val="center"/>
            <w:hideMark/>
          </w:tcPr>
          <w:p w14:paraId="221C53F9"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324,9</w:t>
            </w:r>
          </w:p>
        </w:tc>
        <w:tc>
          <w:tcPr>
            <w:tcW w:w="960" w:type="dxa"/>
            <w:tcBorders>
              <w:top w:val="nil"/>
              <w:left w:val="nil"/>
              <w:bottom w:val="single" w:sz="8" w:space="0" w:color="auto"/>
              <w:right w:val="single" w:sz="8" w:space="0" w:color="auto"/>
            </w:tcBorders>
            <w:vAlign w:val="center"/>
            <w:hideMark/>
          </w:tcPr>
          <w:p w14:paraId="33CE4D1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452,8</w:t>
            </w:r>
          </w:p>
        </w:tc>
        <w:tc>
          <w:tcPr>
            <w:tcW w:w="960" w:type="dxa"/>
            <w:tcBorders>
              <w:top w:val="nil"/>
              <w:left w:val="nil"/>
              <w:bottom w:val="single" w:sz="8" w:space="0" w:color="auto"/>
              <w:right w:val="single" w:sz="8" w:space="0" w:color="auto"/>
            </w:tcBorders>
            <w:vAlign w:val="center"/>
            <w:hideMark/>
          </w:tcPr>
          <w:p w14:paraId="0C70A987"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595,0</w:t>
            </w:r>
          </w:p>
        </w:tc>
        <w:tc>
          <w:tcPr>
            <w:tcW w:w="960" w:type="dxa"/>
            <w:tcBorders>
              <w:top w:val="nil"/>
              <w:left w:val="nil"/>
              <w:bottom w:val="single" w:sz="8" w:space="0" w:color="auto"/>
              <w:right w:val="single" w:sz="8" w:space="0" w:color="auto"/>
            </w:tcBorders>
            <w:vAlign w:val="center"/>
            <w:hideMark/>
          </w:tcPr>
          <w:p w14:paraId="592453A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619,1</w:t>
            </w:r>
          </w:p>
        </w:tc>
        <w:tc>
          <w:tcPr>
            <w:tcW w:w="960" w:type="dxa"/>
            <w:tcBorders>
              <w:top w:val="nil"/>
              <w:left w:val="nil"/>
              <w:bottom w:val="single" w:sz="8" w:space="0" w:color="auto"/>
              <w:right w:val="single" w:sz="8" w:space="0" w:color="auto"/>
            </w:tcBorders>
            <w:vAlign w:val="center"/>
            <w:hideMark/>
          </w:tcPr>
          <w:p w14:paraId="61AAA6BA"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647,2</w:t>
            </w:r>
          </w:p>
        </w:tc>
        <w:tc>
          <w:tcPr>
            <w:tcW w:w="960" w:type="dxa"/>
            <w:tcBorders>
              <w:top w:val="nil"/>
              <w:left w:val="nil"/>
              <w:bottom w:val="single" w:sz="8" w:space="0" w:color="auto"/>
              <w:right w:val="single" w:sz="8" w:space="0" w:color="auto"/>
            </w:tcBorders>
            <w:vAlign w:val="center"/>
            <w:hideMark/>
          </w:tcPr>
          <w:p w14:paraId="6ACB2514"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677,6</w:t>
            </w:r>
          </w:p>
        </w:tc>
        <w:tc>
          <w:tcPr>
            <w:tcW w:w="1066" w:type="dxa"/>
            <w:tcBorders>
              <w:top w:val="nil"/>
              <w:left w:val="nil"/>
              <w:bottom w:val="single" w:sz="8" w:space="0" w:color="auto"/>
              <w:right w:val="single" w:sz="8" w:space="0" w:color="auto"/>
            </w:tcBorders>
            <w:vAlign w:val="center"/>
            <w:hideMark/>
          </w:tcPr>
          <w:p w14:paraId="0E5A659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707,3</w:t>
            </w:r>
          </w:p>
        </w:tc>
        <w:tc>
          <w:tcPr>
            <w:tcW w:w="1134" w:type="dxa"/>
            <w:tcBorders>
              <w:top w:val="nil"/>
              <w:left w:val="nil"/>
              <w:bottom w:val="single" w:sz="8" w:space="0" w:color="auto"/>
              <w:right w:val="single" w:sz="8" w:space="0" w:color="auto"/>
            </w:tcBorders>
            <w:vAlign w:val="center"/>
            <w:hideMark/>
          </w:tcPr>
          <w:p w14:paraId="3CF8B02B"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4023,8</w:t>
            </w:r>
          </w:p>
        </w:tc>
      </w:tr>
      <w:tr w:rsidR="00F37DCB" w14:paraId="6674AA60" w14:textId="77777777" w:rsidTr="00852A1F">
        <w:trPr>
          <w:trHeight w:val="588"/>
        </w:trPr>
        <w:tc>
          <w:tcPr>
            <w:tcW w:w="1860" w:type="dxa"/>
            <w:tcBorders>
              <w:top w:val="nil"/>
              <w:left w:val="single" w:sz="8" w:space="0" w:color="auto"/>
              <w:bottom w:val="single" w:sz="8" w:space="0" w:color="auto"/>
              <w:right w:val="single" w:sz="8" w:space="0" w:color="auto"/>
            </w:tcBorders>
            <w:vAlign w:val="center"/>
            <w:hideMark/>
          </w:tcPr>
          <w:p w14:paraId="170A9454" w14:textId="77777777" w:rsidR="00852A1F" w:rsidRPr="00852A1F" w:rsidRDefault="00000000" w:rsidP="00852A1F">
            <w:pPr>
              <w:spacing w:after="0" w:line="240" w:lineRule="auto"/>
              <w:rPr>
                <w:rFonts w:ascii="Times New Roman" w:eastAsia="Times New Roman" w:hAnsi="Times New Roman" w:cs="Times New Roman"/>
                <w:sz w:val="24"/>
                <w:szCs w:val="24"/>
                <w:lang w:val="ru-RU" w:eastAsia="ru-RU"/>
              </w:rPr>
            </w:pPr>
            <w:r w:rsidRPr="00852A1F">
              <w:rPr>
                <w:rFonts w:ascii="Times New Roman" w:eastAsia="Times New Roman" w:hAnsi="Times New Roman" w:cs="Times New Roman"/>
                <w:sz w:val="24"/>
                <w:szCs w:val="24"/>
                <w:lang w:eastAsia="ru-RU"/>
              </w:rPr>
              <w:t>Для місцевого бюджету</w:t>
            </w:r>
          </w:p>
        </w:tc>
        <w:tc>
          <w:tcPr>
            <w:tcW w:w="960" w:type="dxa"/>
            <w:tcBorders>
              <w:top w:val="nil"/>
              <w:left w:val="nil"/>
              <w:bottom w:val="single" w:sz="8" w:space="0" w:color="auto"/>
              <w:right w:val="single" w:sz="8" w:space="0" w:color="auto"/>
            </w:tcBorders>
            <w:vAlign w:val="center"/>
            <w:hideMark/>
          </w:tcPr>
          <w:p w14:paraId="0BE90C92"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32,4</w:t>
            </w:r>
          </w:p>
        </w:tc>
        <w:tc>
          <w:tcPr>
            <w:tcW w:w="960" w:type="dxa"/>
            <w:tcBorders>
              <w:top w:val="nil"/>
              <w:left w:val="nil"/>
              <w:bottom w:val="single" w:sz="8" w:space="0" w:color="auto"/>
              <w:right w:val="single" w:sz="8" w:space="0" w:color="auto"/>
            </w:tcBorders>
            <w:vAlign w:val="center"/>
            <w:hideMark/>
          </w:tcPr>
          <w:p w14:paraId="0693FD68"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49,5</w:t>
            </w:r>
          </w:p>
        </w:tc>
        <w:tc>
          <w:tcPr>
            <w:tcW w:w="960" w:type="dxa"/>
            <w:tcBorders>
              <w:top w:val="nil"/>
              <w:left w:val="nil"/>
              <w:bottom w:val="single" w:sz="8" w:space="0" w:color="auto"/>
              <w:right w:val="single" w:sz="8" w:space="0" w:color="auto"/>
            </w:tcBorders>
            <w:vAlign w:val="center"/>
            <w:hideMark/>
          </w:tcPr>
          <w:p w14:paraId="766D336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68,6</w:t>
            </w:r>
          </w:p>
        </w:tc>
        <w:tc>
          <w:tcPr>
            <w:tcW w:w="960" w:type="dxa"/>
            <w:tcBorders>
              <w:top w:val="nil"/>
              <w:left w:val="nil"/>
              <w:bottom w:val="single" w:sz="8" w:space="0" w:color="auto"/>
              <w:right w:val="single" w:sz="8" w:space="0" w:color="auto"/>
            </w:tcBorders>
            <w:vAlign w:val="center"/>
            <w:hideMark/>
          </w:tcPr>
          <w:p w14:paraId="5658FDB5"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70,9</w:t>
            </w:r>
          </w:p>
        </w:tc>
        <w:tc>
          <w:tcPr>
            <w:tcW w:w="960" w:type="dxa"/>
            <w:tcBorders>
              <w:top w:val="nil"/>
              <w:left w:val="nil"/>
              <w:bottom w:val="single" w:sz="8" w:space="0" w:color="auto"/>
              <w:right w:val="single" w:sz="8" w:space="0" w:color="auto"/>
            </w:tcBorders>
            <w:vAlign w:val="center"/>
            <w:hideMark/>
          </w:tcPr>
          <w:p w14:paraId="2F09F121"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74,8</w:t>
            </w:r>
          </w:p>
        </w:tc>
        <w:tc>
          <w:tcPr>
            <w:tcW w:w="960" w:type="dxa"/>
            <w:tcBorders>
              <w:top w:val="nil"/>
              <w:left w:val="nil"/>
              <w:bottom w:val="single" w:sz="8" w:space="0" w:color="auto"/>
              <w:right w:val="single" w:sz="8" w:space="0" w:color="auto"/>
            </w:tcBorders>
            <w:vAlign w:val="center"/>
            <w:hideMark/>
          </w:tcPr>
          <w:p w14:paraId="2B7459CE"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78,7</w:t>
            </w:r>
          </w:p>
        </w:tc>
        <w:tc>
          <w:tcPr>
            <w:tcW w:w="1066" w:type="dxa"/>
            <w:tcBorders>
              <w:top w:val="nil"/>
              <w:left w:val="nil"/>
              <w:bottom w:val="single" w:sz="8" w:space="0" w:color="auto"/>
              <w:right w:val="single" w:sz="8" w:space="0" w:color="auto"/>
            </w:tcBorders>
            <w:vAlign w:val="center"/>
            <w:hideMark/>
          </w:tcPr>
          <w:p w14:paraId="29A5ED02"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83,0</w:t>
            </w:r>
          </w:p>
        </w:tc>
        <w:tc>
          <w:tcPr>
            <w:tcW w:w="1134" w:type="dxa"/>
            <w:tcBorders>
              <w:top w:val="nil"/>
              <w:left w:val="nil"/>
              <w:bottom w:val="single" w:sz="8" w:space="0" w:color="auto"/>
              <w:right w:val="single" w:sz="8" w:space="0" w:color="auto"/>
            </w:tcBorders>
            <w:vAlign w:val="center"/>
            <w:hideMark/>
          </w:tcPr>
          <w:p w14:paraId="5D822FE7" w14:textId="77777777" w:rsidR="00852A1F" w:rsidRPr="00852A1F" w:rsidRDefault="00000000" w:rsidP="00852A1F">
            <w:pPr>
              <w:spacing w:after="0" w:line="240" w:lineRule="auto"/>
              <w:jc w:val="right"/>
              <w:rPr>
                <w:rFonts w:ascii="Times New Roman" w:eastAsia="Times New Roman" w:hAnsi="Times New Roman" w:cs="Times New Roman"/>
                <w:sz w:val="24"/>
                <w:szCs w:val="24"/>
                <w:lang w:val="ru-RU" w:eastAsia="ru-RU"/>
              </w:rPr>
            </w:pPr>
            <w:r w:rsidRPr="00852A1F">
              <w:rPr>
                <w:rFonts w:ascii="Times New Roman" w:eastAsia="Calibri" w:hAnsi="Times New Roman" w:cs="Times New Roman"/>
                <w:kern w:val="2"/>
                <w:sz w:val="24"/>
                <w:szCs w:val="24"/>
                <w:lang w:eastAsia="en-US"/>
                <w14:ligatures w14:val="standardContextual"/>
              </w:rPr>
              <w:t>458,0</w:t>
            </w:r>
          </w:p>
        </w:tc>
      </w:tr>
      <w:tr w:rsidR="00F37DCB" w14:paraId="0E87E6C9" w14:textId="77777777" w:rsidTr="00852A1F">
        <w:trPr>
          <w:trHeight w:val="300"/>
        </w:trPr>
        <w:tc>
          <w:tcPr>
            <w:tcW w:w="1860" w:type="dxa"/>
            <w:tcBorders>
              <w:top w:val="nil"/>
              <w:left w:val="single" w:sz="8" w:space="0" w:color="auto"/>
              <w:bottom w:val="single" w:sz="8" w:space="0" w:color="auto"/>
              <w:right w:val="single" w:sz="8" w:space="0" w:color="auto"/>
            </w:tcBorders>
            <w:vAlign w:val="center"/>
            <w:hideMark/>
          </w:tcPr>
          <w:p w14:paraId="24B90F93" w14:textId="77777777" w:rsidR="00852A1F" w:rsidRPr="00852A1F" w:rsidRDefault="00000000" w:rsidP="00852A1F">
            <w:pPr>
              <w:spacing w:after="0" w:line="240" w:lineRule="auto"/>
              <w:rPr>
                <w:rFonts w:ascii="Times New Roman" w:eastAsia="Times New Roman" w:hAnsi="Times New Roman" w:cs="Times New Roman"/>
                <w:b/>
                <w:bCs/>
                <w:sz w:val="24"/>
                <w:szCs w:val="24"/>
                <w:lang w:val="ru-RU" w:eastAsia="ru-RU"/>
              </w:rPr>
            </w:pPr>
            <w:r w:rsidRPr="00852A1F">
              <w:rPr>
                <w:rFonts w:ascii="Times New Roman" w:eastAsia="Times New Roman" w:hAnsi="Times New Roman" w:cs="Times New Roman"/>
                <w:b/>
                <w:bCs/>
                <w:sz w:val="24"/>
                <w:szCs w:val="24"/>
                <w:lang w:eastAsia="ru-RU"/>
              </w:rPr>
              <w:t>Разом</w:t>
            </w:r>
          </w:p>
        </w:tc>
        <w:tc>
          <w:tcPr>
            <w:tcW w:w="960" w:type="dxa"/>
            <w:tcBorders>
              <w:top w:val="nil"/>
              <w:left w:val="nil"/>
              <w:bottom w:val="single" w:sz="8" w:space="0" w:color="auto"/>
              <w:right w:val="single" w:sz="8" w:space="0" w:color="auto"/>
            </w:tcBorders>
            <w:vAlign w:val="center"/>
            <w:hideMark/>
          </w:tcPr>
          <w:p w14:paraId="6A97470D"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357,3</w:t>
            </w:r>
          </w:p>
        </w:tc>
        <w:tc>
          <w:tcPr>
            <w:tcW w:w="960" w:type="dxa"/>
            <w:tcBorders>
              <w:top w:val="nil"/>
              <w:left w:val="nil"/>
              <w:bottom w:val="single" w:sz="8" w:space="0" w:color="auto"/>
              <w:right w:val="single" w:sz="8" w:space="0" w:color="auto"/>
            </w:tcBorders>
            <w:vAlign w:val="center"/>
            <w:hideMark/>
          </w:tcPr>
          <w:p w14:paraId="488DB6F5"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502,3</w:t>
            </w:r>
          </w:p>
        </w:tc>
        <w:tc>
          <w:tcPr>
            <w:tcW w:w="960" w:type="dxa"/>
            <w:tcBorders>
              <w:top w:val="nil"/>
              <w:left w:val="nil"/>
              <w:bottom w:val="single" w:sz="8" w:space="0" w:color="auto"/>
              <w:right w:val="single" w:sz="8" w:space="0" w:color="auto"/>
            </w:tcBorders>
            <w:vAlign w:val="center"/>
            <w:hideMark/>
          </w:tcPr>
          <w:p w14:paraId="7FB0AACB"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663,6</w:t>
            </w:r>
          </w:p>
        </w:tc>
        <w:tc>
          <w:tcPr>
            <w:tcW w:w="960" w:type="dxa"/>
            <w:tcBorders>
              <w:top w:val="nil"/>
              <w:left w:val="nil"/>
              <w:bottom w:val="single" w:sz="8" w:space="0" w:color="auto"/>
              <w:right w:val="single" w:sz="8" w:space="0" w:color="auto"/>
            </w:tcBorders>
            <w:vAlign w:val="center"/>
            <w:hideMark/>
          </w:tcPr>
          <w:p w14:paraId="37952D20"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690,0</w:t>
            </w:r>
          </w:p>
        </w:tc>
        <w:tc>
          <w:tcPr>
            <w:tcW w:w="960" w:type="dxa"/>
            <w:tcBorders>
              <w:top w:val="nil"/>
              <w:left w:val="nil"/>
              <w:bottom w:val="single" w:sz="8" w:space="0" w:color="auto"/>
              <w:right w:val="single" w:sz="8" w:space="0" w:color="auto"/>
            </w:tcBorders>
            <w:vAlign w:val="center"/>
            <w:hideMark/>
          </w:tcPr>
          <w:p w14:paraId="70F0F65E"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722,0</w:t>
            </w:r>
          </w:p>
        </w:tc>
        <w:tc>
          <w:tcPr>
            <w:tcW w:w="960" w:type="dxa"/>
            <w:tcBorders>
              <w:top w:val="nil"/>
              <w:left w:val="nil"/>
              <w:bottom w:val="single" w:sz="8" w:space="0" w:color="auto"/>
              <w:right w:val="single" w:sz="8" w:space="0" w:color="auto"/>
            </w:tcBorders>
            <w:vAlign w:val="center"/>
            <w:hideMark/>
          </w:tcPr>
          <w:p w14:paraId="67287ADE"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756,3</w:t>
            </w:r>
          </w:p>
        </w:tc>
        <w:tc>
          <w:tcPr>
            <w:tcW w:w="1066" w:type="dxa"/>
            <w:tcBorders>
              <w:top w:val="nil"/>
              <w:left w:val="nil"/>
              <w:bottom w:val="single" w:sz="8" w:space="0" w:color="auto"/>
              <w:right w:val="single" w:sz="8" w:space="0" w:color="auto"/>
            </w:tcBorders>
            <w:vAlign w:val="center"/>
            <w:hideMark/>
          </w:tcPr>
          <w:p w14:paraId="16FE8745"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790,3</w:t>
            </w:r>
          </w:p>
        </w:tc>
        <w:tc>
          <w:tcPr>
            <w:tcW w:w="1134" w:type="dxa"/>
            <w:tcBorders>
              <w:top w:val="nil"/>
              <w:left w:val="nil"/>
              <w:bottom w:val="single" w:sz="8" w:space="0" w:color="auto"/>
              <w:right w:val="single" w:sz="8" w:space="0" w:color="auto"/>
            </w:tcBorders>
            <w:vAlign w:val="center"/>
            <w:hideMark/>
          </w:tcPr>
          <w:p w14:paraId="3D9815C4" w14:textId="77777777" w:rsidR="00852A1F" w:rsidRPr="00852A1F" w:rsidRDefault="00000000" w:rsidP="00852A1F">
            <w:pPr>
              <w:spacing w:after="0" w:line="240" w:lineRule="auto"/>
              <w:jc w:val="right"/>
              <w:rPr>
                <w:rFonts w:ascii="Times New Roman" w:eastAsia="Times New Roman" w:hAnsi="Times New Roman" w:cs="Times New Roman"/>
                <w:b/>
                <w:bCs/>
                <w:sz w:val="24"/>
                <w:szCs w:val="24"/>
                <w:lang w:val="ru-RU" w:eastAsia="ru-RU"/>
              </w:rPr>
            </w:pPr>
            <w:r w:rsidRPr="00852A1F">
              <w:rPr>
                <w:rFonts w:ascii="Times New Roman" w:eastAsia="Calibri" w:hAnsi="Times New Roman" w:cs="Times New Roman"/>
                <w:b/>
                <w:bCs/>
                <w:kern w:val="2"/>
                <w:sz w:val="24"/>
                <w:szCs w:val="24"/>
                <w:lang w:eastAsia="en-US"/>
                <w14:ligatures w14:val="standardContextual"/>
              </w:rPr>
              <w:t>4481,8</w:t>
            </w:r>
          </w:p>
        </w:tc>
      </w:tr>
    </w:tbl>
    <w:p w14:paraId="0EAD53B0" w14:textId="77777777" w:rsidR="00852A1F" w:rsidRPr="00852A1F" w:rsidRDefault="00852A1F" w:rsidP="00852A1F">
      <w:pPr>
        <w:tabs>
          <w:tab w:val="left" w:pos="851"/>
        </w:tabs>
        <w:spacing w:after="0" w:line="240" w:lineRule="auto"/>
        <w:rPr>
          <w:rFonts w:ascii="Times New Roman" w:eastAsia="Calibri" w:hAnsi="Times New Roman" w:cs="Times New Roman"/>
          <w:b/>
          <w:bCs/>
          <w:kern w:val="2"/>
          <w:sz w:val="28"/>
          <w:szCs w:val="28"/>
          <w:lang w:eastAsia="en-US"/>
          <w14:ligatures w14:val="standardContextual"/>
        </w:rPr>
      </w:pPr>
    </w:p>
    <w:p w14:paraId="2A702FED" w14:textId="77777777" w:rsidR="00852A1F" w:rsidRPr="00852A1F" w:rsidRDefault="00000000" w:rsidP="00852A1F">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Залучення суб’єктів малого і середнього підприємництва</w:t>
      </w:r>
    </w:p>
    <w:p w14:paraId="2CEB5849"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Реалізація проєкту індустріального парку «БУДШЛЯХМАШ» стане потужним імпульсом для розвитку місцевого МСП, адже сприятиме модернізації логістичної та інженерно-транспортної інфраструктури, формуванню промислового кластера та міжгалузевої синергії, підвищенню інвестиційної привабливості і прискоренню інновацій</w:t>
      </w:r>
      <w:r w:rsidRPr="00852A1F">
        <w:rPr>
          <w:rFonts w:ascii="Times New Roman" w:eastAsia="Calibri" w:hAnsi="Times New Roman" w:cs="Times New Roman"/>
          <w:kern w:val="2"/>
          <w:sz w:val="28"/>
          <w:szCs w:val="28"/>
          <w:lang w:eastAsia="en-US"/>
          <w14:ligatures w14:val="standardContextual"/>
        </w:rPr>
        <w:softHyphen/>
        <w:t>ного розвитку регіону.</w:t>
      </w:r>
    </w:p>
    <w:p w14:paraId="5BA6C368"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Основні переваги, які обумовлюють позитивний вплив парку, полягають у наступному. По-перше, індустріальні парки забезпечують доступ до інфраструктури, вирішуючи типові проблеми МСП, пов’язані з недостатнім транспортним сполученням, енергопостачанням та іншими комунікаціями. Готові інфраструктурні рішення дозволяють підприємствам зосередитися на основній діяльності, не витрачаючи ресурси на вирішення технічних питань, що особливо важливо для стартапів та компаній з обмеженими стартовими ресурсами.</w:t>
      </w:r>
    </w:p>
    <w:p w14:paraId="27A35349"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По-друге, індустріальні парки сприяють створенню кластерів і синергії між підприємст</w:t>
      </w:r>
      <w:r w:rsidRPr="00852A1F">
        <w:rPr>
          <w:rFonts w:ascii="Times New Roman" w:eastAsia="Calibri" w:hAnsi="Times New Roman" w:cs="Times New Roman"/>
          <w:kern w:val="2"/>
          <w:sz w:val="28"/>
          <w:szCs w:val="28"/>
          <w:lang w:eastAsia="en-US"/>
          <w14:ligatures w14:val="standardContextual"/>
        </w:rPr>
        <w:softHyphen/>
        <w:t>вами. Розташування МСП поруч з великими промисловими комплексами відкриває можливості для співпраці, обміну досвідом та інноваціями. Малі підприємства можуть ставати постачальниками для великих компаній, розширюючи ринки збуту та збільшуючи обсяги виробництва. Крім того, кластери стимулюють спільні проєкти та ініціативи, що підвищує конкурентоспроможність регіону.</w:t>
      </w:r>
    </w:p>
    <w:p w14:paraId="3FBEDD94"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По-третє, індустріальні парки приваблюють інвестиції та створюють нові робочі місця. Залучення великих інвесторів стимулює економічну активність, збільшуючи попит на товари та послуги, які надає малий та середній бізнес. Це, </w:t>
      </w:r>
      <w:r w:rsidRPr="00852A1F">
        <w:rPr>
          <w:rFonts w:ascii="Times New Roman" w:eastAsia="Calibri" w:hAnsi="Times New Roman" w:cs="Times New Roman"/>
          <w:kern w:val="2"/>
          <w:sz w:val="28"/>
          <w:szCs w:val="28"/>
          <w:lang w:eastAsia="en-US"/>
          <w14:ligatures w14:val="standardContextual"/>
        </w:rPr>
        <w:lastRenderedPageBreak/>
        <w:t>у свою чергу, сприяє зростанню доходів місцевих підприємств та формуванню нових робочих місць.</w:t>
      </w:r>
    </w:p>
    <w:p w14:paraId="18474A3D"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Нарешті індустріальні парки сприяють розвитку інновацій та технологій. Сучасні парки часто включають науково-дослідні центри, бізнес-інкубатори та акселератори, які надають підтримку стартапам та інноваційним компаніям. Це допомагає малому та середньому бізнесу впроваджувати нові технології, розробляти інноваційні продукти та послуги, а також виходити на міжнародні ринки.</w:t>
      </w:r>
    </w:p>
    <w:p w14:paraId="01F7C6FA"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Таким чином, бізнес, розміщений в ІП «БУДШЛЯХМАШ», активно взаємодіятиме з численними контрагентами як всередині, так і за межами парку. Співпраця учасників з МСП — у сферах логістики, харчування, сервісного обслуговування тощо — відкриватиме додаткові можливості для створення нових робочих місць та розвитку економіки регіону.</w:t>
      </w:r>
      <w:bookmarkStart w:id="15" w:name="_Toc194054635"/>
    </w:p>
    <w:p w14:paraId="19991CDF" w14:textId="77777777" w:rsidR="00852A1F" w:rsidRPr="00852A1F" w:rsidRDefault="00000000" w:rsidP="00852A1F">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r w:rsidRPr="00852A1F">
        <w:rPr>
          <w:rFonts w:ascii="Times New Roman" w:eastAsia="Times New Roman" w:hAnsi="Times New Roman" w:cs="Times New Roman"/>
          <w:b/>
          <w:kern w:val="2"/>
          <w:sz w:val="28"/>
          <w:szCs w:val="28"/>
          <w:lang w:eastAsia="en-US"/>
          <w14:ligatures w14:val="standardContextual"/>
        </w:rPr>
        <w:t xml:space="preserve">  Макроекономічні ефекти реалізації проєкту індустріального парку</w:t>
      </w:r>
      <w:bookmarkEnd w:id="15"/>
    </w:p>
    <w:p w14:paraId="21F54566"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Окрім оцінки фінансових результатів діяльності індустріального парку, його впливу на місцевий бюджет і рівень зайнятості, критично важливим є аналіз макроекономічних ефектів, які виникають унаслідок реалізації такого проєкту. Залучення значних капіталовкладень у створення нового промислового кластера спричиняє структурні зміни в економіці країни. Ці зміни обумовлені формуванням розгалуженої мережі міжгалузевих зв’язків, які виникають завдяки кластерному ефекту, а також активізацією зовнішньоторговельної діяльності — як у процесі імпорту високотехнологічного обладнання, так і внаслідок експорту готової продукції.</w:t>
      </w:r>
    </w:p>
    <w:p w14:paraId="59740EE1"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Таким чином, макроекономічні наслідки створення індустріальних парків виходять за рамки локального впливу на регіональну економіку. Вони формують довгострокові передумови для зміцнення промислового потенціалу країни, підвищення її конкуренто</w:t>
      </w:r>
      <w:r w:rsidRPr="00852A1F">
        <w:rPr>
          <w:rFonts w:ascii="Times New Roman" w:eastAsia="Calibri" w:hAnsi="Times New Roman" w:cs="Times New Roman"/>
          <w:kern w:val="2"/>
          <w:sz w:val="28"/>
          <w:szCs w:val="28"/>
          <w:lang w:eastAsia="en-US"/>
          <w14:ligatures w14:val="standardContextual"/>
        </w:rPr>
        <w:softHyphen/>
        <w:t>спроможності на міжнародних ринках та оптимізації галузевої структури економіки. Тому врахування цих ефектів є невід’ємною складовою оцінки ефективності державної промислової політики, адже саме вони визначають стратегічну цінність таких проєктів для національної економіки.</w:t>
      </w:r>
    </w:p>
    <w:p w14:paraId="546BA9C0"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Для кількісної оцінки макроекономічних ефектів від реалізації проєкту індустріального парку «БУДШЛЯХМАШ» було проведено економіко-математичне моделювання на основі таблиць «витрати–випуск», розроблених Державною службою статистики України. Цей метод дозволяє проаналізувати міжгалузеві взаємозв’язки в економіці та оцінити, як інвестиції у виробництво продукції машинобудування у поєднанні з державними вкладеннями в інфраструктуру парку вплинуть на динаміку розвитку інших секторів національної економіки. Зокрема, він демонструє, як зростання попиту на проміжну продукцію (сировину, матеріали, послуги) для потреб індустріального парку та збільшення споживання товарів, робіт і послуг, вироблених у його межах, стимулюватиме розвиток суміжних галузей.</w:t>
      </w:r>
    </w:p>
    <w:p w14:paraId="415C06B0"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lastRenderedPageBreak/>
        <w:t>Оскільки метод ТВВ найефективніший для прогнозування середньострокових наслідків, сценарій моделювання базується на очікуваному зростанні валового випуску парку у 2033 році — з урахуванням виробництва комунальної, дорожньої, будівельної та іншої спеціальної техніки та послуг за відповідними кодами КВЕД. Розрахунки ґрунтуються на даних, наведених у таблиці 13 цієї Концепції. Такий підхід забезпечує об’єктивну оцінку впливу проєкту на структурні зміни в економіці та ефективність державних інвестицій.</w:t>
      </w:r>
    </w:p>
    <w:p w14:paraId="027962E9"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Результати моделювання вказують, що завдяки реалізації проєкту індустріального парку «БУДШЛЯХМАШ» темп приросту ВВП України у середньостроковій перспективі зросте на 0,23% на рік, що в абсолютному вимірі складає близько 17,9 млрд грн щорічно (табл. 21).</w:t>
      </w:r>
    </w:p>
    <w:p w14:paraId="05D43760" w14:textId="77777777" w:rsidR="00852A1F" w:rsidRPr="00852A1F" w:rsidRDefault="00000000" w:rsidP="00852A1F">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b/>
          <w:bCs/>
          <w:kern w:val="2"/>
          <w:sz w:val="28"/>
          <w:szCs w:val="28"/>
          <w:lang w:eastAsia="en-US"/>
          <w14:ligatures w14:val="standardContextual"/>
        </w:rPr>
        <w:t>Табл. 21.</w:t>
      </w:r>
      <w:r w:rsidRPr="00852A1F">
        <w:rPr>
          <w:rFonts w:ascii="Times New Roman" w:eastAsia="Calibri" w:hAnsi="Times New Roman" w:cs="Times New Roman"/>
          <w:kern w:val="2"/>
          <w:sz w:val="28"/>
          <w:szCs w:val="28"/>
          <w:lang w:eastAsia="en-US"/>
          <w14:ligatures w14:val="standardContextual"/>
        </w:rPr>
        <w:t xml:space="preserve"> Результати моделювання середньострокових макроекономічних і галузевих ефектів від реалізації проєкту ІП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w:t>
      </w:r>
    </w:p>
    <w:tbl>
      <w:tblPr>
        <w:tblStyle w:val="14"/>
        <w:tblW w:w="9351" w:type="dxa"/>
        <w:tblLook w:val="04A0" w:firstRow="1" w:lastRow="0" w:firstColumn="1" w:lastColumn="0" w:noHBand="0" w:noVBand="1"/>
      </w:tblPr>
      <w:tblGrid>
        <w:gridCol w:w="3175"/>
        <w:gridCol w:w="1275"/>
        <w:gridCol w:w="2835"/>
        <w:gridCol w:w="2066"/>
      </w:tblGrid>
      <w:tr w:rsidR="00F37DCB" w14:paraId="46DE4D28" w14:textId="77777777" w:rsidTr="00852A1F">
        <w:tc>
          <w:tcPr>
            <w:tcW w:w="3175" w:type="dxa"/>
            <w:tcBorders>
              <w:top w:val="single" w:sz="4" w:space="0" w:color="auto"/>
              <w:left w:val="single" w:sz="4" w:space="0" w:color="auto"/>
              <w:bottom w:val="single" w:sz="4" w:space="0" w:color="auto"/>
              <w:right w:val="single" w:sz="4" w:space="0" w:color="auto"/>
            </w:tcBorders>
            <w:shd w:val="clear" w:color="auto" w:fill="809EC2"/>
            <w:hideMark/>
          </w:tcPr>
          <w:p w14:paraId="395D103B"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Макропоказники</w:t>
            </w:r>
          </w:p>
        </w:tc>
        <w:tc>
          <w:tcPr>
            <w:tcW w:w="1275" w:type="dxa"/>
            <w:tcBorders>
              <w:top w:val="single" w:sz="4" w:space="0" w:color="auto"/>
              <w:left w:val="single" w:sz="4" w:space="0" w:color="auto"/>
              <w:bottom w:val="single" w:sz="4" w:space="0" w:color="auto"/>
              <w:right w:val="single" w:sz="4" w:space="0" w:color="auto"/>
            </w:tcBorders>
            <w:shd w:val="clear" w:color="auto" w:fill="809EC2"/>
            <w:hideMark/>
          </w:tcPr>
          <w:p w14:paraId="4244744D"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Ефекти, %</w:t>
            </w:r>
          </w:p>
        </w:tc>
        <w:tc>
          <w:tcPr>
            <w:tcW w:w="2835" w:type="dxa"/>
            <w:tcBorders>
              <w:top w:val="single" w:sz="4" w:space="0" w:color="auto"/>
              <w:left w:val="single" w:sz="4" w:space="0" w:color="auto"/>
              <w:bottom w:val="single" w:sz="4" w:space="0" w:color="auto"/>
              <w:right w:val="single" w:sz="4" w:space="0" w:color="auto"/>
            </w:tcBorders>
            <w:shd w:val="clear" w:color="auto" w:fill="809EC2"/>
            <w:hideMark/>
          </w:tcPr>
          <w:p w14:paraId="572E8676"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Секторальні показники</w:t>
            </w:r>
          </w:p>
        </w:tc>
        <w:tc>
          <w:tcPr>
            <w:tcW w:w="2066" w:type="dxa"/>
            <w:tcBorders>
              <w:top w:val="single" w:sz="4" w:space="0" w:color="auto"/>
              <w:left w:val="single" w:sz="4" w:space="0" w:color="auto"/>
              <w:bottom w:val="single" w:sz="4" w:space="0" w:color="auto"/>
              <w:right w:val="single" w:sz="4" w:space="0" w:color="auto"/>
            </w:tcBorders>
            <w:shd w:val="clear" w:color="auto" w:fill="809EC2"/>
            <w:hideMark/>
          </w:tcPr>
          <w:p w14:paraId="2EE94A90" w14:textId="77777777" w:rsidR="00852A1F" w:rsidRPr="00852A1F" w:rsidRDefault="00000000" w:rsidP="00852A1F">
            <w:pPr>
              <w:tabs>
                <w:tab w:val="left" w:pos="851"/>
              </w:tabs>
              <w:jc w:val="center"/>
              <w:rPr>
                <w:rFonts w:ascii="Times New Roman" w:hAnsi="Times New Roman"/>
                <w:b/>
                <w:bCs/>
                <w:sz w:val="24"/>
                <w:szCs w:val="28"/>
              </w:rPr>
            </w:pPr>
            <w:r w:rsidRPr="00852A1F">
              <w:rPr>
                <w:rFonts w:ascii="Times New Roman" w:hAnsi="Times New Roman"/>
                <w:b/>
                <w:bCs/>
                <w:sz w:val="24"/>
                <w:szCs w:val="28"/>
              </w:rPr>
              <w:t>Ефекти, %</w:t>
            </w:r>
          </w:p>
        </w:tc>
      </w:tr>
      <w:tr w:rsidR="00F37DCB" w14:paraId="4D9058DA" w14:textId="77777777" w:rsidTr="00852A1F">
        <w:tc>
          <w:tcPr>
            <w:tcW w:w="3175" w:type="dxa"/>
            <w:tcBorders>
              <w:top w:val="single" w:sz="4" w:space="0" w:color="auto"/>
              <w:left w:val="single" w:sz="4" w:space="0" w:color="auto"/>
              <w:bottom w:val="single" w:sz="4" w:space="0" w:color="auto"/>
              <w:right w:val="single" w:sz="4" w:space="0" w:color="auto"/>
            </w:tcBorders>
            <w:hideMark/>
          </w:tcPr>
          <w:p w14:paraId="5942BF03"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ВВП України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A6BADE"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0,23</w:t>
            </w:r>
          </w:p>
        </w:tc>
        <w:tc>
          <w:tcPr>
            <w:tcW w:w="2835" w:type="dxa"/>
            <w:tcBorders>
              <w:top w:val="single" w:sz="4" w:space="0" w:color="auto"/>
              <w:left w:val="single" w:sz="4" w:space="0" w:color="auto"/>
              <w:bottom w:val="single" w:sz="4" w:space="0" w:color="auto"/>
              <w:right w:val="single" w:sz="4" w:space="0" w:color="auto"/>
            </w:tcBorders>
            <w:hideMark/>
          </w:tcPr>
          <w:p w14:paraId="475BBC40"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Сільське господарство</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551C8C8"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0,01</w:t>
            </w:r>
          </w:p>
        </w:tc>
      </w:tr>
      <w:tr w:rsidR="00F37DCB" w14:paraId="4C094796" w14:textId="77777777" w:rsidTr="00852A1F">
        <w:tc>
          <w:tcPr>
            <w:tcW w:w="3175" w:type="dxa"/>
            <w:tcBorders>
              <w:top w:val="single" w:sz="4" w:space="0" w:color="auto"/>
              <w:left w:val="single" w:sz="4" w:space="0" w:color="auto"/>
              <w:bottom w:val="single" w:sz="4" w:space="0" w:color="auto"/>
              <w:right w:val="single" w:sz="4" w:space="0" w:color="auto"/>
            </w:tcBorders>
            <w:hideMark/>
          </w:tcPr>
          <w:p w14:paraId="35AD85E0"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Оплата праці найманих працівників</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CF5C4AE"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0,22</w:t>
            </w:r>
          </w:p>
        </w:tc>
        <w:tc>
          <w:tcPr>
            <w:tcW w:w="2835" w:type="dxa"/>
            <w:tcBorders>
              <w:top w:val="single" w:sz="4" w:space="0" w:color="auto"/>
              <w:left w:val="single" w:sz="4" w:space="0" w:color="auto"/>
              <w:bottom w:val="single" w:sz="4" w:space="0" w:color="auto"/>
              <w:right w:val="single" w:sz="4" w:space="0" w:color="auto"/>
            </w:tcBorders>
            <w:hideMark/>
          </w:tcPr>
          <w:p w14:paraId="5B872D0A"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Добувна промисловість, розроблення кар’єрів</w:t>
            </w:r>
          </w:p>
        </w:tc>
        <w:tc>
          <w:tcPr>
            <w:tcW w:w="2066" w:type="dxa"/>
            <w:tcBorders>
              <w:top w:val="single" w:sz="4" w:space="0" w:color="auto"/>
              <w:left w:val="single" w:sz="4" w:space="0" w:color="auto"/>
              <w:bottom w:val="single" w:sz="4" w:space="0" w:color="auto"/>
              <w:right w:val="single" w:sz="4" w:space="0" w:color="auto"/>
            </w:tcBorders>
            <w:vAlign w:val="center"/>
            <w:hideMark/>
          </w:tcPr>
          <w:p w14:paraId="6BD7ACB3"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0,69</w:t>
            </w:r>
          </w:p>
        </w:tc>
      </w:tr>
      <w:tr w:rsidR="00F37DCB" w14:paraId="14E46829" w14:textId="77777777" w:rsidTr="00852A1F">
        <w:tc>
          <w:tcPr>
            <w:tcW w:w="3175" w:type="dxa"/>
            <w:tcBorders>
              <w:top w:val="single" w:sz="4" w:space="0" w:color="auto"/>
              <w:left w:val="single" w:sz="4" w:space="0" w:color="auto"/>
              <w:bottom w:val="single" w:sz="4" w:space="0" w:color="auto"/>
              <w:right w:val="single" w:sz="4" w:space="0" w:color="auto"/>
            </w:tcBorders>
            <w:hideMark/>
          </w:tcPr>
          <w:p w14:paraId="1B0C2960"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Валовий прибуток, змішаний дохід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C9C0039"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0,25</w:t>
            </w:r>
          </w:p>
        </w:tc>
        <w:tc>
          <w:tcPr>
            <w:tcW w:w="2835" w:type="dxa"/>
            <w:tcBorders>
              <w:top w:val="single" w:sz="4" w:space="0" w:color="auto"/>
              <w:left w:val="single" w:sz="4" w:space="0" w:color="auto"/>
              <w:bottom w:val="single" w:sz="4" w:space="0" w:color="auto"/>
              <w:right w:val="single" w:sz="4" w:space="0" w:color="auto"/>
            </w:tcBorders>
            <w:hideMark/>
          </w:tcPr>
          <w:p w14:paraId="47C154F6"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 xml:space="preserve">Переробна </w:t>
            </w:r>
          </w:p>
          <w:p w14:paraId="5EE53B6E"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промисловість</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B25D18A"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0,70</w:t>
            </w:r>
          </w:p>
        </w:tc>
      </w:tr>
      <w:tr w:rsidR="00F37DCB" w14:paraId="58B26A86" w14:textId="77777777" w:rsidTr="00852A1F">
        <w:tc>
          <w:tcPr>
            <w:tcW w:w="3175" w:type="dxa"/>
            <w:tcBorders>
              <w:top w:val="single" w:sz="4" w:space="0" w:color="auto"/>
              <w:left w:val="single" w:sz="4" w:space="0" w:color="auto"/>
              <w:bottom w:val="single" w:sz="4" w:space="0" w:color="auto"/>
              <w:right w:val="single" w:sz="4" w:space="0" w:color="auto"/>
            </w:tcBorders>
            <w:hideMark/>
          </w:tcPr>
          <w:p w14:paraId="197CBC3F"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Експорт товарів і послуг</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14E7E13"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0,27</w:t>
            </w:r>
          </w:p>
        </w:tc>
        <w:tc>
          <w:tcPr>
            <w:tcW w:w="2835" w:type="dxa"/>
            <w:tcBorders>
              <w:top w:val="single" w:sz="4" w:space="0" w:color="auto"/>
              <w:left w:val="single" w:sz="4" w:space="0" w:color="auto"/>
              <w:bottom w:val="single" w:sz="4" w:space="0" w:color="auto"/>
              <w:right w:val="single" w:sz="4" w:space="0" w:color="auto"/>
            </w:tcBorders>
            <w:hideMark/>
          </w:tcPr>
          <w:p w14:paraId="1B4779CB"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Будівельна галузь</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01820E3"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0,05</w:t>
            </w:r>
          </w:p>
        </w:tc>
      </w:tr>
      <w:tr w:rsidR="00F37DCB" w14:paraId="0CEB2BEB" w14:textId="77777777" w:rsidTr="00852A1F">
        <w:tc>
          <w:tcPr>
            <w:tcW w:w="3175" w:type="dxa"/>
            <w:tcBorders>
              <w:top w:val="single" w:sz="4" w:space="0" w:color="auto"/>
              <w:left w:val="single" w:sz="4" w:space="0" w:color="auto"/>
              <w:bottom w:val="single" w:sz="4" w:space="0" w:color="auto"/>
              <w:right w:val="single" w:sz="4" w:space="0" w:color="auto"/>
            </w:tcBorders>
            <w:hideMark/>
          </w:tcPr>
          <w:p w14:paraId="4FAD6A26"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Імпорт сировини і обладнання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CE1AFB"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0,64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FEDED97" w14:textId="77777777" w:rsidR="00852A1F" w:rsidRPr="00852A1F" w:rsidRDefault="00000000" w:rsidP="00852A1F">
            <w:pPr>
              <w:tabs>
                <w:tab w:val="left" w:pos="851"/>
              </w:tabs>
              <w:rPr>
                <w:rFonts w:ascii="Times New Roman" w:hAnsi="Times New Roman"/>
                <w:sz w:val="24"/>
                <w:szCs w:val="28"/>
              </w:rPr>
            </w:pPr>
            <w:r w:rsidRPr="00852A1F">
              <w:rPr>
                <w:rFonts w:ascii="Times New Roman" w:hAnsi="Times New Roman"/>
                <w:sz w:val="24"/>
                <w:szCs w:val="28"/>
              </w:rPr>
              <w:t>Сектор послуг</w:t>
            </w:r>
          </w:p>
        </w:tc>
        <w:tc>
          <w:tcPr>
            <w:tcW w:w="2066" w:type="dxa"/>
            <w:tcBorders>
              <w:top w:val="single" w:sz="4" w:space="0" w:color="auto"/>
              <w:left w:val="single" w:sz="4" w:space="0" w:color="auto"/>
              <w:bottom w:val="single" w:sz="4" w:space="0" w:color="auto"/>
              <w:right w:val="single" w:sz="4" w:space="0" w:color="auto"/>
            </w:tcBorders>
            <w:vAlign w:val="center"/>
            <w:hideMark/>
          </w:tcPr>
          <w:p w14:paraId="45C0B4F6" w14:textId="77777777" w:rsidR="00852A1F" w:rsidRPr="00852A1F" w:rsidRDefault="00000000" w:rsidP="00852A1F">
            <w:pPr>
              <w:tabs>
                <w:tab w:val="left" w:pos="851"/>
              </w:tabs>
              <w:jc w:val="right"/>
              <w:rPr>
                <w:rFonts w:ascii="Times New Roman" w:hAnsi="Times New Roman"/>
                <w:sz w:val="24"/>
                <w:szCs w:val="28"/>
              </w:rPr>
            </w:pPr>
            <w:r w:rsidRPr="00852A1F">
              <w:rPr>
                <w:rFonts w:ascii="Times New Roman" w:hAnsi="Times New Roman"/>
                <w:sz w:val="24"/>
                <w:szCs w:val="28"/>
              </w:rPr>
              <w:t>0,16</w:t>
            </w:r>
          </w:p>
        </w:tc>
      </w:tr>
    </w:tbl>
    <w:p w14:paraId="35009516" w14:textId="77777777" w:rsidR="00852A1F" w:rsidRPr="00852A1F" w:rsidRDefault="00852A1F"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14:paraId="7264481A"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Беручи до уваги, що безпосередньо на території парку вироблятиметься близько 9 млрд грн валового продукту на рік, міжгалузеві зв’язки учасників індустріального парку з іншими вітчизняними постачальниками сировини, обладнання, послуг забезпечуватимуть додатковий приріст ВВП України на 8,9 млрд грн в рік. Кожна гривня створеного у ІП продукту генеруватиме додаткові 0,98 грн виробленого продукту поза межами індустріального парку.</w:t>
      </w:r>
    </w:p>
    <w:p w14:paraId="0C2F08DB" w14:textId="77777777" w:rsidR="00852A1F" w:rsidRPr="00852A1F" w:rsidRDefault="00000000" w:rsidP="00852A1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Загальний фонд оплати праці найманих працівників в Україні збільшиться на 0,22%, що в абсолютному вимірі відповідає зростанню на приблизно 585 млн грн на рік. Враховуючи, що річний фонд оплати праці ІП «</w:t>
      </w:r>
      <w:r w:rsidRPr="00852A1F">
        <w:rPr>
          <w:rFonts w:ascii="Times New Roman" w:eastAsia="Calibri" w:hAnsi="Times New Roman" w:cs="Times New Roman"/>
          <w:caps/>
          <w:kern w:val="2"/>
          <w:sz w:val="28"/>
          <w:szCs w:val="28"/>
          <w:lang w:eastAsia="en-US"/>
          <w14:ligatures w14:val="standardContextual"/>
        </w:rPr>
        <w:t>БУДШЛЯХМАШ</w:t>
      </w:r>
      <w:r w:rsidRPr="00852A1F">
        <w:rPr>
          <w:rFonts w:ascii="Times New Roman" w:eastAsia="Calibri" w:hAnsi="Times New Roman" w:cs="Times New Roman"/>
          <w:kern w:val="2"/>
          <w:sz w:val="28"/>
          <w:szCs w:val="28"/>
          <w:lang w:eastAsia="en-US"/>
          <w14:ligatures w14:val="standardContextual"/>
        </w:rPr>
        <w:t>» оцінюється у 365 млн грн (що скориговано на середню заробітну плату в Україні у 2024 р.), маємо додаткове зростання цього показника поза межами парку на рівні 220 млн грн. З цього співвідношення можна припускаємо, що кожне створене робоче місце на території ІП призведе до появи ще 0,6 робочих місць поза межами парку. Відтак на макрорівні реалізація проєкту ІП призведе до створення 800 нових робочих місць (500 безпосередньо в парку та 300 поза ним).</w:t>
      </w:r>
    </w:p>
    <w:p w14:paraId="03737355"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 xml:space="preserve">Серед інших важливих ефектів варто також відзначити зростання валового прибутку та змішаного доходу підприємств на 0,25%. Темпи зростання вітчизняного експорту товарів та послуг прискоряться на 0,27% на рік, імпорт сировини та обладнання зросте на 0,64% у зв’язку з необхідністю закупівлі </w:t>
      </w:r>
      <w:r w:rsidRPr="00852A1F">
        <w:rPr>
          <w:rFonts w:ascii="Times New Roman" w:eastAsia="Calibri" w:hAnsi="Times New Roman" w:cs="Times New Roman"/>
          <w:kern w:val="2"/>
          <w:sz w:val="28"/>
          <w:szCs w:val="28"/>
          <w:lang w:eastAsia="en-US"/>
          <w14:ligatures w14:val="standardContextual"/>
        </w:rPr>
        <w:lastRenderedPageBreak/>
        <w:t>іноземних машин, комплектуючих та устаткування для зведення виробничих потужностей та інфраструктурних об’єктів індустріального парку.</w:t>
      </w:r>
    </w:p>
    <w:p w14:paraId="7F1C3913" w14:textId="77777777" w:rsidR="00852A1F" w:rsidRPr="00852A1F" w:rsidRDefault="00000000" w:rsidP="00852A1F">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852A1F">
        <w:rPr>
          <w:rFonts w:ascii="Times New Roman" w:eastAsia="Calibri" w:hAnsi="Times New Roman" w:cs="Times New Roman"/>
          <w:kern w:val="2"/>
          <w:sz w:val="28"/>
          <w:szCs w:val="28"/>
          <w:lang w:eastAsia="en-US"/>
          <w14:ligatures w14:val="standardContextual"/>
        </w:rPr>
        <w:t>У секторальному розрізі найбільший ефект від запуску роботи індустріального парку буде спостерігатися, безперечно, у напрямку машинобудування, яке збільшить свій випуск на 2,3% на рівні країни. Добувна промисловість збільшить випуск на 0,69% для задоволення потреб ІП у постачанні енергії. Зростання у секторі послуг складе 0,16%, передусім за рахунок послуг ремонту, транспортно-логістичних послуг, фінансових, консультаційних та інших ділових послуг для задоволення потреб учасників індустріального парку.</w:t>
      </w:r>
    </w:p>
    <w:p w14:paraId="78C68CC1" w14:textId="77777777" w:rsidR="00442B57" w:rsidRDefault="00442B57" w:rsidP="00852A1F">
      <w:pPr>
        <w:spacing w:after="0" w:line="240" w:lineRule="auto"/>
        <w:rPr>
          <w:rFonts w:ascii="Times New Roman" w:hAnsi="Times New Roman" w:cs="Times New Roman"/>
          <w:b/>
          <w:sz w:val="28"/>
          <w:szCs w:val="28"/>
        </w:rPr>
      </w:pPr>
    </w:p>
    <w:p w14:paraId="7412B5E1" w14:textId="77777777" w:rsidR="00852A1F" w:rsidRPr="00852A1F" w:rsidRDefault="00852A1F" w:rsidP="00852A1F">
      <w:pPr>
        <w:spacing w:after="0" w:line="240" w:lineRule="auto"/>
        <w:rPr>
          <w:rFonts w:ascii="Times New Roman" w:hAnsi="Times New Roman" w:cs="Times New Roman"/>
          <w:b/>
          <w:sz w:val="28"/>
          <w:szCs w:val="28"/>
        </w:rPr>
      </w:pPr>
    </w:p>
    <w:p w14:paraId="0CD87CFD" w14:textId="77777777" w:rsidR="004F7CAD" w:rsidRPr="00EE06C3" w:rsidRDefault="00000000" w:rsidP="00852A1F">
      <w:pPr>
        <w:tabs>
          <w:tab w:val="left" w:pos="7088"/>
        </w:tabs>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852A1F">
        <w:rPr>
          <w:rFonts w:ascii="Times New Roman" w:hAnsi="Times New Roman" w:cs="Times New Roman"/>
          <w:iCs/>
          <w:sz w:val="28"/>
          <w:szCs w:val="28"/>
        </w:rPr>
        <w:t xml:space="preserve"> Ігор САПОЖКО</w:t>
      </w:r>
      <w:permEnd w:id="2107839672"/>
    </w:p>
    <w:sectPr w:rsidR="004F7CAD" w:rsidRPr="00EE06C3" w:rsidSect="004F7CAD">
      <w:headerReference w:type="default" r:id="rId21"/>
      <w:footerReference w:type="default" r:id="rId22"/>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0F95" w14:textId="77777777" w:rsidR="002314BF" w:rsidRDefault="002314BF">
      <w:pPr>
        <w:spacing w:after="0" w:line="240" w:lineRule="auto"/>
      </w:pPr>
      <w:r>
        <w:separator/>
      </w:r>
    </w:p>
  </w:endnote>
  <w:endnote w:type="continuationSeparator" w:id="0">
    <w:p w14:paraId="57E8B414" w14:textId="77777777" w:rsidR="002314BF" w:rsidRDefault="0023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InfoPlus CODE128 12">
    <w:altName w:val="Times New Roman"/>
    <w:charset w:val="CC"/>
    <w:family w:val="auto"/>
    <w:pitch w:val="variable"/>
    <w:sig w:usb0="00000000" w:usb1="00000000" w:usb2="00000000" w:usb3="00000000" w:csb0="0000007E" w:csb1="00000000"/>
  </w:font>
  <w:font w:name="InfoPlus CODE128 60">
    <w:altName w:val="Times New Roman"/>
    <w:charset w:val="CC"/>
    <w:family w:val="auto"/>
    <w:pitch w:val="variable"/>
    <w:sig w:usb0="00000000" w:usb1="00000000" w:usb2="00000000" w:usb3="00000000" w:csb0="0000007E" w:csb1="00000000"/>
  </w:font>
  <w:font w:name="MS Sans Serif">
    <w:altName w:val="Microsoft Sans Serif"/>
    <w:charset w:val="CC"/>
    <w:family w:val="auto"/>
    <w:pitch w:val="default"/>
    <w:sig w:usb0="00000000"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05958"/>
      <w:docPartObj>
        <w:docPartGallery w:val="Page Numbers (Bottom of Page)"/>
        <w:docPartUnique/>
      </w:docPartObj>
    </w:sdtPr>
    <w:sdtEndPr>
      <w:rPr>
        <w:rFonts w:ascii="Times New Roman" w:hAnsi="Times New Roman" w:cs="Times New Roman"/>
        <w:sz w:val="24"/>
        <w:szCs w:val="24"/>
      </w:rPr>
    </w:sdtEndPr>
    <w:sdtContent>
      <w:p w14:paraId="605DFBD0" w14:textId="77777777" w:rsidR="00852A1F"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10924B42" w14:textId="77777777" w:rsidR="00852A1F" w:rsidRDefault="00852A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2E849" w14:textId="77777777" w:rsidR="002314BF" w:rsidRDefault="002314BF">
      <w:pPr>
        <w:spacing w:after="0" w:line="240" w:lineRule="auto"/>
      </w:pPr>
      <w:r>
        <w:separator/>
      </w:r>
    </w:p>
  </w:footnote>
  <w:footnote w:type="continuationSeparator" w:id="0">
    <w:p w14:paraId="68AB674E" w14:textId="77777777" w:rsidR="002314BF" w:rsidRDefault="002314BF">
      <w:pPr>
        <w:spacing w:after="0" w:line="240" w:lineRule="auto"/>
      </w:pPr>
      <w:r>
        <w:continuationSeparator/>
      </w:r>
    </w:p>
  </w:footnote>
  <w:footnote w:id="1">
    <w:p w14:paraId="54C94774" w14:textId="77777777" w:rsidR="00852A1F" w:rsidRDefault="00000000" w:rsidP="006602C1">
      <w:pPr>
        <w:pStyle w:val="ac"/>
      </w:pPr>
      <w:r w:rsidRPr="006602C1">
        <w:rPr>
          <w:rStyle w:val="ae"/>
          <w:color w:val="809EC2"/>
          <w:sz w:val="18"/>
          <w:szCs w:val="18"/>
        </w:rPr>
        <w:footnoteRef/>
      </w:r>
      <w:r w:rsidRPr="006602C1">
        <w:rPr>
          <w:color w:val="809EC2"/>
          <w:sz w:val="18"/>
          <w:szCs w:val="18"/>
        </w:rPr>
        <w:t xml:space="preserve"> </w:t>
      </w:r>
      <w:hyperlink r:id="rId1" w:anchor="Text" w:history="1">
        <w:r w:rsidR="00852A1F" w:rsidRPr="006602C1">
          <w:rPr>
            <w:rStyle w:val="a8"/>
            <w:color w:val="809EC2"/>
            <w:sz w:val="18"/>
            <w:szCs w:val="18"/>
          </w:rPr>
          <w:t>https://zakon.rada.gov.ua/laws/show/644-2024-%D0%BF#Text</w:t>
        </w:r>
      </w:hyperlink>
      <w:r w:rsidRPr="006602C1">
        <w:rPr>
          <w:color w:val="809EC2"/>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357E973D" w14:textId="77777777" w:rsidR="00852A1F"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547CDFE4" w14:textId="77777777" w:rsidR="00852A1F" w:rsidRDefault="00852A1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CA7"/>
    <w:multiLevelType w:val="hybridMultilevel"/>
    <w:tmpl w:val="6150BB7C"/>
    <w:lvl w:ilvl="0" w:tplc="16A04BD0">
      <w:start w:val="1"/>
      <w:numFmt w:val="bullet"/>
      <w:lvlText w:val=""/>
      <w:lvlJc w:val="left"/>
      <w:pPr>
        <w:ind w:left="1287" w:hanging="360"/>
      </w:pPr>
      <w:rPr>
        <w:rFonts w:ascii="Symbol" w:hAnsi="Symbol" w:hint="default"/>
        <w:color w:val="E36C0A" w:themeColor="accent6" w:themeShade="BF"/>
        <w:sz w:val="20"/>
        <w:szCs w:val="20"/>
      </w:rPr>
    </w:lvl>
    <w:lvl w:ilvl="1" w:tplc="FE70A74A">
      <w:start w:val="1"/>
      <w:numFmt w:val="bullet"/>
      <w:lvlText w:val="o"/>
      <w:lvlJc w:val="left"/>
      <w:pPr>
        <w:ind w:left="2007" w:hanging="360"/>
      </w:pPr>
      <w:rPr>
        <w:rFonts w:ascii="Courier New" w:hAnsi="Courier New" w:cs="Courier New" w:hint="default"/>
      </w:rPr>
    </w:lvl>
    <w:lvl w:ilvl="2" w:tplc="6CFEA93E">
      <w:start w:val="1"/>
      <w:numFmt w:val="bullet"/>
      <w:lvlText w:val=""/>
      <w:lvlJc w:val="left"/>
      <w:pPr>
        <w:ind w:left="2727" w:hanging="360"/>
      </w:pPr>
      <w:rPr>
        <w:rFonts w:ascii="Wingdings" w:hAnsi="Wingdings" w:hint="default"/>
      </w:rPr>
    </w:lvl>
    <w:lvl w:ilvl="3" w:tplc="59349438">
      <w:start w:val="1"/>
      <w:numFmt w:val="bullet"/>
      <w:lvlText w:val=""/>
      <w:lvlJc w:val="left"/>
      <w:pPr>
        <w:ind w:left="3447" w:hanging="360"/>
      </w:pPr>
      <w:rPr>
        <w:rFonts w:ascii="Symbol" w:hAnsi="Symbol" w:hint="default"/>
      </w:rPr>
    </w:lvl>
    <w:lvl w:ilvl="4" w:tplc="8B920314">
      <w:start w:val="1"/>
      <w:numFmt w:val="bullet"/>
      <w:lvlText w:val="o"/>
      <w:lvlJc w:val="left"/>
      <w:pPr>
        <w:ind w:left="4167" w:hanging="360"/>
      </w:pPr>
      <w:rPr>
        <w:rFonts w:ascii="Courier New" w:hAnsi="Courier New" w:cs="Courier New" w:hint="default"/>
      </w:rPr>
    </w:lvl>
    <w:lvl w:ilvl="5" w:tplc="646619A0">
      <w:start w:val="1"/>
      <w:numFmt w:val="bullet"/>
      <w:lvlText w:val=""/>
      <w:lvlJc w:val="left"/>
      <w:pPr>
        <w:ind w:left="4887" w:hanging="360"/>
      </w:pPr>
      <w:rPr>
        <w:rFonts w:ascii="Wingdings" w:hAnsi="Wingdings" w:hint="default"/>
      </w:rPr>
    </w:lvl>
    <w:lvl w:ilvl="6" w:tplc="4E20994C">
      <w:start w:val="1"/>
      <w:numFmt w:val="bullet"/>
      <w:lvlText w:val=""/>
      <w:lvlJc w:val="left"/>
      <w:pPr>
        <w:ind w:left="5607" w:hanging="360"/>
      </w:pPr>
      <w:rPr>
        <w:rFonts w:ascii="Symbol" w:hAnsi="Symbol" w:hint="default"/>
      </w:rPr>
    </w:lvl>
    <w:lvl w:ilvl="7" w:tplc="A4F85CA2">
      <w:start w:val="1"/>
      <w:numFmt w:val="bullet"/>
      <w:lvlText w:val="o"/>
      <w:lvlJc w:val="left"/>
      <w:pPr>
        <w:ind w:left="6327" w:hanging="360"/>
      </w:pPr>
      <w:rPr>
        <w:rFonts w:ascii="Courier New" w:hAnsi="Courier New" w:cs="Courier New" w:hint="default"/>
      </w:rPr>
    </w:lvl>
    <w:lvl w:ilvl="8" w:tplc="0A5478B6">
      <w:start w:val="1"/>
      <w:numFmt w:val="bullet"/>
      <w:lvlText w:val=""/>
      <w:lvlJc w:val="left"/>
      <w:pPr>
        <w:ind w:left="7047" w:hanging="360"/>
      </w:pPr>
      <w:rPr>
        <w:rFonts w:ascii="Wingdings" w:hAnsi="Wingdings" w:hint="default"/>
      </w:rPr>
    </w:lvl>
  </w:abstractNum>
  <w:abstractNum w:abstractNumId="1" w15:restartNumberingAfterBreak="0">
    <w:nsid w:val="0E922D9E"/>
    <w:multiLevelType w:val="hybridMultilevel"/>
    <w:tmpl w:val="3982859C"/>
    <w:lvl w:ilvl="0" w:tplc="E9A64AD2">
      <w:start w:val="1"/>
      <w:numFmt w:val="bullet"/>
      <w:lvlText w:val="-"/>
      <w:lvlJc w:val="left"/>
      <w:pPr>
        <w:ind w:left="927" w:hanging="360"/>
      </w:pPr>
      <w:rPr>
        <w:rFonts w:ascii="Calibri" w:eastAsia="Calibri" w:hAnsi="Calibri" w:cs="Calibri" w:hint="default"/>
      </w:rPr>
    </w:lvl>
    <w:lvl w:ilvl="1" w:tplc="BD0C291A">
      <w:start w:val="1"/>
      <w:numFmt w:val="bullet"/>
      <w:lvlText w:val="o"/>
      <w:lvlJc w:val="left"/>
      <w:pPr>
        <w:ind w:left="1647" w:hanging="360"/>
      </w:pPr>
      <w:rPr>
        <w:rFonts w:ascii="Courier New" w:hAnsi="Courier New" w:cs="Courier New" w:hint="default"/>
      </w:rPr>
    </w:lvl>
    <w:lvl w:ilvl="2" w:tplc="4D0C4CCC">
      <w:start w:val="1"/>
      <w:numFmt w:val="bullet"/>
      <w:lvlText w:val=""/>
      <w:lvlJc w:val="left"/>
      <w:pPr>
        <w:ind w:left="2367" w:hanging="360"/>
      </w:pPr>
      <w:rPr>
        <w:rFonts w:ascii="Wingdings" w:hAnsi="Wingdings" w:hint="default"/>
      </w:rPr>
    </w:lvl>
    <w:lvl w:ilvl="3" w:tplc="913E5E8A">
      <w:start w:val="1"/>
      <w:numFmt w:val="bullet"/>
      <w:lvlText w:val=""/>
      <w:lvlJc w:val="left"/>
      <w:pPr>
        <w:ind w:left="3087" w:hanging="360"/>
      </w:pPr>
      <w:rPr>
        <w:rFonts w:ascii="Symbol" w:hAnsi="Symbol" w:hint="default"/>
      </w:rPr>
    </w:lvl>
    <w:lvl w:ilvl="4" w:tplc="270A114E">
      <w:start w:val="1"/>
      <w:numFmt w:val="bullet"/>
      <w:lvlText w:val="o"/>
      <w:lvlJc w:val="left"/>
      <w:pPr>
        <w:ind w:left="3807" w:hanging="360"/>
      </w:pPr>
      <w:rPr>
        <w:rFonts w:ascii="Courier New" w:hAnsi="Courier New" w:cs="Courier New" w:hint="default"/>
      </w:rPr>
    </w:lvl>
    <w:lvl w:ilvl="5" w:tplc="621A1204">
      <w:start w:val="1"/>
      <w:numFmt w:val="bullet"/>
      <w:lvlText w:val=""/>
      <w:lvlJc w:val="left"/>
      <w:pPr>
        <w:ind w:left="4527" w:hanging="360"/>
      </w:pPr>
      <w:rPr>
        <w:rFonts w:ascii="Wingdings" w:hAnsi="Wingdings" w:hint="default"/>
      </w:rPr>
    </w:lvl>
    <w:lvl w:ilvl="6" w:tplc="7ED4E8E8">
      <w:start w:val="1"/>
      <w:numFmt w:val="bullet"/>
      <w:lvlText w:val=""/>
      <w:lvlJc w:val="left"/>
      <w:pPr>
        <w:ind w:left="5247" w:hanging="360"/>
      </w:pPr>
      <w:rPr>
        <w:rFonts w:ascii="Symbol" w:hAnsi="Symbol" w:hint="default"/>
      </w:rPr>
    </w:lvl>
    <w:lvl w:ilvl="7" w:tplc="C82CE7EC">
      <w:start w:val="1"/>
      <w:numFmt w:val="bullet"/>
      <w:lvlText w:val="o"/>
      <w:lvlJc w:val="left"/>
      <w:pPr>
        <w:ind w:left="5967" w:hanging="360"/>
      </w:pPr>
      <w:rPr>
        <w:rFonts w:ascii="Courier New" w:hAnsi="Courier New" w:cs="Courier New" w:hint="default"/>
      </w:rPr>
    </w:lvl>
    <w:lvl w:ilvl="8" w:tplc="0F40845A">
      <w:start w:val="1"/>
      <w:numFmt w:val="bullet"/>
      <w:lvlText w:val=""/>
      <w:lvlJc w:val="left"/>
      <w:pPr>
        <w:ind w:left="6687" w:hanging="360"/>
      </w:pPr>
      <w:rPr>
        <w:rFonts w:ascii="Wingdings" w:hAnsi="Wingdings" w:hint="default"/>
      </w:rPr>
    </w:lvl>
  </w:abstractNum>
  <w:abstractNum w:abstractNumId="2" w15:restartNumberingAfterBreak="0">
    <w:nsid w:val="0F4C156F"/>
    <w:multiLevelType w:val="hybridMultilevel"/>
    <w:tmpl w:val="0FBE31EA"/>
    <w:lvl w:ilvl="0" w:tplc="B1CEC3C4">
      <w:start w:val="1"/>
      <w:numFmt w:val="bullet"/>
      <w:lvlText w:val="­"/>
      <w:lvlJc w:val="left"/>
      <w:pPr>
        <w:ind w:left="1996" w:hanging="360"/>
      </w:pPr>
      <w:rPr>
        <w:rFonts w:ascii="Agency FB" w:hAnsi="Agency FB" w:hint="default"/>
      </w:rPr>
    </w:lvl>
    <w:lvl w:ilvl="1" w:tplc="DB0E4474">
      <w:start w:val="1"/>
      <w:numFmt w:val="bullet"/>
      <w:lvlText w:val="o"/>
      <w:lvlJc w:val="left"/>
      <w:pPr>
        <w:ind w:left="2716" w:hanging="360"/>
      </w:pPr>
      <w:rPr>
        <w:rFonts w:ascii="Courier New" w:hAnsi="Courier New" w:cs="Courier New" w:hint="default"/>
      </w:rPr>
    </w:lvl>
    <w:lvl w:ilvl="2" w:tplc="8DA8D4B6">
      <w:start w:val="1"/>
      <w:numFmt w:val="bullet"/>
      <w:lvlText w:val=""/>
      <w:lvlJc w:val="left"/>
      <w:pPr>
        <w:ind w:left="3436" w:hanging="360"/>
      </w:pPr>
      <w:rPr>
        <w:rFonts w:ascii="Wingdings" w:hAnsi="Wingdings" w:hint="default"/>
      </w:rPr>
    </w:lvl>
    <w:lvl w:ilvl="3" w:tplc="F9840110">
      <w:start w:val="1"/>
      <w:numFmt w:val="bullet"/>
      <w:lvlText w:val=""/>
      <w:lvlJc w:val="left"/>
      <w:pPr>
        <w:ind w:left="4156" w:hanging="360"/>
      </w:pPr>
      <w:rPr>
        <w:rFonts w:ascii="Symbol" w:hAnsi="Symbol" w:hint="default"/>
      </w:rPr>
    </w:lvl>
    <w:lvl w:ilvl="4" w:tplc="14EAD34C">
      <w:start w:val="1"/>
      <w:numFmt w:val="bullet"/>
      <w:lvlText w:val="o"/>
      <w:lvlJc w:val="left"/>
      <w:pPr>
        <w:ind w:left="4876" w:hanging="360"/>
      </w:pPr>
      <w:rPr>
        <w:rFonts w:ascii="Courier New" w:hAnsi="Courier New" w:cs="Courier New" w:hint="default"/>
      </w:rPr>
    </w:lvl>
    <w:lvl w:ilvl="5" w:tplc="B572562A">
      <w:start w:val="1"/>
      <w:numFmt w:val="bullet"/>
      <w:lvlText w:val=""/>
      <w:lvlJc w:val="left"/>
      <w:pPr>
        <w:ind w:left="5596" w:hanging="360"/>
      </w:pPr>
      <w:rPr>
        <w:rFonts w:ascii="Wingdings" w:hAnsi="Wingdings" w:hint="default"/>
      </w:rPr>
    </w:lvl>
    <w:lvl w:ilvl="6" w:tplc="F4CCF86E">
      <w:start w:val="1"/>
      <w:numFmt w:val="bullet"/>
      <w:lvlText w:val=""/>
      <w:lvlJc w:val="left"/>
      <w:pPr>
        <w:ind w:left="6316" w:hanging="360"/>
      </w:pPr>
      <w:rPr>
        <w:rFonts w:ascii="Symbol" w:hAnsi="Symbol" w:hint="default"/>
      </w:rPr>
    </w:lvl>
    <w:lvl w:ilvl="7" w:tplc="225453CA">
      <w:start w:val="1"/>
      <w:numFmt w:val="bullet"/>
      <w:lvlText w:val="o"/>
      <w:lvlJc w:val="left"/>
      <w:pPr>
        <w:ind w:left="7036" w:hanging="360"/>
      </w:pPr>
      <w:rPr>
        <w:rFonts w:ascii="Courier New" w:hAnsi="Courier New" w:cs="Courier New" w:hint="default"/>
      </w:rPr>
    </w:lvl>
    <w:lvl w:ilvl="8" w:tplc="065C39E4">
      <w:start w:val="1"/>
      <w:numFmt w:val="bullet"/>
      <w:lvlText w:val=""/>
      <w:lvlJc w:val="left"/>
      <w:pPr>
        <w:ind w:left="7756" w:hanging="360"/>
      </w:pPr>
      <w:rPr>
        <w:rFonts w:ascii="Wingdings" w:hAnsi="Wingdings" w:hint="default"/>
      </w:rPr>
    </w:lvl>
  </w:abstractNum>
  <w:abstractNum w:abstractNumId="3" w15:restartNumberingAfterBreak="0">
    <w:nsid w:val="1FCF08D8"/>
    <w:multiLevelType w:val="hybridMultilevel"/>
    <w:tmpl w:val="04EC3040"/>
    <w:lvl w:ilvl="0" w:tplc="6DCEF9CA">
      <w:start w:val="1"/>
      <w:numFmt w:val="bullet"/>
      <w:lvlText w:val=""/>
      <w:lvlJc w:val="left"/>
      <w:pPr>
        <w:ind w:left="927" w:hanging="360"/>
      </w:pPr>
      <w:rPr>
        <w:rFonts w:ascii="Wingdings" w:hAnsi="Wingdings" w:hint="default"/>
      </w:rPr>
    </w:lvl>
    <w:lvl w:ilvl="1" w:tplc="86FCD0F8">
      <w:start w:val="1"/>
      <w:numFmt w:val="bullet"/>
      <w:lvlText w:val="o"/>
      <w:lvlJc w:val="left"/>
      <w:pPr>
        <w:ind w:left="1647" w:hanging="360"/>
      </w:pPr>
      <w:rPr>
        <w:rFonts w:ascii="Courier New" w:hAnsi="Courier New" w:cs="Courier New" w:hint="default"/>
      </w:rPr>
    </w:lvl>
    <w:lvl w:ilvl="2" w:tplc="754C80B2">
      <w:start w:val="1"/>
      <w:numFmt w:val="bullet"/>
      <w:lvlText w:val=""/>
      <w:lvlJc w:val="left"/>
      <w:pPr>
        <w:ind w:left="2367" w:hanging="360"/>
      </w:pPr>
      <w:rPr>
        <w:rFonts w:ascii="Wingdings" w:hAnsi="Wingdings" w:hint="default"/>
      </w:rPr>
    </w:lvl>
    <w:lvl w:ilvl="3" w:tplc="9580FEB4">
      <w:start w:val="1"/>
      <w:numFmt w:val="bullet"/>
      <w:lvlText w:val=""/>
      <w:lvlJc w:val="left"/>
      <w:pPr>
        <w:ind w:left="3087" w:hanging="360"/>
      </w:pPr>
      <w:rPr>
        <w:rFonts w:ascii="Symbol" w:hAnsi="Symbol" w:hint="default"/>
      </w:rPr>
    </w:lvl>
    <w:lvl w:ilvl="4" w:tplc="CDB64002">
      <w:start w:val="1"/>
      <w:numFmt w:val="bullet"/>
      <w:lvlText w:val="o"/>
      <w:lvlJc w:val="left"/>
      <w:pPr>
        <w:ind w:left="3807" w:hanging="360"/>
      </w:pPr>
      <w:rPr>
        <w:rFonts w:ascii="Courier New" w:hAnsi="Courier New" w:cs="Courier New" w:hint="default"/>
      </w:rPr>
    </w:lvl>
    <w:lvl w:ilvl="5" w:tplc="F22625EC">
      <w:start w:val="1"/>
      <w:numFmt w:val="bullet"/>
      <w:lvlText w:val=""/>
      <w:lvlJc w:val="left"/>
      <w:pPr>
        <w:ind w:left="4527" w:hanging="360"/>
      </w:pPr>
      <w:rPr>
        <w:rFonts w:ascii="Wingdings" w:hAnsi="Wingdings" w:hint="default"/>
      </w:rPr>
    </w:lvl>
    <w:lvl w:ilvl="6" w:tplc="2AC07038">
      <w:start w:val="1"/>
      <w:numFmt w:val="bullet"/>
      <w:lvlText w:val=""/>
      <w:lvlJc w:val="left"/>
      <w:pPr>
        <w:ind w:left="5247" w:hanging="360"/>
      </w:pPr>
      <w:rPr>
        <w:rFonts w:ascii="Symbol" w:hAnsi="Symbol" w:hint="default"/>
      </w:rPr>
    </w:lvl>
    <w:lvl w:ilvl="7" w:tplc="95346076">
      <w:start w:val="1"/>
      <w:numFmt w:val="bullet"/>
      <w:lvlText w:val="o"/>
      <w:lvlJc w:val="left"/>
      <w:pPr>
        <w:ind w:left="5967" w:hanging="360"/>
      </w:pPr>
      <w:rPr>
        <w:rFonts w:ascii="Courier New" w:hAnsi="Courier New" w:cs="Courier New" w:hint="default"/>
      </w:rPr>
    </w:lvl>
    <w:lvl w:ilvl="8" w:tplc="F7786314">
      <w:start w:val="1"/>
      <w:numFmt w:val="bullet"/>
      <w:lvlText w:val=""/>
      <w:lvlJc w:val="left"/>
      <w:pPr>
        <w:ind w:left="6687" w:hanging="360"/>
      </w:pPr>
      <w:rPr>
        <w:rFonts w:ascii="Wingdings" w:hAnsi="Wingdings" w:hint="default"/>
      </w:rPr>
    </w:lvl>
  </w:abstractNum>
  <w:abstractNum w:abstractNumId="4" w15:restartNumberingAfterBreak="0">
    <w:nsid w:val="3F607E68"/>
    <w:multiLevelType w:val="hybridMultilevel"/>
    <w:tmpl w:val="BE066FFE"/>
    <w:lvl w:ilvl="0" w:tplc="86A606C0">
      <w:start w:val="1"/>
      <w:numFmt w:val="decimal"/>
      <w:lvlText w:val="%1."/>
      <w:lvlJc w:val="left"/>
      <w:pPr>
        <w:ind w:left="720" w:hanging="360"/>
      </w:pPr>
    </w:lvl>
    <w:lvl w:ilvl="1" w:tplc="3CB207E2">
      <w:start w:val="1"/>
      <w:numFmt w:val="lowerLetter"/>
      <w:lvlText w:val="%2."/>
      <w:lvlJc w:val="left"/>
      <w:pPr>
        <w:ind w:left="1440" w:hanging="360"/>
      </w:pPr>
    </w:lvl>
    <w:lvl w:ilvl="2" w:tplc="D94CF524">
      <w:start w:val="1"/>
      <w:numFmt w:val="lowerRoman"/>
      <w:lvlText w:val="%3."/>
      <w:lvlJc w:val="right"/>
      <w:pPr>
        <w:ind w:left="2160" w:hanging="180"/>
      </w:pPr>
    </w:lvl>
    <w:lvl w:ilvl="3" w:tplc="EF9CC2C6">
      <w:start w:val="1"/>
      <w:numFmt w:val="decimal"/>
      <w:lvlText w:val="%4."/>
      <w:lvlJc w:val="left"/>
      <w:pPr>
        <w:ind w:left="2880" w:hanging="360"/>
      </w:pPr>
    </w:lvl>
    <w:lvl w:ilvl="4" w:tplc="B8A0544A">
      <w:start w:val="1"/>
      <w:numFmt w:val="lowerLetter"/>
      <w:lvlText w:val="%5."/>
      <w:lvlJc w:val="left"/>
      <w:pPr>
        <w:ind w:left="3600" w:hanging="360"/>
      </w:pPr>
    </w:lvl>
    <w:lvl w:ilvl="5" w:tplc="166EF3F8">
      <w:start w:val="1"/>
      <w:numFmt w:val="lowerRoman"/>
      <w:lvlText w:val="%6."/>
      <w:lvlJc w:val="right"/>
      <w:pPr>
        <w:ind w:left="4320" w:hanging="180"/>
      </w:pPr>
    </w:lvl>
    <w:lvl w:ilvl="6" w:tplc="F10E4D58">
      <w:start w:val="1"/>
      <w:numFmt w:val="decimal"/>
      <w:lvlText w:val="%7."/>
      <w:lvlJc w:val="left"/>
      <w:pPr>
        <w:ind w:left="5040" w:hanging="360"/>
      </w:pPr>
    </w:lvl>
    <w:lvl w:ilvl="7" w:tplc="86085DA0">
      <w:start w:val="1"/>
      <w:numFmt w:val="lowerLetter"/>
      <w:lvlText w:val="%8."/>
      <w:lvlJc w:val="left"/>
      <w:pPr>
        <w:ind w:left="5760" w:hanging="360"/>
      </w:pPr>
    </w:lvl>
    <w:lvl w:ilvl="8" w:tplc="1E7CBAF8">
      <w:start w:val="1"/>
      <w:numFmt w:val="lowerRoman"/>
      <w:lvlText w:val="%9."/>
      <w:lvlJc w:val="right"/>
      <w:pPr>
        <w:ind w:left="6480" w:hanging="180"/>
      </w:pPr>
    </w:lvl>
  </w:abstractNum>
  <w:abstractNum w:abstractNumId="5" w15:restartNumberingAfterBreak="0">
    <w:nsid w:val="52444E3D"/>
    <w:multiLevelType w:val="multilevel"/>
    <w:tmpl w:val="9F54C688"/>
    <w:lvl w:ilvl="0">
      <w:start w:val="1"/>
      <w:numFmt w:val="bullet"/>
      <w:lvlText w:val=""/>
      <w:lvlJc w:val="left"/>
      <w:pPr>
        <w:tabs>
          <w:tab w:val="num" w:pos="720"/>
        </w:tabs>
        <w:ind w:left="720" w:hanging="360"/>
      </w:pPr>
      <w:rPr>
        <w:rFonts w:ascii="Symbol" w:hAnsi="Symbol" w:hint="default"/>
        <w:color w:val="F79646" w:themeColor="accent6"/>
        <w:sz w:val="20"/>
      </w:rPr>
    </w:lvl>
    <w:lvl w:ilvl="1">
      <w:start w:val="1"/>
      <w:numFmt w:val="bullet"/>
      <w:lvlText w:val="o"/>
      <w:lvlJc w:val="left"/>
      <w:pPr>
        <w:tabs>
          <w:tab w:val="num" w:pos="1440"/>
        </w:tabs>
        <w:ind w:left="1440" w:hanging="360"/>
      </w:pPr>
      <w:rPr>
        <w:rFonts w:ascii="Courier New" w:hAnsi="Courier New" w:cs="Times New Roman" w:hint="default"/>
        <w:color w:val="E36C0A" w:themeColor="accent6" w:themeShade="BF"/>
        <w:sz w:val="18"/>
        <w:szCs w:val="22"/>
      </w:rPr>
    </w:lvl>
    <w:lvl w:ilvl="2">
      <w:start w:val="1"/>
      <w:numFmt w:val="bullet"/>
      <w:lvlText w:val=""/>
      <w:lvlJc w:val="left"/>
      <w:pPr>
        <w:tabs>
          <w:tab w:val="num" w:pos="2160"/>
        </w:tabs>
        <w:ind w:left="2160" w:hanging="360"/>
      </w:pPr>
      <w:rPr>
        <w:rFonts w:ascii="Wingdings" w:hAnsi="Wingdings" w:hint="default"/>
        <w:color w:val="F79646" w:themeColor="accent6"/>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61751"/>
    <w:multiLevelType w:val="hybridMultilevel"/>
    <w:tmpl w:val="735AC248"/>
    <w:lvl w:ilvl="0" w:tplc="F342B35C">
      <w:start w:val="1"/>
      <w:numFmt w:val="bullet"/>
      <w:lvlText w:val=""/>
      <w:lvlJc w:val="left"/>
      <w:pPr>
        <w:ind w:left="1287" w:hanging="360"/>
      </w:pPr>
      <w:rPr>
        <w:rFonts w:ascii="Symbol" w:hAnsi="Symbol" w:hint="default"/>
        <w:color w:val="F79646" w:themeColor="accent6"/>
        <w:sz w:val="22"/>
        <w:szCs w:val="22"/>
      </w:rPr>
    </w:lvl>
    <w:lvl w:ilvl="1" w:tplc="4FA26C3C">
      <w:start w:val="1"/>
      <w:numFmt w:val="bullet"/>
      <w:lvlText w:val="o"/>
      <w:lvlJc w:val="left"/>
      <w:pPr>
        <w:ind w:left="2007" w:hanging="360"/>
      </w:pPr>
      <w:rPr>
        <w:rFonts w:ascii="Courier New" w:hAnsi="Courier New" w:cs="Courier New" w:hint="default"/>
      </w:rPr>
    </w:lvl>
    <w:lvl w:ilvl="2" w:tplc="B45E1D02">
      <w:start w:val="1"/>
      <w:numFmt w:val="bullet"/>
      <w:lvlText w:val=""/>
      <w:lvlJc w:val="left"/>
      <w:pPr>
        <w:ind w:left="2727" w:hanging="360"/>
      </w:pPr>
      <w:rPr>
        <w:rFonts w:ascii="Wingdings" w:hAnsi="Wingdings" w:hint="default"/>
      </w:rPr>
    </w:lvl>
    <w:lvl w:ilvl="3" w:tplc="48B0E74E">
      <w:start w:val="1"/>
      <w:numFmt w:val="bullet"/>
      <w:lvlText w:val=""/>
      <w:lvlJc w:val="left"/>
      <w:pPr>
        <w:ind w:left="3447" w:hanging="360"/>
      </w:pPr>
      <w:rPr>
        <w:rFonts w:ascii="Symbol" w:hAnsi="Symbol" w:hint="default"/>
      </w:rPr>
    </w:lvl>
    <w:lvl w:ilvl="4" w:tplc="2C0AD782">
      <w:start w:val="1"/>
      <w:numFmt w:val="bullet"/>
      <w:lvlText w:val="o"/>
      <w:lvlJc w:val="left"/>
      <w:pPr>
        <w:ind w:left="4167" w:hanging="360"/>
      </w:pPr>
      <w:rPr>
        <w:rFonts w:ascii="Courier New" w:hAnsi="Courier New" w:cs="Courier New" w:hint="default"/>
      </w:rPr>
    </w:lvl>
    <w:lvl w:ilvl="5" w:tplc="2438E402">
      <w:start w:val="1"/>
      <w:numFmt w:val="bullet"/>
      <w:lvlText w:val=""/>
      <w:lvlJc w:val="left"/>
      <w:pPr>
        <w:ind w:left="4887" w:hanging="360"/>
      </w:pPr>
      <w:rPr>
        <w:rFonts w:ascii="Wingdings" w:hAnsi="Wingdings" w:hint="default"/>
      </w:rPr>
    </w:lvl>
    <w:lvl w:ilvl="6" w:tplc="E3A48F06">
      <w:start w:val="1"/>
      <w:numFmt w:val="bullet"/>
      <w:lvlText w:val=""/>
      <w:lvlJc w:val="left"/>
      <w:pPr>
        <w:ind w:left="5607" w:hanging="360"/>
      </w:pPr>
      <w:rPr>
        <w:rFonts w:ascii="Symbol" w:hAnsi="Symbol" w:hint="default"/>
      </w:rPr>
    </w:lvl>
    <w:lvl w:ilvl="7" w:tplc="667635C8">
      <w:start w:val="1"/>
      <w:numFmt w:val="bullet"/>
      <w:lvlText w:val="o"/>
      <w:lvlJc w:val="left"/>
      <w:pPr>
        <w:ind w:left="6327" w:hanging="360"/>
      </w:pPr>
      <w:rPr>
        <w:rFonts w:ascii="Courier New" w:hAnsi="Courier New" w:cs="Courier New" w:hint="default"/>
      </w:rPr>
    </w:lvl>
    <w:lvl w:ilvl="8" w:tplc="A79CA328">
      <w:start w:val="1"/>
      <w:numFmt w:val="bullet"/>
      <w:lvlText w:val=""/>
      <w:lvlJc w:val="left"/>
      <w:pPr>
        <w:ind w:left="7047" w:hanging="360"/>
      </w:pPr>
      <w:rPr>
        <w:rFonts w:ascii="Wingdings" w:hAnsi="Wingdings" w:hint="default"/>
      </w:rPr>
    </w:lvl>
  </w:abstractNum>
  <w:abstractNum w:abstractNumId="7" w15:restartNumberingAfterBreak="0">
    <w:nsid w:val="6ABC6E88"/>
    <w:multiLevelType w:val="hybridMultilevel"/>
    <w:tmpl w:val="53D8FE26"/>
    <w:lvl w:ilvl="0" w:tplc="93E8C9A0">
      <w:start w:val="1"/>
      <w:numFmt w:val="bullet"/>
      <w:lvlText w:val=""/>
      <w:lvlJc w:val="left"/>
      <w:pPr>
        <w:ind w:left="927" w:hanging="360"/>
      </w:pPr>
      <w:rPr>
        <w:rFonts w:ascii="Wingdings" w:hAnsi="Wingdings" w:hint="default"/>
      </w:rPr>
    </w:lvl>
    <w:lvl w:ilvl="1" w:tplc="A9882F9A">
      <w:start w:val="1"/>
      <w:numFmt w:val="bullet"/>
      <w:lvlText w:val="o"/>
      <w:lvlJc w:val="left"/>
      <w:pPr>
        <w:ind w:left="1647" w:hanging="360"/>
      </w:pPr>
      <w:rPr>
        <w:rFonts w:ascii="Courier New" w:hAnsi="Courier New" w:cs="Courier New" w:hint="default"/>
      </w:rPr>
    </w:lvl>
    <w:lvl w:ilvl="2" w:tplc="75AE3794">
      <w:start w:val="1"/>
      <w:numFmt w:val="bullet"/>
      <w:lvlText w:val=""/>
      <w:lvlJc w:val="left"/>
      <w:pPr>
        <w:ind w:left="2367" w:hanging="360"/>
      </w:pPr>
      <w:rPr>
        <w:rFonts w:ascii="Wingdings" w:hAnsi="Wingdings" w:hint="default"/>
      </w:rPr>
    </w:lvl>
    <w:lvl w:ilvl="3" w:tplc="8C40F1F2">
      <w:start w:val="1"/>
      <w:numFmt w:val="bullet"/>
      <w:lvlText w:val=""/>
      <w:lvlJc w:val="left"/>
      <w:pPr>
        <w:ind w:left="3087" w:hanging="360"/>
      </w:pPr>
      <w:rPr>
        <w:rFonts w:ascii="Symbol" w:hAnsi="Symbol" w:hint="default"/>
      </w:rPr>
    </w:lvl>
    <w:lvl w:ilvl="4" w:tplc="9A88E72A">
      <w:start w:val="1"/>
      <w:numFmt w:val="bullet"/>
      <w:lvlText w:val="o"/>
      <w:lvlJc w:val="left"/>
      <w:pPr>
        <w:ind w:left="3807" w:hanging="360"/>
      </w:pPr>
      <w:rPr>
        <w:rFonts w:ascii="Courier New" w:hAnsi="Courier New" w:cs="Courier New" w:hint="default"/>
      </w:rPr>
    </w:lvl>
    <w:lvl w:ilvl="5" w:tplc="CD389604">
      <w:start w:val="1"/>
      <w:numFmt w:val="bullet"/>
      <w:lvlText w:val=""/>
      <w:lvlJc w:val="left"/>
      <w:pPr>
        <w:ind w:left="4527" w:hanging="360"/>
      </w:pPr>
      <w:rPr>
        <w:rFonts w:ascii="Wingdings" w:hAnsi="Wingdings" w:hint="default"/>
      </w:rPr>
    </w:lvl>
    <w:lvl w:ilvl="6" w:tplc="937470D4">
      <w:start w:val="1"/>
      <w:numFmt w:val="bullet"/>
      <w:lvlText w:val=""/>
      <w:lvlJc w:val="left"/>
      <w:pPr>
        <w:ind w:left="5247" w:hanging="360"/>
      </w:pPr>
      <w:rPr>
        <w:rFonts w:ascii="Symbol" w:hAnsi="Symbol" w:hint="default"/>
      </w:rPr>
    </w:lvl>
    <w:lvl w:ilvl="7" w:tplc="0760272A">
      <w:start w:val="1"/>
      <w:numFmt w:val="bullet"/>
      <w:lvlText w:val="o"/>
      <w:lvlJc w:val="left"/>
      <w:pPr>
        <w:ind w:left="5967" w:hanging="360"/>
      </w:pPr>
      <w:rPr>
        <w:rFonts w:ascii="Courier New" w:hAnsi="Courier New" w:cs="Courier New" w:hint="default"/>
      </w:rPr>
    </w:lvl>
    <w:lvl w:ilvl="8" w:tplc="DD40A0F6">
      <w:start w:val="1"/>
      <w:numFmt w:val="bullet"/>
      <w:lvlText w:val=""/>
      <w:lvlJc w:val="left"/>
      <w:pPr>
        <w:ind w:left="6687" w:hanging="360"/>
      </w:pPr>
      <w:rPr>
        <w:rFonts w:ascii="Wingdings" w:hAnsi="Wingdings" w:hint="default"/>
      </w:rPr>
    </w:lvl>
  </w:abstractNum>
  <w:abstractNum w:abstractNumId="8" w15:restartNumberingAfterBreak="0">
    <w:nsid w:val="77DB6DB3"/>
    <w:multiLevelType w:val="multilevel"/>
    <w:tmpl w:val="40DA38D6"/>
    <w:lvl w:ilvl="0">
      <w:start w:val="1"/>
      <w:numFmt w:val="bullet"/>
      <w:lvlText w:val=""/>
      <w:lvlJc w:val="left"/>
      <w:pPr>
        <w:tabs>
          <w:tab w:val="num" w:pos="720"/>
        </w:tabs>
        <w:ind w:left="720" w:hanging="360"/>
      </w:pPr>
      <w:rPr>
        <w:rFonts w:ascii="Wingdings" w:hAnsi="Wingdings" w:hint="default"/>
        <w:color w:val="E36C0A" w:themeColor="accent6" w:themeShade="BF"/>
        <w:sz w:val="20"/>
      </w:rPr>
    </w:lvl>
    <w:lvl w:ilvl="1">
      <w:start w:val="1"/>
      <w:numFmt w:val="bullet"/>
      <w:lvlText w:val="o"/>
      <w:lvlJc w:val="left"/>
      <w:pPr>
        <w:tabs>
          <w:tab w:val="num" w:pos="1440"/>
        </w:tabs>
        <w:ind w:left="1440" w:hanging="360"/>
      </w:pPr>
      <w:rPr>
        <w:rFonts w:ascii="Courier New" w:hAnsi="Courier New" w:cs="Times New Roman" w:hint="default"/>
        <w:color w:val="E36C0A" w:themeColor="accent6" w:themeShade="BF"/>
        <w:sz w:val="18"/>
        <w:szCs w:val="22"/>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04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9692302">
    <w:abstractNumId w:val="7"/>
  </w:num>
  <w:num w:numId="3" w16cid:durableId="2087993171">
    <w:abstractNumId w:val="3"/>
  </w:num>
  <w:num w:numId="4" w16cid:durableId="967785421">
    <w:abstractNumId w:val="2"/>
  </w:num>
  <w:num w:numId="5" w16cid:durableId="724526648">
    <w:abstractNumId w:val="5"/>
  </w:num>
  <w:num w:numId="6" w16cid:durableId="1657957744">
    <w:abstractNumId w:val="8"/>
    <w:lvlOverride w:ilvl="0"/>
    <w:lvlOverride w:ilvl="1"/>
    <w:lvlOverride w:ilvl="2">
      <w:startOverride w:val="1"/>
    </w:lvlOverride>
    <w:lvlOverride w:ilvl="3"/>
    <w:lvlOverride w:ilvl="4"/>
    <w:lvlOverride w:ilvl="5"/>
    <w:lvlOverride w:ilvl="6"/>
    <w:lvlOverride w:ilvl="7"/>
    <w:lvlOverride w:ilvl="8"/>
  </w:num>
  <w:num w:numId="7" w16cid:durableId="166987111">
    <w:abstractNumId w:val="1"/>
  </w:num>
  <w:num w:numId="8" w16cid:durableId="414132514">
    <w:abstractNumId w:val="0"/>
  </w:num>
  <w:num w:numId="9" w16cid:durableId="1214853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X0AjOWDyNmQg363tkFQNmkViH4E+Dq0tqmi2XyP+npLdmfTyCsTz9noxFGLtUx6rYnhKv8iQ59gJDGjJVlBgOA==" w:salt="uW4mCi2pX5IlRJc4nUSU4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277F8"/>
    <w:rsid w:val="001579F0"/>
    <w:rsid w:val="0019083E"/>
    <w:rsid w:val="002314BF"/>
    <w:rsid w:val="002B683A"/>
    <w:rsid w:val="002D71B2"/>
    <w:rsid w:val="003044F0"/>
    <w:rsid w:val="003530E1"/>
    <w:rsid w:val="003735BC"/>
    <w:rsid w:val="00374364"/>
    <w:rsid w:val="003A4315"/>
    <w:rsid w:val="003B2A39"/>
    <w:rsid w:val="003E58F2"/>
    <w:rsid w:val="004208DA"/>
    <w:rsid w:val="00424AD7"/>
    <w:rsid w:val="00424B54"/>
    <w:rsid w:val="00442B57"/>
    <w:rsid w:val="004557F0"/>
    <w:rsid w:val="0049496F"/>
    <w:rsid w:val="004C6C25"/>
    <w:rsid w:val="004F7CAD"/>
    <w:rsid w:val="00500696"/>
    <w:rsid w:val="00520285"/>
    <w:rsid w:val="00524AF7"/>
    <w:rsid w:val="00545B76"/>
    <w:rsid w:val="006602C1"/>
    <w:rsid w:val="006963FA"/>
    <w:rsid w:val="006D214C"/>
    <w:rsid w:val="00784598"/>
    <w:rsid w:val="007C582E"/>
    <w:rsid w:val="0081066D"/>
    <w:rsid w:val="00810F8B"/>
    <w:rsid w:val="00852A1F"/>
    <w:rsid w:val="00853C00"/>
    <w:rsid w:val="00883F79"/>
    <w:rsid w:val="00884EEE"/>
    <w:rsid w:val="00893E2E"/>
    <w:rsid w:val="008A4585"/>
    <w:rsid w:val="008B6EF2"/>
    <w:rsid w:val="008F55D5"/>
    <w:rsid w:val="009D1EC6"/>
    <w:rsid w:val="009E1F3A"/>
    <w:rsid w:val="00A84A56"/>
    <w:rsid w:val="00B20C04"/>
    <w:rsid w:val="00B3670E"/>
    <w:rsid w:val="00BF532A"/>
    <w:rsid w:val="00C72BF6"/>
    <w:rsid w:val="00CB633A"/>
    <w:rsid w:val="00D07AA9"/>
    <w:rsid w:val="00DC4FD6"/>
    <w:rsid w:val="00E2268E"/>
    <w:rsid w:val="00E27A66"/>
    <w:rsid w:val="00E62D2B"/>
    <w:rsid w:val="00EE06C3"/>
    <w:rsid w:val="00F1156F"/>
    <w:rsid w:val="00F13CCA"/>
    <w:rsid w:val="00F33B16"/>
    <w:rsid w:val="00F37DCB"/>
    <w:rsid w:val="00F52248"/>
    <w:rsid w:val="00F54232"/>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FDF999"/>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table" w:styleId="a7">
    <w:name w:val="Table Grid"/>
    <w:basedOn w:val="a1"/>
    <w:uiPriority w:val="59"/>
    <w:rsid w:val="0015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7"/>
    <w:uiPriority w:val="59"/>
    <w:rsid w:val="00E62D2B"/>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7"/>
    <w:uiPriority w:val="59"/>
    <w:rsid w:val="00E2268E"/>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7"/>
    <w:uiPriority w:val="59"/>
    <w:rsid w:val="00442B57"/>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42B57"/>
    <w:rPr>
      <w:color w:val="0000FF" w:themeColor="hyperlink"/>
      <w:u w:val="single"/>
    </w:rPr>
  </w:style>
  <w:style w:type="character" w:styleId="a9">
    <w:name w:val="Unresolved Mention"/>
    <w:basedOn w:val="a0"/>
    <w:uiPriority w:val="99"/>
    <w:semiHidden/>
    <w:unhideWhenUsed/>
    <w:rsid w:val="00442B57"/>
    <w:rPr>
      <w:color w:val="605E5C"/>
      <w:shd w:val="clear" w:color="auto" w:fill="E1DFDD"/>
    </w:rPr>
  </w:style>
  <w:style w:type="table" w:customStyle="1" w:styleId="4">
    <w:name w:val="Сітка таблиці4"/>
    <w:basedOn w:val="a1"/>
    <w:next w:val="a7"/>
    <w:uiPriority w:val="59"/>
    <w:rsid w:val="00442B57"/>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7"/>
    <w:uiPriority w:val="59"/>
    <w:rsid w:val="00442B57"/>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42B57"/>
    <w:pPr>
      <w:ind w:left="720"/>
      <w:contextualSpacing/>
    </w:pPr>
  </w:style>
  <w:style w:type="character" w:styleId="ab">
    <w:name w:val="Placeholder Text"/>
    <w:basedOn w:val="a0"/>
    <w:uiPriority w:val="99"/>
    <w:semiHidden/>
    <w:rsid w:val="006602C1"/>
    <w:rPr>
      <w:color w:val="808080"/>
    </w:rPr>
  </w:style>
  <w:style w:type="table" w:customStyle="1" w:styleId="6">
    <w:name w:val="Сітка таблиці6"/>
    <w:basedOn w:val="a1"/>
    <w:next w:val="a7"/>
    <w:uiPriority w:val="59"/>
    <w:rsid w:val="006602C1"/>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7"/>
    <w:uiPriority w:val="59"/>
    <w:rsid w:val="006602C1"/>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ітка таблиці8"/>
    <w:basedOn w:val="a1"/>
    <w:next w:val="a7"/>
    <w:uiPriority w:val="59"/>
    <w:rsid w:val="006602C1"/>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7"/>
    <w:uiPriority w:val="59"/>
    <w:rsid w:val="006602C1"/>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6602C1"/>
    <w:pPr>
      <w:spacing w:after="0" w:line="240" w:lineRule="auto"/>
    </w:pPr>
    <w:rPr>
      <w:rFonts w:ascii="Calibri" w:eastAsia="Calibri" w:hAnsi="Calibri" w:cs="Times New Roman"/>
      <w:kern w:val="2"/>
      <w:sz w:val="20"/>
      <w:szCs w:val="20"/>
      <w:lang w:eastAsia="en-US"/>
      <w14:ligatures w14:val="standardContextual"/>
    </w:rPr>
  </w:style>
  <w:style w:type="character" w:customStyle="1" w:styleId="ad">
    <w:name w:val="Текст сноски Знак"/>
    <w:basedOn w:val="a0"/>
    <w:link w:val="ac"/>
    <w:uiPriority w:val="99"/>
    <w:semiHidden/>
    <w:rsid w:val="006602C1"/>
    <w:rPr>
      <w:rFonts w:ascii="Calibri" w:eastAsia="Calibri" w:hAnsi="Calibri" w:cs="Times New Roman"/>
      <w:kern w:val="2"/>
      <w:sz w:val="20"/>
      <w:szCs w:val="20"/>
      <w:lang w:eastAsia="en-US"/>
      <w14:ligatures w14:val="standardContextual"/>
    </w:rPr>
  </w:style>
  <w:style w:type="character" w:styleId="ae">
    <w:name w:val="footnote reference"/>
    <w:basedOn w:val="a0"/>
    <w:uiPriority w:val="99"/>
    <w:semiHidden/>
    <w:unhideWhenUsed/>
    <w:rsid w:val="006602C1"/>
    <w:rPr>
      <w:vertAlign w:val="superscript"/>
    </w:rPr>
  </w:style>
  <w:style w:type="table" w:customStyle="1" w:styleId="10">
    <w:name w:val="Сітка таблиці10"/>
    <w:basedOn w:val="a1"/>
    <w:next w:val="a7"/>
    <w:uiPriority w:val="59"/>
    <w:rsid w:val="006602C1"/>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1"/>
    <w:basedOn w:val="a1"/>
    <w:next w:val="a7"/>
    <w:uiPriority w:val="59"/>
    <w:rsid w:val="00852A1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2"/>
    <w:basedOn w:val="a1"/>
    <w:next w:val="a7"/>
    <w:uiPriority w:val="59"/>
    <w:rsid w:val="00852A1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3"/>
    <w:basedOn w:val="a1"/>
    <w:next w:val="a7"/>
    <w:uiPriority w:val="59"/>
    <w:rsid w:val="00852A1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ітка таблиці14"/>
    <w:basedOn w:val="a1"/>
    <w:next w:val="a7"/>
    <w:uiPriority w:val="59"/>
    <w:rsid w:val="00852A1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Grid Table Light"/>
    <w:basedOn w:val="a1"/>
    <w:uiPriority w:val="40"/>
    <w:rsid w:val="00351764"/>
    <w:pPr>
      <w:spacing w:after="0" w:line="240" w:lineRule="auto"/>
    </w:pPr>
    <w:rPr>
      <w:rFonts w:eastAsia="Times New Roman" w:cs="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kyivobl.ukrstat.gov.ua/p.php3?c=82&amp;lang=1"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tov.atomis@gmail.com" TargetMode="External"/><Relationship Id="rId12" Type="http://schemas.openxmlformats.org/officeDocument/2006/relationships/hyperlink" Target="http://kyivobl.ukrstat.gov.ua/p.php3?c=88&amp;lang=1"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profix.brovary-rada.gov.ua/storage/app/media/&#1055;&#1088;&#1086;%20&#1084;&#1110;&#1089;&#1090;&#1086;/&#1030;&#1085;&#1074;&#1077;&#1089;&#1090;&#1080;&#1094;&#1110;&#1081;&#1085;&#1080;&#1081;%20&#1087;&#1072;&#1089;&#1087;&#1086;&#1088;&#1090;.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kyivobl.ukrstat.gov.ua/p.php3?c=1109&amp;lang=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644-2024-%D0%B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00000" w:rsidP="0019083E">
          <w:pPr>
            <w:pStyle w:val="A9F0599B319A4DFEBC011EDB594FDDF6"/>
          </w:pPr>
          <w:r>
            <w:rPr>
              <w:color w:val="7F7F7F" w:themeColor="text1" w:themeTint="80"/>
            </w:rPr>
            <w:t>[Заголовок документа]</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9AF" w:rsidRDefault="003909AF">
      <w:pPr>
        <w:spacing w:after="0" w:line="240" w:lineRule="auto"/>
      </w:pPr>
      <w:r>
        <w:separator/>
      </w:r>
    </w:p>
  </w:endnote>
  <w:endnote w:type="continuationSeparator" w:id="0">
    <w:p w:rsidR="003909AF" w:rsidRDefault="003909AF">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InfoPlus CODE128 12">
    <w:altName w:val="Times New Roman"/>
    <w:charset w:val="CC"/>
    <w:family w:val="auto"/>
    <w:pitch w:val="variable"/>
    <w:sig w:usb0="00000000" w:usb1="00000000" w:usb2="00000000" w:usb3="00000000" w:csb0="0000007E" w:csb1="00000000"/>
  </w:font>
  <w:font w:name="InfoPlus CODE128 60">
    <w:altName w:val="Times New Roman"/>
    <w:charset w:val="CC"/>
    <w:family w:val="auto"/>
    <w:pitch w:val="variable"/>
    <w:sig w:usb0="00000000" w:usb1="00000000" w:usb2="00000000" w:usb3="00000000" w:csb0="0000007E" w:csb1="00000000"/>
  </w:font>
  <w:font w:name="MS Sans Serif">
    <w:altName w:val="Microsoft Sans Serif"/>
    <w:charset w:val="CC"/>
    <w:family w:val="auto"/>
    <w:pitch w:val="default"/>
    <w:sig w:usb0="00000000"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9AF" w:rsidRDefault="003909AF">
      <w:pPr>
        <w:spacing w:after="0" w:line="240" w:lineRule="auto"/>
      </w:pPr>
      <w:r>
        <w:separator/>
      </w:r>
    </w:p>
  </w:footnote>
  <w:footnote w:type="continuationSeparator" w:id="0">
    <w:p w:rsidR="003909AF" w:rsidRDefault="003909AF">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909AF"/>
    <w:rsid w:val="004D1168"/>
    <w:rsid w:val="004F0417"/>
    <w:rsid w:val="005438AA"/>
    <w:rsid w:val="008A4585"/>
    <w:rsid w:val="00934C4A"/>
    <w:rsid w:val="009903FA"/>
    <w:rsid w:val="00A51DB1"/>
    <w:rsid w:val="00BD295C"/>
    <w:rsid w:val="00BE673D"/>
    <w:rsid w:val="00D6466E"/>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 w:type="character" w:styleId="a3">
    <w:name w:val="Placeholder Text"/>
    <w:basedOn w:val="a0"/>
    <w:uiPriority w:val="99"/>
    <w:semiHidden/>
    <w:rsid w:val="009903F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68611</Words>
  <Characters>39109</Characters>
  <Application>Microsoft Office Word</Application>
  <DocSecurity>8</DocSecurity>
  <Lines>325</Lines>
  <Paragraphs>215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107505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19</cp:revision>
  <dcterms:created xsi:type="dcterms:W3CDTF">2023-03-27T06:26:00Z</dcterms:created>
  <dcterms:modified xsi:type="dcterms:W3CDTF">2026-03-25T06:10:00Z</dcterms:modified>
</cp:coreProperties>
</file>