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61C2" w14:textId="77777777" w:rsidR="00E4667A" w:rsidRPr="003676F5" w:rsidRDefault="00E4667A" w:rsidP="00E466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1B5FBD5" w14:textId="77777777" w:rsidR="005E76AE" w:rsidRPr="00056C7D" w:rsidRDefault="00E4667A" w:rsidP="005E76AE">
      <w:pPr>
        <w:pStyle w:val="a5"/>
        <w:jc w:val="center"/>
        <w:rPr>
          <w:b/>
          <w:sz w:val="27"/>
          <w:szCs w:val="27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</w:t>
      </w:r>
      <w:r>
        <w:rPr>
          <w:rFonts w:cs="Times New Roman"/>
          <w:szCs w:val="28"/>
        </w:rPr>
        <w:t>«</w:t>
      </w:r>
      <w:r w:rsidR="005E76AE" w:rsidRPr="00056C7D">
        <w:rPr>
          <w:b/>
          <w:sz w:val="27"/>
          <w:szCs w:val="27"/>
        </w:rPr>
        <w:t xml:space="preserve">Про внесення змін до рішення Броварської міської ради Броварського району Київської області від 23.12.2022 року №948-39-08 </w:t>
      </w:r>
    </w:p>
    <w:p w14:paraId="6D8B0899" w14:textId="77777777" w:rsidR="005E76AE" w:rsidRDefault="005E76AE" w:rsidP="005E76AE">
      <w:pPr>
        <w:pStyle w:val="a5"/>
        <w:jc w:val="center"/>
        <w:rPr>
          <w:b/>
          <w:sz w:val="27"/>
          <w:szCs w:val="27"/>
        </w:rPr>
      </w:pPr>
      <w:r w:rsidRPr="00056C7D">
        <w:rPr>
          <w:b/>
          <w:sz w:val="27"/>
          <w:szCs w:val="27"/>
        </w:rPr>
        <w:t xml:space="preserve">«Про затвердження Програми забезпечення життєдіяльності критичної інфраструктури Броварської міської територіальної громади </w:t>
      </w:r>
    </w:p>
    <w:p w14:paraId="09D5CDD8" w14:textId="77777777" w:rsidR="00E4667A" w:rsidRPr="00F540AE" w:rsidRDefault="005E76AE" w:rsidP="005E76AE">
      <w:pPr>
        <w:pStyle w:val="a5"/>
        <w:jc w:val="center"/>
        <w:rPr>
          <w:b/>
          <w:szCs w:val="28"/>
        </w:rPr>
      </w:pPr>
      <w:r w:rsidRPr="00056C7D">
        <w:rPr>
          <w:b/>
          <w:sz w:val="27"/>
          <w:szCs w:val="27"/>
        </w:rPr>
        <w:t>на 2023 -2027 роки»</w:t>
      </w:r>
    </w:p>
    <w:p w14:paraId="6A469F79" w14:textId="77777777" w:rsidR="00E4667A" w:rsidRPr="003676F5" w:rsidRDefault="00E4667A" w:rsidP="00E4667A">
      <w:pPr>
        <w:pStyle w:val="a5"/>
        <w:jc w:val="center"/>
        <w:rPr>
          <w:rFonts w:cs="Times New Roman"/>
          <w:szCs w:val="28"/>
        </w:rPr>
      </w:pPr>
    </w:p>
    <w:p w14:paraId="3260D427" w14:textId="77777777" w:rsidR="00E4667A" w:rsidRPr="003676F5" w:rsidRDefault="00E4667A" w:rsidP="00E466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47B7A4EC" w14:textId="77777777" w:rsidR="00E4667A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44885207"/>
      <w:bookmarkStart w:id="2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B3ED9E2" w14:textId="0FDB364B" w:rsidR="00E4667A" w:rsidRDefault="00E4667A" w:rsidP="00E4667A">
      <w:pPr>
        <w:pStyle w:val="rvps2"/>
        <w:spacing w:after="0"/>
        <w:ind w:firstLine="360"/>
        <w:jc w:val="both"/>
        <w:rPr>
          <w:sz w:val="28"/>
          <w:szCs w:val="28"/>
          <w:lang w:val="uk-UA"/>
        </w:rPr>
      </w:pPr>
      <w:r w:rsidRPr="00EE24ED">
        <w:rPr>
          <w:rStyle w:val="spanrvts0"/>
          <w:sz w:val="28"/>
          <w:szCs w:val="28"/>
          <w:lang w:val="uk-UA"/>
        </w:rPr>
        <w:t xml:space="preserve">Закон України «Про критичну інфраструктуру»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 та </w:t>
      </w:r>
      <w:r w:rsidRPr="00EE24ED">
        <w:rPr>
          <w:sz w:val="28"/>
          <w:szCs w:val="28"/>
          <w:lang w:val="uk-UA"/>
        </w:rPr>
        <w:t xml:space="preserve">передбачає участь органів місцевого самоврядування у плануванні та здійсненні заходів щодо забезпечення стійкості та захисту об’єктів критичної інфраструктури, які стали вкрай актуальними в умовах воєнного стану. </w:t>
      </w:r>
    </w:p>
    <w:p w14:paraId="67BE9158" w14:textId="77777777" w:rsidR="00A540F7" w:rsidRPr="00A540F7" w:rsidRDefault="00A540F7" w:rsidP="00E4667A">
      <w:pPr>
        <w:pStyle w:val="rvps2"/>
        <w:spacing w:after="0"/>
        <w:ind w:firstLine="360"/>
        <w:jc w:val="both"/>
        <w:rPr>
          <w:sz w:val="16"/>
          <w:szCs w:val="16"/>
          <w:lang w:val="uk-UA"/>
        </w:rPr>
      </w:pPr>
    </w:p>
    <w:p w14:paraId="65399F5F" w14:textId="77777777" w:rsidR="00E4667A" w:rsidRPr="003676F5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6EA3EB7B" w14:textId="7E50844F" w:rsidR="00E4667A" w:rsidRDefault="00E4667A" w:rsidP="00E4667A">
      <w:pPr>
        <w:pStyle w:val="rvps2"/>
        <w:shd w:val="clear" w:color="auto" w:fill="FFFFFF"/>
        <w:spacing w:after="0"/>
        <w:ind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EE24ED">
        <w:rPr>
          <w:sz w:val="28"/>
          <w:szCs w:val="28"/>
          <w:shd w:val="clear" w:color="auto" w:fill="FFFFFF"/>
          <w:lang w:val="uk-UA"/>
        </w:rPr>
        <w:t xml:space="preserve">Метою Програми є забезпечення стійкості, життєдіяльності та безпека об’єктів критичної інфраструктури, соціальних об’єктів, запобігання проявам несанкціонованого втручання в їх функціонування, прогнозування, запобігання та ліквідація кризовим ситуаціям. </w:t>
      </w:r>
    </w:p>
    <w:p w14:paraId="71F0B4A5" w14:textId="77777777" w:rsidR="00A540F7" w:rsidRPr="00A540F7" w:rsidRDefault="00A540F7" w:rsidP="00E4667A">
      <w:pPr>
        <w:pStyle w:val="rvps2"/>
        <w:shd w:val="clear" w:color="auto" w:fill="FFFFFF"/>
        <w:spacing w:after="0"/>
        <w:ind w:firstLine="360"/>
        <w:jc w:val="both"/>
        <w:rPr>
          <w:sz w:val="16"/>
          <w:szCs w:val="16"/>
          <w:shd w:val="clear" w:color="auto" w:fill="FFFFFF"/>
          <w:lang w:val="uk-UA"/>
        </w:rPr>
      </w:pPr>
    </w:p>
    <w:p w14:paraId="218DC413" w14:textId="77777777" w:rsidR="00E4667A" w:rsidRPr="003676F5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56A7C014" w14:textId="47D1518B" w:rsidR="00E4667A" w:rsidRDefault="00E4667A" w:rsidP="00E4667A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443213FE" w14:textId="77777777" w:rsidR="00A540F7" w:rsidRPr="00A540F7" w:rsidRDefault="00A540F7" w:rsidP="00E4667A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C809B6D" w14:textId="77777777" w:rsidR="00E4667A" w:rsidRPr="003676F5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6CD78E78" w14:textId="28AA0482" w:rsidR="00E4667A" w:rsidRDefault="00E4667A" w:rsidP="00E466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97 555,00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7BC313" w14:textId="77777777" w:rsidR="00A540F7" w:rsidRPr="00A540F7" w:rsidRDefault="00A540F7" w:rsidP="00E4667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8184C3" w14:textId="77777777" w:rsidR="00E4667A" w:rsidRPr="003676F5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7CEE75D" w14:textId="6B36AD3A" w:rsidR="00E4667A" w:rsidRDefault="00E4667A" w:rsidP="00E4667A">
      <w:pPr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2D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Результатом виконання Програми буде підвищення стійкості Броварської міської територіальної громади Київської області до кризових ситуацій, викликаних припиненням або погіршенням надання важливих для життєдіяльності послуг чи для здійснення </w:t>
      </w:r>
      <w:proofErr w:type="spellStart"/>
      <w:r w:rsidRPr="006522DB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6522DB">
        <w:rPr>
          <w:rFonts w:ascii="Times New Roman" w:hAnsi="Times New Roman" w:cs="Times New Roman"/>
          <w:sz w:val="28"/>
          <w:szCs w:val="28"/>
          <w:lang w:val="uk-UA"/>
        </w:rPr>
        <w:t xml:space="preserve"> важливих функцій.</w:t>
      </w:r>
    </w:p>
    <w:p w14:paraId="2BA06E8D" w14:textId="77777777" w:rsidR="00A540F7" w:rsidRPr="00A540F7" w:rsidRDefault="00A540F7" w:rsidP="00E4667A">
      <w:pPr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8E88F0" w14:textId="5B3AC1B0" w:rsidR="00E4667A" w:rsidRPr="003676F5" w:rsidRDefault="00E4667A" w:rsidP="00E466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A1E8C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32285B32" w14:textId="3516A324" w:rsidR="00E4667A" w:rsidRDefault="00E4667A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Start w:id="6" w:name="_Hlk68013621"/>
      <w:bookmarkEnd w:id="4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7A1E8C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3F5851" w14:textId="78256203" w:rsidR="00E4667A" w:rsidRDefault="00E4667A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</w:t>
      </w:r>
      <w:r w:rsidR="007A1E8C"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 w:rsidR="007A1E8C">
        <w:rPr>
          <w:rFonts w:ascii="Times New Roman" w:hAnsi="Times New Roman"/>
          <w:sz w:val="28"/>
          <w:szCs w:val="28"/>
          <w:lang w:val="uk-UA"/>
        </w:rPr>
        <w:t xml:space="preserve">Олена 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14:paraId="4D2E0E91" w14:textId="7AF1A5B7" w:rsidR="007A1E8C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F63E7" w14:textId="035869AA" w:rsidR="007A1E8C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A62F1" w14:textId="62129CA1" w:rsidR="007A1E8C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FA7AC" w14:textId="16A073DD" w:rsidR="007A1E8C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99ADC" w14:textId="4E06BEE4" w:rsidR="007A1E8C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609EA" w14:textId="77777777" w:rsidR="007A1E8C" w:rsidRPr="00782B38" w:rsidRDefault="007A1E8C" w:rsidP="00E4667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BFC63" w14:textId="77777777" w:rsidR="00E4667A" w:rsidRPr="003676F5" w:rsidRDefault="00E4667A" w:rsidP="00E4667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E4667A" w:rsidRPr="003676F5" w14:paraId="600514DF" w14:textId="77777777" w:rsidTr="003861B7">
        <w:tc>
          <w:tcPr>
            <w:tcW w:w="1229" w:type="dxa"/>
            <w:vMerge w:val="restart"/>
          </w:tcPr>
          <w:p w14:paraId="607E1716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7" w:name="_Hlk139880218"/>
            <w:bookmarkEnd w:id="6"/>
            <w:r w:rsidRPr="003676F5">
              <w:rPr>
                <w:b/>
                <w:sz w:val="28"/>
                <w:szCs w:val="28"/>
              </w:rPr>
              <w:t>№</w:t>
            </w:r>
          </w:p>
          <w:p w14:paraId="60489EE0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5D03E931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  <w:r>
              <w:rPr>
                <w:b/>
                <w:sz w:val="28"/>
                <w:szCs w:val="28"/>
              </w:rPr>
              <w:t xml:space="preserve"> заходів</w:t>
            </w:r>
          </w:p>
          <w:p w14:paraId="7A15D344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3256C912" w14:textId="77777777" w:rsidR="00E4667A" w:rsidRPr="00B648AC" w:rsidRDefault="00E4667A" w:rsidP="003861B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466C8AA2" w14:textId="77777777" w:rsidR="00E4667A" w:rsidRPr="00B648AC" w:rsidRDefault="00E4667A" w:rsidP="003861B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4D0F538D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E4667A" w:rsidRPr="003676F5" w14:paraId="0C0C40A1" w14:textId="77777777" w:rsidTr="003861B7">
        <w:tc>
          <w:tcPr>
            <w:tcW w:w="1229" w:type="dxa"/>
            <w:vMerge/>
          </w:tcPr>
          <w:p w14:paraId="3DFEA83F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6D894EAD" w14:textId="77777777" w:rsidR="00E4667A" w:rsidRPr="003676F5" w:rsidRDefault="00E4667A" w:rsidP="003861B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79C423A" w14:textId="77777777" w:rsidR="00E4667A" w:rsidRPr="00DB7979" w:rsidRDefault="00E4667A" w:rsidP="003861B7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544" w:type="dxa"/>
          </w:tcPr>
          <w:p w14:paraId="50A57CD1" w14:textId="77777777" w:rsidR="00E4667A" w:rsidRPr="00DB7979" w:rsidRDefault="00E4667A" w:rsidP="003861B7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336" w:type="dxa"/>
          </w:tcPr>
          <w:p w14:paraId="77B23E48" w14:textId="77777777" w:rsidR="00E4667A" w:rsidRPr="00DB7979" w:rsidRDefault="00E4667A" w:rsidP="003861B7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E4667A" w:rsidRPr="003676F5" w14:paraId="3B840371" w14:textId="77777777" w:rsidTr="003861B7">
        <w:tc>
          <w:tcPr>
            <w:tcW w:w="1229" w:type="dxa"/>
          </w:tcPr>
          <w:p w14:paraId="4D180654" w14:textId="77777777" w:rsidR="00E4667A" w:rsidRPr="003836E2" w:rsidRDefault="00E4667A" w:rsidP="003861B7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8" w:type="dxa"/>
          </w:tcPr>
          <w:p w14:paraId="2DB793F1" w14:textId="77777777" w:rsidR="00E4667A" w:rsidRPr="003836E2" w:rsidRDefault="00E4667A" w:rsidP="003861B7">
            <w:pPr>
              <w:pStyle w:val="2"/>
              <w:jc w:val="left"/>
            </w:pPr>
            <w:r w:rsidRPr="0072515C">
              <w:rPr>
                <w:sz w:val="22"/>
                <w:szCs w:val="22"/>
              </w:rPr>
              <w:t xml:space="preserve">Посилення фізичної охорони </w:t>
            </w:r>
            <w:r>
              <w:rPr>
                <w:sz w:val="22"/>
                <w:szCs w:val="22"/>
              </w:rPr>
              <w:t>на об</w:t>
            </w:r>
            <w:r w:rsidRPr="008C5309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єктах: водозабірна насосна станція І підйому та водоочисні споруди</w:t>
            </w:r>
          </w:p>
        </w:tc>
        <w:tc>
          <w:tcPr>
            <w:tcW w:w="1554" w:type="dxa"/>
          </w:tcPr>
          <w:p w14:paraId="76B34CB4" w14:textId="77777777" w:rsidR="00E4667A" w:rsidRPr="008F026D" w:rsidRDefault="00E4667A" w:rsidP="003861B7">
            <w:pPr>
              <w:pStyle w:val="2"/>
              <w:jc w:val="center"/>
            </w:pPr>
            <w:r w:rsidRPr="008F026D">
              <w:t>5 125,00</w:t>
            </w:r>
          </w:p>
        </w:tc>
        <w:tc>
          <w:tcPr>
            <w:tcW w:w="1544" w:type="dxa"/>
          </w:tcPr>
          <w:p w14:paraId="57929285" w14:textId="77777777" w:rsidR="00E4667A" w:rsidRPr="008F026D" w:rsidRDefault="00E4667A" w:rsidP="003861B7">
            <w:pPr>
              <w:pStyle w:val="2"/>
            </w:pPr>
          </w:p>
        </w:tc>
        <w:tc>
          <w:tcPr>
            <w:tcW w:w="1336" w:type="dxa"/>
          </w:tcPr>
          <w:p w14:paraId="2D0BDF58" w14:textId="77777777" w:rsidR="00E4667A" w:rsidRPr="008F026D" w:rsidRDefault="00E4667A" w:rsidP="003861B7">
            <w:pPr>
              <w:pStyle w:val="2"/>
            </w:pPr>
            <w:r>
              <w:t>5 125,00</w:t>
            </w:r>
          </w:p>
        </w:tc>
      </w:tr>
      <w:tr w:rsidR="00E4667A" w:rsidRPr="003676F5" w14:paraId="4889A527" w14:textId="77777777" w:rsidTr="003861B7">
        <w:tc>
          <w:tcPr>
            <w:tcW w:w="1229" w:type="dxa"/>
          </w:tcPr>
          <w:p w14:paraId="5284E309" w14:textId="77777777" w:rsidR="00E4667A" w:rsidRPr="003836E2" w:rsidRDefault="00E4667A" w:rsidP="003861B7">
            <w:pPr>
              <w:pStyle w:val="2"/>
              <w:jc w:val="left"/>
            </w:pPr>
            <w:r>
              <w:t>2</w:t>
            </w:r>
          </w:p>
        </w:tc>
        <w:tc>
          <w:tcPr>
            <w:tcW w:w="4368" w:type="dxa"/>
          </w:tcPr>
          <w:p w14:paraId="4F06BA11" w14:textId="77777777" w:rsidR="00E4667A" w:rsidRPr="003836E2" w:rsidRDefault="00E4667A" w:rsidP="003861B7">
            <w:pPr>
              <w:pStyle w:val="2"/>
              <w:jc w:val="left"/>
            </w:pPr>
            <w:r>
              <w:rPr>
                <w:sz w:val="22"/>
                <w:szCs w:val="22"/>
              </w:rPr>
              <w:t>Відшкодування вартості пального для забезпечення роботи генераторів, що застосовуються на об’єктах критичної інфраструктури, шляхом перерахування коштів на розрахунковий рахунок відкритий в установі банку</w:t>
            </w:r>
          </w:p>
        </w:tc>
        <w:tc>
          <w:tcPr>
            <w:tcW w:w="1554" w:type="dxa"/>
          </w:tcPr>
          <w:p w14:paraId="501D0A4C" w14:textId="77777777" w:rsidR="00E4667A" w:rsidRPr="008F026D" w:rsidRDefault="00E4667A" w:rsidP="003861B7">
            <w:pPr>
              <w:pStyle w:val="2"/>
              <w:jc w:val="center"/>
            </w:pPr>
            <w:r w:rsidRPr="008F026D">
              <w:t>10 000,00</w:t>
            </w:r>
          </w:p>
        </w:tc>
        <w:tc>
          <w:tcPr>
            <w:tcW w:w="1544" w:type="dxa"/>
          </w:tcPr>
          <w:p w14:paraId="0520E393" w14:textId="77777777" w:rsidR="00E4667A" w:rsidRPr="008F026D" w:rsidRDefault="00E4667A" w:rsidP="003861B7">
            <w:pPr>
              <w:pStyle w:val="2"/>
            </w:pPr>
          </w:p>
        </w:tc>
        <w:tc>
          <w:tcPr>
            <w:tcW w:w="1336" w:type="dxa"/>
          </w:tcPr>
          <w:p w14:paraId="59C72956" w14:textId="77777777" w:rsidR="00E4667A" w:rsidRPr="008F026D" w:rsidRDefault="00E4667A" w:rsidP="003861B7">
            <w:pPr>
              <w:pStyle w:val="2"/>
            </w:pPr>
            <w:r>
              <w:t>10 000,00</w:t>
            </w:r>
          </w:p>
        </w:tc>
      </w:tr>
      <w:tr w:rsidR="00E4667A" w:rsidRPr="003676F5" w14:paraId="3C30B2A1" w14:textId="77777777" w:rsidTr="003861B7">
        <w:tc>
          <w:tcPr>
            <w:tcW w:w="1229" w:type="dxa"/>
          </w:tcPr>
          <w:p w14:paraId="6391ABFF" w14:textId="77777777" w:rsidR="00E4667A" w:rsidRPr="003836E2" w:rsidRDefault="00E4667A" w:rsidP="003861B7">
            <w:pPr>
              <w:pStyle w:val="2"/>
              <w:jc w:val="both"/>
            </w:pPr>
            <w:r>
              <w:t>3</w:t>
            </w:r>
          </w:p>
        </w:tc>
        <w:tc>
          <w:tcPr>
            <w:tcW w:w="4368" w:type="dxa"/>
          </w:tcPr>
          <w:p w14:paraId="668045E1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інженерно-технічного захисту об’єктів критичної інфраструктури</w:t>
            </w:r>
          </w:p>
        </w:tc>
        <w:tc>
          <w:tcPr>
            <w:tcW w:w="1554" w:type="dxa"/>
          </w:tcPr>
          <w:p w14:paraId="6205A652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0DCA92F9" w14:textId="77777777" w:rsidR="00E4667A" w:rsidRPr="008F026D" w:rsidRDefault="00E4667A" w:rsidP="003861B7">
            <w:pPr>
              <w:pStyle w:val="2"/>
            </w:pPr>
            <w:r w:rsidRPr="008F026D">
              <w:t>4</w:t>
            </w:r>
            <w:r>
              <w:t xml:space="preserve"> </w:t>
            </w:r>
            <w:r w:rsidRPr="008F026D">
              <w:t>000,00</w:t>
            </w:r>
          </w:p>
        </w:tc>
        <w:tc>
          <w:tcPr>
            <w:tcW w:w="1336" w:type="dxa"/>
          </w:tcPr>
          <w:p w14:paraId="2F75259D" w14:textId="77777777" w:rsidR="00E4667A" w:rsidRPr="008F026D" w:rsidRDefault="00E4667A" w:rsidP="003861B7">
            <w:pPr>
              <w:pStyle w:val="2"/>
            </w:pPr>
            <w:r w:rsidRPr="008F026D">
              <w:t>4</w:t>
            </w:r>
            <w:r>
              <w:t xml:space="preserve"> </w:t>
            </w:r>
            <w:r w:rsidRPr="008F026D">
              <w:t>000,00</w:t>
            </w:r>
          </w:p>
        </w:tc>
      </w:tr>
      <w:tr w:rsidR="00E4667A" w:rsidRPr="003676F5" w14:paraId="680247F9" w14:textId="77777777" w:rsidTr="003861B7">
        <w:tc>
          <w:tcPr>
            <w:tcW w:w="1229" w:type="dxa"/>
          </w:tcPr>
          <w:p w14:paraId="3341A5FA" w14:textId="77777777" w:rsidR="00E4667A" w:rsidRPr="003836E2" w:rsidRDefault="00E4667A" w:rsidP="003861B7">
            <w:pPr>
              <w:pStyle w:val="2"/>
              <w:jc w:val="both"/>
            </w:pPr>
            <w:r>
              <w:t>4</w:t>
            </w:r>
          </w:p>
        </w:tc>
        <w:tc>
          <w:tcPr>
            <w:tcW w:w="4368" w:type="dxa"/>
          </w:tcPr>
          <w:p w14:paraId="78893957" w14:textId="77777777" w:rsidR="00E4667A" w:rsidRPr="003836E2" w:rsidRDefault="00E4667A" w:rsidP="003861B7">
            <w:pPr>
              <w:pStyle w:val="2"/>
              <w:jc w:val="both"/>
            </w:pPr>
            <w:r w:rsidRPr="000B12CA">
              <w:rPr>
                <w:sz w:val="22"/>
                <w:szCs w:val="22"/>
              </w:rPr>
              <w:t>Розвиток системи розподіленої теплової генерації</w:t>
            </w:r>
          </w:p>
        </w:tc>
        <w:tc>
          <w:tcPr>
            <w:tcW w:w="1554" w:type="dxa"/>
          </w:tcPr>
          <w:p w14:paraId="4369B06C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48A1F5C7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085EA545" w14:textId="77777777" w:rsidR="00E4667A" w:rsidRPr="008F026D" w:rsidRDefault="00E4667A" w:rsidP="003861B7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950,00</w:t>
            </w:r>
          </w:p>
        </w:tc>
        <w:tc>
          <w:tcPr>
            <w:tcW w:w="1336" w:type="dxa"/>
          </w:tcPr>
          <w:p w14:paraId="31F6F09B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6979280C" w14:textId="77777777" w:rsidR="00E4667A" w:rsidRPr="008F026D" w:rsidRDefault="00E4667A" w:rsidP="003861B7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950,00</w:t>
            </w:r>
          </w:p>
        </w:tc>
      </w:tr>
      <w:tr w:rsidR="00E4667A" w:rsidRPr="003676F5" w14:paraId="19875F0C" w14:textId="77777777" w:rsidTr="003861B7">
        <w:tc>
          <w:tcPr>
            <w:tcW w:w="1229" w:type="dxa"/>
          </w:tcPr>
          <w:p w14:paraId="3A8FFFB6" w14:textId="77777777" w:rsidR="00E4667A" w:rsidRPr="003836E2" w:rsidRDefault="00E4667A" w:rsidP="003861B7">
            <w:pPr>
              <w:pStyle w:val="2"/>
              <w:jc w:val="both"/>
            </w:pPr>
            <w:r>
              <w:t>5</w:t>
            </w:r>
          </w:p>
        </w:tc>
        <w:tc>
          <w:tcPr>
            <w:tcW w:w="4368" w:type="dxa"/>
          </w:tcPr>
          <w:p w14:paraId="4151C44E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джерелами резервного живлення</w:t>
            </w:r>
          </w:p>
        </w:tc>
        <w:tc>
          <w:tcPr>
            <w:tcW w:w="1554" w:type="dxa"/>
          </w:tcPr>
          <w:p w14:paraId="78E4C058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7AB3F244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6462161C" w14:textId="77777777" w:rsidR="00E4667A" w:rsidRPr="008F026D" w:rsidRDefault="00E4667A" w:rsidP="003861B7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510,00</w:t>
            </w:r>
          </w:p>
        </w:tc>
        <w:tc>
          <w:tcPr>
            <w:tcW w:w="1336" w:type="dxa"/>
          </w:tcPr>
          <w:p w14:paraId="21F7104F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1E395BE7" w14:textId="77777777" w:rsidR="00E4667A" w:rsidRPr="008F026D" w:rsidRDefault="00E4667A" w:rsidP="003861B7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510,00</w:t>
            </w:r>
          </w:p>
        </w:tc>
      </w:tr>
      <w:tr w:rsidR="00E4667A" w:rsidRPr="008F026D" w14:paraId="0C226DBC" w14:textId="77777777" w:rsidTr="003861B7">
        <w:tc>
          <w:tcPr>
            <w:tcW w:w="1229" w:type="dxa"/>
          </w:tcPr>
          <w:p w14:paraId="795616B0" w14:textId="77777777" w:rsidR="00E4667A" w:rsidRPr="003836E2" w:rsidRDefault="00E4667A" w:rsidP="003861B7">
            <w:pPr>
              <w:pStyle w:val="2"/>
              <w:jc w:val="both"/>
            </w:pPr>
            <w:r>
              <w:t>6</w:t>
            </w:r>
          </w:p>
        </w:tc>
        <w:tc>
          <w:tcPr>
            <w:tcW w:w="4368" w:type="dxa"/>
          </w:tcPr>
          <w:p w14:paraId="76B15B24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Зменшення рівня споживання електричної енергії та забезпечення автономності  об’єктів</w:t>
            </w:r>
          </w:p>
        </w:tc>
        <w:tc>
          <w:tcPr>
            <w:tcW w:w="1554" w:type="dxa"/>
          </w:tcPr>
          <w:p w14:paraId="0D026200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2F765F76" w14:textId="77777777" w:rsidR="00E4667A" w:rsidRPr="00E4667A" w:rsidRDefault="00E4667A" w:rsidP="003861B7">
            <w:pPr>
              <w:contextualSpacing/>
              <w:rPr>
                <w:sz w:val="24"/>
                <w:szCs w:val="24"/>
                <w:lang w:val="uk-UA"/>
              </w:rPr>
            </w:pPr>
          </w:p>
          <w:p w14:paraId="6B38F3F4" w14:textId="77777777" w:rsidR="00E4667A" w:rsidRPr="008F026D" w:rsidRDefault="00E4667A" w:rsidP="003861B7">
            <w:pPr>
              <w:pStyle w:val="2"/>
            </w:pPr>
            <w:r w:rsidRPr="008F026D">
              <w:t>23</w:t>
            </w:r>
            <w:r>
              <w:t xml:space="preserve"> </w:t>
            </w:r>
            <w:r w:rsidRPr="008F026D">
              <w:t>100,00</w:t>
            </w:r>
          </w:p>
        </w:tc>
        <w:tc>
          <w:tcPr>
            <w:tcW w:w="1336" w:type="dxa"/>
          </w:tcPr>
          <w:p w14:paraId="02F3B96D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5B1D3FB8" w14:textId="77777777" w:rsidR="00E4667A" w:rsidRPr="008F026D" w:rsidRDefault="00E4667A" w:rsidP="003861B7">
            <w:pPr>
              <w:pStyle w:val="2"/>
            </w:pPr>
            <w:r w:rsidRPr="008F026D">
              <w:t>23</w:t>
            </w:r>
            <w:r>
              <w:t xml:space="preserve"> </w:t>
            </w:r>
            <w:r w:rsidRPr="008F026D">
              <w:t>100,00</w:t>
            </w:r>
          </w:p>
        </w:tc>
      </w:tr>
      <w:tr w:rsidR="00E4667A" w:rsidRPr="003676F5" w14:paraId="1501DDCF" w14:textId="77777777" w:rsidTr="003861B7">
        <w:tc>
          <w:tcPr>
            <w:tcW w:w="1229" w:type="dxa"/>
          </w:tcPr>
          <w:p w14:paraId="1FD88164" w14:textId="77777777" w:rsidR="00E4667A" w:rsidRPr="003836E2" w:rsidRDefault="00E4667A" w:rsidP="003861B7">
            <w:pPr>
              <w:pStyle w:val="2"/>
              <w:jc w:val="both"/>
            </w:pPr>
            <w:r>
              <w:t>7</w:t>
            </w:r>
          </w:p>
        </w:tc>
        <w:tc>
          <w:tcPr>
            <w:tcW w:w="4368" w:type="dxa"/>
          </w:tcPr>
          <w:p w14:paraId="4FE8A6BA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Створення  та розвиток системи резервного водопостачання</w:t>
            </w:r>
          </w:p>
        </w:tc>
        <w:tc>
          <w:tcPr>
            <w:tcW w:w="1554" w:type="dxa"/>
          </w:tcPr>
          <w:p w14:paraId="2B511FC3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623C4EC9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3EA751C8" w14:textId="77777777" w:rsidR="00E4667A" w:rsidRPr="008F026D" w:rsidRDefault="00E4667A" w:rsidP="003861B7">
            <w:pPr>
              <w:pStyle w:val="2"/>
            </w:pPr>
            <w:r w:rsidRPr="008F026D">
              <w:t>9</w:t>
            </w:r>
            <w:r>
              <w:t xml:space="preserve"> </w:t>
            </w:r>
            <w:r w:rsidRPr="008F026D">
              <w:t>550,00</w:t>
            </w:r>
          </w:p>
        </w:tc>
        <w:tc>
          <w:tcPr>
            <w:tcW w:w="1336" w:type="dxa"/>
          </w:tcPr>
          <w:p w14:paraId="33F93A8D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7B480557" w14:textId="77777777" w:rsidR="00E4667A" w:rsidRPr="008F026D" w:rsidRDefault="00E4667A" w:rsidP="003861B7">
            <w:pPr>
              <w:pStyle w:val="2"/>
            </w:pPr>
            <w:r w:rsidRPr="008F026D">
              <w:t>9</w:t>
            </w:r>
            <w:r>
              <w:t xml:space="preserve"> </w:t>
            </w:r>
            <w:r w:rsidRPr="008F026D">
              <w:t>550,00</w:t>
            </w:r>
          </w:p>
        </w:tc>
      </w:tr>
      <w:tr w:rsidR="00E4667A" w:rsidRPr="003676F5" w14:paraId="715E9D71" w14:textId="77777777" w:rsidTr="003861B7">
        <w:tc>
          <w:tcPr>
            <w:tcW w:w="1229" w:type="dxa"/>
          </w:tcPr>
          <w:p w14:paraId="03A703C7" w14:textId="77777777" w:rsidR="00E4667A" w:rsidRPr="003836E2" w:rsidRDefault="00E4667A" w:rsidP="003861B7">
            <w:pPr>
              <w:pStyle w:val="2"/>
              <w:jc w:val="both"/>
            </w:pPr>
            <w:r>
              <w:t>8</w:t>
            </w:r>
          </w:p>
        </w:tc>
        <w:tc>
          <w:tcPr>
            <w:tcW w:w="4368" w:type="dxa"/>
          </w:tcPr>
          <w:p w14:paraId="394897E6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розвитку систем централізованого водопостачання, водовідведення та теплопостачання</w:t>
            </w:r>
          </w:p>
        </w:tc>
        <w:tc>
          <w:tcPr>
            <w:tcW w:w="1554" w:type="dxa"/>
          </w:tcPr>
          <w:p w14:paraId="30F82BA5" w14:textId="77777777" w:rsidR="00E4667A" w:rsidRPr="008F026D" w:rsidRDefault="00E4667A" w:rsidP="003861B7">
            <w:pPr>
              <w:pStyle w:val="2"/>
              <w:jc w:val="center"/>
            </w:pPr>
          </w:p>
        </w:tc>
        <w:tc>
          <w:tcPr>
            <w:tcW w:w="1544" w:type="dxa"/>
          </w:tcPr>
          <w:p w14:paraId="3BAF31A8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4B10D645" w14:textId="77777777" w:rsidR="00E4667A" w:rsidRPr="008F026D" w:rsidRDefault="00E4667A" w:rsidP="003861B7">
            <w:pPr>
              <w:pStyle w:val="2"/>
            </w:pPr>
            <w:r w:rsidRPr="008F026D">
              <w:t>27</w:t>
            </w:r>
            <w:r>
              <w:t xml:space="preserve"> </w:t>
            </w:r>
            <w:r w:rsidRPr="008F026D">
              <w:t>320,00</w:t>
            </w:r>
          </w:p>
        </w:tc>
        <w:tc>
          <w:tcPr>
            <w:tcW w:w="1336" w:type="dxa"/>
          </w:tcPr>
          <w:p w14:paraId="5FF8DF8B" w14:textId="77777777" w:rsidR="00E4667A" w:rsidRPr="008F026D" w:rsidRDefault="00E4667A" w:rsidP="003861B7">
            <w:pPr>
              <w:contextualSpacing/>
              <w:rPr>
                <w:sz w:val="24"/>
                <w:szCs w:val="24"/>
              </w:rPr>
            </w:pPr>
          </w:p>
          <w:p w14:paraId="69A4C676" w14:textId="77777777" w:rsidR="00E4667A" w:rsidRPr="008F026D" w:rsidRDefault="00E4667A" w:rsidP="003861B7">
            <w:pPr>
              <w:pStyle w:val="2"/>
            </w:pPr>
            <w:r w:rsidRPr="008F026D">
              <w:t>27</w:t>
            </w:r>
            <w:r>
              <w:t xml:space="preserve"> </w:t>
            </w:r>
            <w:r w:rsidRPr="008F026D">
              <w:t>320,00</w:t>
            </w:r>
          </w:p>
        </w:tc>
      </w:tr>
      <w:tr w:rsidR="00E4667A" w:rsidRPr="003676F5" w14:paraId="7E119724" w14:textId="77777777" w:rsidTr="003861B7">
        <w:tc>
          <w:tcPr>
            <w:tcW w:w="1229" w:type="dxa"/>
          </w:tcPr>
          <w:p w14:paraId="55CAEC90" w14:textId="77777777" w:rsidR="00E4667A" w:rsidRPr="003836E2" w:rsidRDefault="00E4667A" w:rsidP="003861B7">
            <w:pPr>
              <w:pStyle w:val="2"/>
              <w:jc w:val="both"/>
            </w:pPr>
            <w:r>
              <w:t>9</w:t>
            </w:r>
          </w:p>
        </w:tc>
        <w:tc>
          <w:tcPr>
            <w:tcW w:w="4368" w:type="dxa"/>
          </w:tcPr>
          <w:p w14:paraId="64E23B88" w14:textId="77777777" w:rsidR="00E4667A" w:rsidRPr="003836E2" w:rsidRDefault="00E4667A" w:rsidP="003861B7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Відновлення функціонування об’єктів критичної інфраструктури</w:t>
            </w:r>
          </w:p>
        </w:tc>
        <w:tc>
          <w:tcPr>
            <w:tcW w:w="1554" w:type="dxa"/>
          </w:tcPr>
          <w:p w14:paraId="5612CDD6" w14:textId="77777777" w:rsidR="00E4667A" w:rsidRPr="008F026D" w:rsidRDefault="00E4667A" w:rsidP="003861B7">
            <w:pPr>
              <w:pStyle w:val="2"/>
            </w:pPr>
          </w:p>
        </w:tc>
        <w:tc>
          <w:tcPr>
            <w:tcW w:w="1544" w:type="dxa"/>
          </w:tcPr>
          <w:p w14:paraId="2A6F6721" w14:textId="77777777" w:rsidR="00E4667A" w:rsidRPr="008F026D" w:rsidRDefault="00E4667A" w:rsidP="003861B7">
            <w:pPr>
              <w:pStyle w:val="2"/>
            </w:pPr>
            <w:r w:rsidRPr="008F026D">
              <w:t>5</w:t>
            </w:r>
            <w:r>
              <w:t xml:space="preserve"> </w:t>
            </w:r>
            <w:r w:rsidRPr="008F026D">
              <w:t>000,00</w:t>
            </w:r>
          </w:p>
        </w:tc>
        <w:tc>
          <w:tcPr>
            <w:tcW w:w="1336" w:type="dxa"/>
          </w:tcPr>
          <w:p w14:paraId="0ED43568" w14:textId="77777777" w:rsidR="00E4667A" w:rsidRPr="008F026D" w:rsidRDefault="00E4667A" w:rsidP="003861B7">
            <w:pPr>
              <w:pStyle w:val="2"/>
            </w:pPr>
            <w:r w:rsidRPr="008F026D">
              <w:t>5</w:t>
            </w:r>
            <w:r>
              <w:t xml:space="preserve"> </w:t>
            </w:r>
            <w:r w:rsidRPr="008F026D">
              <w:t>000,00</w:t>
            </w:r>
          </w:p>
        </w:tc>
      </w:tr>
      <w:tr w:rsidR="00E4667A" w:rsidRPr="003676F5" w14:paraId="675BF1FE" w14:textId="77777777" w:rsidTr="003861B7">
        <w:tc>
          <w:tcPr>
            <w:tcW w:w="1229" w:type="dxa"/>
          </w:tcPr>
          <w:p w14:paraId="03E04169" w14:textId="77777777" w:rsidR="00E4667A" w:rsidRPr="003676F5" w:rsidRDefault="00E4667A" w:rsidP="003861B7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4D39FA0A" w14:textId="77777777" w:rsidR="00E4667A" w:rsidRPr="003676F5" w:rsidRDefault="00E4667A" w:rsidP="003861B7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43A2182" w14:textId="77777777" w:rsidR="00E4667A" w:rsidRPr="008F026D" w:rsidRDefault="00E4667A" w:rsidP="003861B7">
            <w:pPr>
              <w:pStyle w:val="2"/>
              <w:rPr>
                <w:b/>
              </w:rPr>
            </w:pPr>
            <w:r>
              <w:rPr>
                <w:b/>
              </w:rPr>
              <w:t>15 125,00</w:t>
            </w:r>
          </w:p>
        </w:tc>
        <w:tc>
          <w:tcPr>
            <w:tcW w:w="1544" w:type="dxa"/>
          </w:tcPr>
          <w:p w14:paraId="052443D5" w14:textId="77777777" w:rsidR="00E4667A" w:rsidRPr="008F026D" w:rsidRDefault="00E4667A" w:rsidP="003861B7">
            <w:pPr>
              <w:pStyle w:val="2"/>
              <w:rPr>
                <w:b/>
              </w:rPr>
            </w:pPr>
            <w:r>
              <w:rPr>
                <w:b/>
              </w:rPr>
              <w:t>82 430,00</w:t>
            </w:r>
          </w:p>
        </w:tc>
        <w:tc>
          <w:tcPr>
            <w:tcW w:w="1336" w:type="dxa"/>
          </w:tcPr>
          <w:p w14:paraId="5B4B006B" w14:textId="77777777" w:rsidR="00E4667A" w:rsidRPr="008F026D" w:rsidRDefault="00E4667A" w:rsidP="003861B7">
            <w:pPr>
              <w:pStyle w:val="2"/>
              <w:rPr>
                <w:b/>
              </w:rPr>
            </w:pPr>
            <w:r>
              <w:rPr>
                <w:b/>
              </w:rPr>
              <w:t>97 555,00</w:t>
            </w:r>
          </w:p>
        </w:tc>
      </w:tr>
      <w:bookmarkEnd w:id="0"/>
      <w:bookmarkEnd w:id="1"/>
      <w:bookmarkEnd w:id="2"/>
      <w:bookmarkEnd w:id="3"/>
      <w:bookmarkEnd w:id="7"/>
    </w:tbl>
    <w:p w14:paraId="4D5F9768" w14:textId="77777777" w:rsidR="00E4667A" w:rsidRDefault="00E4667A" w:rsidP="00E4667A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67404D77" w14:textId="77777777" w:rsidR="00E4667A" w:rsidRPr="003836E2" w:rsidRDefault="00E4667A" w:rsidP="00E4667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14:paraId="28E8C285" w14:textId="77777777" w:rsidR="009B7D79" w:rsidRPr="00E4667A" w:rsidRDefault="009B7D79" w:rsidP="00E4667A"/>
    <w:sectPr w:rsidR="009B7D79" w:rsidRPr="00E4667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6268"/>
    <w:rsid w:val="005E76AE"/>
    <w:rsid w:val="005F334B"/>
    <w:rsid w:val="00696599"/>
    <w:rsid w:val="006C396C"/>
    <w:rsid w:val="0074644B"/>
    <w:rsid w:val="007A1E8C"/>
    <w:rsid w:val="007E7FBA"/>
    <w:rsid w:val="00827775"/>
    <w:rsid w:val="00881846"/>
    <w:rsid w:val="009B7D79"/>
    <w:rsid w:val="009C0EEF"/>
    <w:rsid w:val="00A218AE"/>
    <w:rsid w:val="00A540F7"/>
    <w:rsid w:val="00B35D4C"/>
    <w:rsid w:val="00B46089"/>
    <w:rsid w:val="00B80167"/>
    <w:rsid w:val="00BF6942"/>
    <w:rsid w:val="00D5049E"/>
    <w:rsid w:val="00D92C45"/>
    <w:rsid w:val="00DD7BFD"/>
    <w:rsid w:val="00E4667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06A"/>
  <w15:docId w15:val="{CACE2CFC-149A-4138-A84B-3894548A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4667A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E4667A"/>
    <w:pPr>
      <w:ind w:left="720"/>
      <w:contextualSpacing/>
    </w:pPr>
  </w:style>
  <w:style w:type="table" w:styleId="a7">
    <w:name w:val="Table Grid"/>
    <w:basedOn w:val="a1"/>
    <w:uiPriority w:val="59"/>
    <w:rsid w:val="00E4667A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4667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E4667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4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466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E4667A"/>
    <w:pPr>
      <w:suppressAutoHyphens/>
      <w:overflowPunct w:val="0"/>
      <w:autoSpaceDE w:val="0"/>
      <w:spacing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customStyle="1" w:styleId="spanrvts0">
    <w:name w:val="span_rvts0"/>
    <w:basedOn w:val="a0"/>
    <w:rsid w:val="00E4667A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2026-03-10T09:33:00Z</dcterms:modified>
</cp:coreProperties>
</file>