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241B3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14F3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F1D16" w:rsidRPr="00DF1D16" w:rsidP="00DF1D16" w14:paraId="4CCA2DB8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D16">
        <w:rPr>
          <w:rFonts w:ascii="Times New Roman" w:hAnsi="Times New Roman" w:cs="Times New Roman"/>
          <w:sz w:val="28"/>
          <w:szCs w:val="28"/>
        </w:rPr>
        <w:t>Програми стійкості та забезпечення життєдіяльності  Броварської</w:t>
      </w:r>
    </w:p>
    <w:p w:rsidR="00DF1D16" w:rsidRPr="00DF1D16" w:rsidP="00DF1D16" w14:paraId="0348C72F" w14:textId="0A55EFB8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D16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DF1D16" w:rsidRPr="00DF1D16" w:rsidP="00DF1D16" w14:paraId="1A0E19AA" w14:textId="44C44C71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D16">
        <w:rPr>
          <w:rFonts w:ascii="Times New Roman" w:hAnsi="Times New Roman" w:cs="Times New Roman"/>
          <w:sz w:val="28"/>
          <w:szCs w:val="28"/>
        </w:rPr>
        <w:t>на 2023-2027 роки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E1" w:rsidRPr="004208DA" w:rsidP="003530E1" w14:paraId="08D553CC" w14:textId="79E28F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D16" w:rsidP="00DF1D16" w14:paraId="7C7D2EA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P="00DF1D16" w14:paraId="6972DC9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P="00DF1D16" w14:paraId="76862BE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P="00DF1D16" w14:paraId="144F37F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P="00DF1D16" w14:paraId="3E22490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P="00DF1D16" w14:paraId="4457A28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RPr="001A7130" w:rsidP="00DF1D16" w14:paraId="7101DAF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RPr="001A7130" w:rsidP="00DF1D16" w14:paraId="6F3B41F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RPr="00A855A9" w:rsidP="00DF1D16" w14:paraId="4F5DF4E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P="00DF1D16" w14:paraId="6288EB8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855A9">
        <w:rPr>
          <w:rFonts w:ascii="Times New Roman" w:hAnsi="Times New Roman" w:cs="Times New Roman"/>
          <w:b/>
          <w:bCs/>
          <w:sz w:val="44"/>
          <w:szCs w:val="44"/>
        </w:rPr>
        <w:t xml:space="preserve">Комплексний план стійкості </w:t>
      </w:r>
    </w:p>
    <w:p w:rsidR="00DF1D16" w:rsidRPr="00A855A9" w:rsidP="00DF1D16" w14:paraId="39BF866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Броварської міської територіальної</w:t>
      </w:r>
      <w:r w:rsidRPr="00A855A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громади</w:t>
      </w:r>
    </w:p>
    <w:p w:rsidR="00DF1D16" w:rsidRPr="00A855A9" w:rsidP="00DF1D16" w14:paraId="0395309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855A9">
        <w:rPr>
          <w:rFonts w:ascii="Times New Roman" w:hAnsi="Times New Roman" w:cs="Times New Roman"/>
          <w:b/>
          <w:bCs/>
          <w:sz w:val="44"/>
          <w:szCs w:val="44"/>
        </w:rPr>
        <w:t>на 2026 рік</w:t>
      </w:r>
    </w:p>
    <w:p w:rsidR="00DF1D16" w:rsidRPr="00A855A9" w:rsidP="00DF1D16" w14:paraId="0D7693D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19113C7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4548CFD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5E514FD7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7070D3A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3373B03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783CEB9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54274BC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02942E8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09C99ADB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2A5CA56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3F420C5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RPr="00A855A9" w:rsidP="00DF1D16" w14:paraId="63E126D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D16" w:rsidP="00DF1D16" w14:paraId="4F9CAAA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RPr="00A855A9" w:rsidP="00DF1D16" w14:paraId="711FEE1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1D16" w:rsidRPr="00A855A9" w:rsidP="00DF1D16" w14:paraId="70FF1FCF" w14:textId="05E4C00B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м.</w:t>
      </w:r>
      <w:r w:rsidR="001B3B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Бровари</w:t>
      </w:r>
    </w:p>
    <w:p w:rsidR="00DF1D16" w:rsidRPr="00C64834" w:rsidP="00DF1D16" w14:paraId="06742E7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A9">
        <w:rPr>
          <w:rFonts w:ascii="Times New Roman" w:hAnsi="Times New Roman" w:cs="Times New Roman"/>
          <w:b/>
          <w:bCs/>
          <w:sz w:val="26"/>
          <w:szCs w:val="26"/>
        </w:rPr>
        <w:t>2026</w:t>
      </w: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593E8D" w:rsidP="00593E8D" w14:paraId="0F75A03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A9">
        <w:rPr>
          <w:rFonts w:ascii="Times New Roman" w:hAnsi="Times New Roman" w:cs="Times New Roman"/>
          <w:b/>
          <w:bCs/>
          <w:sz w:val="26"/>
          <w:szCs w:val="26"/>
        </w:rPr>
        <w:t>ВСТУП</w:t>
      </w:r>
    </w:p>
    <w:p w:rsidR="00593E8D" w:rsidRPr="00A855A9" w:rsidP="00593E8D" w14:paraId="2E913E5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93E8D" w:rsidRPr="00593E8D" w:rsidP="00593E8D" w14:paraId="15127FCE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Комплексний план стійкості Броварської міської територіальної громади на 2026 рік (далі – План) визначає сукупність взаємоузгоджених заходів, спрямованих на забезпечення сталої роботи об’єктів критичної інфраструктури, паливно-енергетичного сектору та системи життєзабезпечення в умовах воєнного стану та відповідних безпекових викликів, а саме:</w:t>
      </w:r>
    </w:p>
    <w:p w:rsidR="00593E8D" w:rsidRPr="00593E8D" w:rsidP="00593E8D" w14:paraId="01BDCBA5" w14:textId="1F943C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інженерно-технічний захист об’єктів критичної інфраструктури;</w:t>
      </w:r>
    </w:p>
    <w:p w:rsidR="00593E8D" w:rsidRPr="00593E8D" w:rsidP="00593E8D" w14:paraId="693A2931" w14:textId="14D0D39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розбудова системи розподіленої генерації електричної енергії;</w:t>
      </w:r>
    </w:p>
    <w:p w:rsidR="00593E8D" w:rsidRPr="00593E8D" w:rsidP="00593E8D" w14:paraId="774B3C1A" w14:textId="2A52B8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забезпечення об’єктів тепло-, водопостачання та водовідведення резервними джерелами живлення.</w:t>
      </w:r>
    </w:p>
    <w:p w:rsidR="00593E8D" w:rsidRPr="00593E8D" w:rsidP="00593E8D" w14:paraId="1C4DB998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Окремо в Плані розглянуто можливі перспективи розбудови системи розподіленої теплової генерації.</w:t>
      </w:r>
    </w:p>
    <w:p w:rsidR="00593E8D" w:rsidRPr="00593E8D" w:rsidP="00593E8D" w14:paraId="6CD5B157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Здійснення заходів Плану планується завершити </w:t>
      </w:r>
      <w:r w:rsidRPr="001B3B56">
        <w:rPr>
          <w:rFonts w:ascii="Times New Roman" w:hAnsi="Times New Roman" w:cs="Times New Roman"/>
          <w:sz w:val="28"/>
          <w:szCs w:val="28"/>
        </w:rPr>
        <w:t>до 01 вересня 2026 року за умови наявності відповідних обсягів фінансування, отримання</w:t>
      </w:r>
      <w:r w:rsidRPr="00593E8D">
        <w:rPr>
          <w:rFonts w:ascii="Times New Roman" w:hAnsi="Times New Roman" w:cs="Times New Roman"/>
          <w:sz w:val="28"/>
          <w:szCs w:val="28"/>
        </w:rPr>
        <w:t xml:space="preserve"> міжнародної допомоги та з урахуванням поточної безпекової ситуації в громади.</w:t>
      </w:r>
    </w:p>
    <w:p w:rsidR="00593E8D" w:rsidRPr="00593E8D" w:rsidP="00593E8D" w14:paraId="5D014E7D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593E8D" w:rsidRPr="00593E8D" w:rsidP="00593E8D" w14:paraId="162D033B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ІНЖЕНЕРНО-ТЕХНІЧНИЙ ЗАХИСТ </w:t>
      </w:r>
    </w:p>
    <w:p w:rsidR="00593E8D" w:rsidRPr="00593E8D" w:rsidP="00593E8D" w14:paraId="058BDF24" w14:textId="4D19BB0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ОБ’ЄКТІВ КРИТИЧНОЇ ІНФРАСТРУКТУРИ</w:t>
      </w:r>
    </w:p>
    <w:p w:rsidR="00593E8D" w:rsidRPr="00593E8D" w:rsidP="00593E8D" w14:paraId="61FC14BC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ab/>
      </w:r>
      <w:r w:rsidRPr="00593E8D">
        <w:rPr>
          <w:rFonts w:ascii="Times New Roman" w:hAnsi="Times New Roman" w:cs="Times New Roman"/>
          <w:i/>
          <w:iCs/>
          <w:sz w:val="28"/>
          <w:szCs w:val="28"/>
        </w:rPr>
        <w:t>Паливно-енергетичний сектор.</w:t>
      </w:r>
    </w:p>
    <w:p w:rsidR="00593E8D" w:rsidRPr="00593E8D" w:rsidP="00593E8D" w14:paraId="1EB45407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Протягом 2022-2025 років операторами систем розподілу електричної енергії вжито комплекс заходів з облаштування інженерного захисту об’єктів критичної інфраструктури.</w:t>
      </w:r>
    </w:p>
    <w:p w:rsidR="00593E8D" w:rsidRPr="00593E8D" w:rsidP="00593E8D" w14:paraId="07086152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І рівнем захисту охоплено 4 критичних об’єкта . На 1 об’єкті планується провести роботи з облаштування ІІ рівнем захисту ( розробка ПКД).</w:t>
      </w:r>
    </w:p>
    <w:p w:rsidR="00593E8D" w:rsidRPr="00E26E18" w:rsidP="00593E8D" w14:paraId="678A32EB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93E8D" w:rsidRPr="00593E8D" w:rsidP="00593E8D" w14:paraId="3BD0610D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E8D">
        <w:rPr>
          <w:rFonts w:ascii="Times New Roman" w:hAnsi="Times New Roman" w:cs="Times New Roman"/>
          <w:i/>
          <w:iCs/>
          <w:sz w:val="28"/>
          <w:szCs w:val="28"/>
        </w:rPr>
        <w:t>Сектор «системи життєзабезпечення».</w:t>
      </w:r>
    </w:p>
    <w:p w:rsidR="00593E8D" w:rsidRPr="00593E8D" w:rsidP="00593E8D" w14:paraId="4427F6FB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Підприємствами теплового та водопровідно-каналізаційного господарства вжито всіх можливих заходів із захисту свої об’єктів (загалом _16__ од.), які наразі надають відповідні послуги в громаді. </w:t>
      </w:r>
    </w:p>
    <w:p w:rsidR="00593E8D" w:rsidRPr="00593E8D" w:rsidP="00593E8D" w14:paraId="4C3ACB0F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Планом передбачено здійснення заходів з посилення та удосконалення наявного захисту </w:t>
      </w:r>
      <w:r w:rsidRPr="001B3B56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1B3B56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r w:rsidRPr="001B3B56">
        <w:rPr>
          <w:rFonts w:ascii="Times New Roman" w:hAnsi="Times New Roman" w:cs="Times New Roman"/>
          <w:sz w:val="28"/>
          <w:szCs w:val="28"/>
        </w:rPr>
        <w:t>об’єктів</w:t>
      </w:r>
      <w:r w:rsidRPr="00593E8D">
        <w:rPr>
          <w:rFonts w:ascii="Times New Roman" w:hAnsi="Times New Roman" w:cs="Times New Roman"/>
          <w:sz w:val="28"/>
          <w:szCs w:val="28"/>
        </w:rPr>
        <w:t xml:space="preserve"> (149 критичних елементів), для забезпечення І рівнем захисту.</w:t>
      </w:r>
    </w:p>
    <w:p w:rsidR="00593E8D" w:rsidRPr="00E26E18" w:rsidP="00593E8D" w14:paraId="068CCA0E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593E8D" w:rsidRPr="00593E8D" w:rsidP="00593E8D" w14:paraId="62303920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E8D">
        <w:rPr>
          <w:rFonts w:ascii="Times New Roman" w:hAnsi="Times New Roman" w:cs="Times New Roman"/>
          <w:i/>
          <w:iCs/>
          <w:sz w:val="28"/>
          <w:szCs w:val="28"/>
        </w:rPr>
        <w:t>Фінансування.</w:t>
      </w:r>
    </w:p>
    <w:p w:rsidR="003C5470" w:rsidRPr="00593E8D" w:rsidP="00E26E18" w14:paraId="1607CEA4" w14:textId="5B079631">
      <w:pPr>
        <w:pStyle w:val="NoSpacing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У зв’язку з відсутністю розробленої проєктно-кошторисної документації мінімальна потреба у фінансуванні запропонованих заходів із забезпечення інженерно-технічним захистом 16 об’єктів критичної інфраструктури складає </w:t>
      </w:r>
      <w:r w:rsidRPr="001B3B56">
        <w:rPr>
          <w:rFonts w:ascii="Times New Roman" w:hAnsi="Times New Roman" w:cs="Times New Roman"/>
          <w:sz w:val="28"/>
          <w:szCs w:val="28"/>
        </w:rPr>
        <w:t>2700,00 тис грн</w:t>
      </w:r>
      <w:r w:rsidRPr="00593E8D">
        <w:rPr>
          <w:rFonts w:ascii="Times New Roman" w:hAnsi="Times New Roman" w:cs="Times New Roman"/>
          <w:sz w:val="28"/>
          <w:szCs w:val="28"/>
        </w:rPr>
        <w:t>.</w:t>
      </w:r>
    </w:p>
    <w:p w:rsidR="00593E8D" w:rsidP="00593E8D" w14:paraId="7DA61713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E8D" w:rsidRPr="00593E8D" w:rsidP="00593E8D" w14:paraId="5736D127" w14:textId="285C729F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РОЗБУДОВА СИСТЕМИ РОЗПОДІЛЕНОЇ ГЕНЕРАЦІЇ</w:t>
      </w:r>
    </w:p>
    <w:p w:rsidR="00593E8D" w:rsidRPr="00593E8D" w:rsidP="00593E8D" w14:paraId="6D02A107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ЕЛЕКТРИЧНОЇ ЕНЕРГІЇ</w:t>
      </w:r>
    </w:p>
    <w:p w:rsidR="00593E8D" w:rsidRPr="00593E8D" w:rsidP="00593E8D" w14:paraId="2A330A92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 останніми вимірами, проведеними в 2025 році, максимальне споживання громади (в тому числі населення) склало 93 МВт. При цьому </w:t>
      </w:r>
      <w:r w:rsidRPr="00593E8D">
        <w:rPr>
          <w:rFonts w:ascii="Times New Roman" w:hAnsi="Times New Roman" w:cs="Times New Roman"/>
          <w:sz w:val="28"/>
          <w:szCs w:val="28"/>
        </w:rPr>
        <w:t>орієнтовне споживання всіма об’єктами критичної інфраструктури знаходиться на рівні 25 МВт,  тому числі об’єктами життєзабезпечення 6 МВт.</w:t>
      </w:r>
    </w:p>
    <w:p w:rsidR="00593E8D" w:rsidRPr="00593E8D" w:rsidP="00593E8D" w14:paraId="03293BFD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Починаючи з 2022 року, комунальним підприємством громади отримано дві когенераційні установки  загальною потужністю 0,96 МВт. Крім цього встановлені СЕС на 0,35 МВт потужності.</w:t>
      </w:r>
    </w:p>
    <w:p w:rsidR="00593E8D" w:rsidRPr="00593E8D" w:rsidP="00593E8D" w14:paraId="5FEF0E2F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функціонує об’єкт когенерації  (приватна власність) потужністю 13 МВт у м. Бровари, найближчим часом потужність буде збільшено до 25 МВт, що забезпечить роботу об’єктів критичної інфраструктури (ВОС, лікарня).</w:t>
      </w:r>
    </w:p>
    <w:p w:rsidR="00593E8D" w:rsidRPr="00593E8D" w:rsidP="00593E8D" w14:paraId="71000088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 метою збільшення генерації електричної енергії в обсязі до </w:t>
      </w:r>
      <w:r w:rsidRPr="00593E8D">
        <w:rPr>
          <w:rFonts w:ascii="Times New Roman" w:hAnsi="Times New Roman" w:cs="Times New Roman"/>
          <w:b/>
          <w:bCs/>
          <w:sz w:val="28"/>
          <w:szCs w:val="28"/>
        </w:rPr>
        <w:t>66,5 МВт,</w:t>
      </w:r>
      <w:r w:rsidRPr="00593E8D">
        <w:rPr>
          <w:rFonts w:ascii="Times New Roman" w:hAnsi="Times New Roman" w:cs="Times New Roman"/>
          <w:sz w:val="28"/>
          <w:szCs w:val="28"/>
        </w:rPr>
        <w:t xml:space="preserve"> за кошти приватних інвесторів розробляється проєктно-кошторисна документація на встановлення декількох об’єктів когенерації на 64,5 МВт та СЕС на 2 МВт.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Захист </w:t>
      </w:r>
      <w:r w:rsidRPr="00593E8D">
        <w:rPr>
          <w:rFonts w:ascii="Times New Roman" w:hAnsi="Times New Roman" w:cs="Times New Roman"/>
          <w:sz w:val="28"/>
          <w:szCs w:val="28"/>
        </w:rPr>
        <w:t xml:space="preserve">критичних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елементів даних об’єктів  когенерації буде здійснено приватним інвестором за власні кошти.</w:t>
      </w:r>
    </w:p>
    <w:p w:rsidR="00593E8D" w:rsidRPr="00593E8D" w:rsidP="00593E8D" w14:paraId="282161FC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 Фінансування: не потребує залучення бюджетних коштів.</w:t>
      </w:r>
    </w:p>
    <w:p w:rsidR="00593E8D" w:rsidRPr="00593E8D" w:rsidP="00593E8D" w14:paraId="23B8CEB3" w14:textId="77777777">
      <w:pPr>
        <w:pStyle w:val="NoSpacing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593E8D" w:rsidRPr="00593E8D" w:rsidP="00593E8D" w14:paraId="03DE6DD1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ЗАБЕЗПЕЧЕННЯ ОБ’ЄКТІВ ТЕПЛО-, ВОДОПОСТАЧАННЯ ТА ВОДОВІДВЕДЕННЯ </w:t>
      </w:r>
    </w:p>
    <w:p w:rsidR="00593E8D" w:rsidRPr="00593E8D" w:rsidP="00593E8D" w14:paraId="072794AA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РЕЗЕРВНИМИ ДЖЕРЕЛАМИ ЖИВЛЕННЯ</w:t>
      </w:r>
    </w:p>
    <w:p w:rsidR="00593E8D" w:rsidRPr="00593E8D" w:rsidP="00593E8D" w14:paraId="65F930F5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середнє загальне споживання відповідних об’єктів складає 6 МВт/год При цьому рівень покриття таких об’єктів резервними джерелами живлення становить 5,312 МВт/год (88,5% від загального споживання), з них:</w:t>
      </w:r>
    </w:p>
    <w:p w:rsidR="00593E8D" w:rsidRPr="00593E8D" w:rsidP="00593E8D" w14:paraId="23D81141" w14:textId="59F6EC0F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об’єкти  водопровідно-каналізаційного господарства – 42 об. (загалом 2,05 МВт);</w:t>
      </w:r>
    </w:p>
    <w:p w:rsidR="00593E8D" w:rsidRPr="00593E8D" w:rsidP="00593E8D" w14:paraId="331AB3D2" w14:textId="70CADDE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об’єкти теплового господарства – 38 об. (3,262 МВт).</w:t>
      </w:r>
    </w:p>
    <w:p w:rsidR="00593E8D" w:rsidRPr="00F074F7" w:rsidP="00593E8D" w14:paraId="22714486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93E8D" w:rsidRPr="00593E8D" w:rsidP="00593E8D" w14:paraId="6E5E9C39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Заходами Плану передбачається придбання додаткового генеруючого та іншого обладнання для досягнення повної енергонезалежності об’єктів тепло-, водопостачання та водовідведення громади в умовах можливого настання блекауту, яка загалом склала 23</w:t>
      </w: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3B56">
        <w:rPr>
          <w:rFonts w:ascii="Times New Roman" w:hAnsi="Times New Roman" w:cs="Times New Roman"/>
          <w:sz w:val="28"/>
          <w:szCs w:val="28"/>
        </w:rPr>
        <w:t>од. загальною потужністю 1,416 МВт</w:t>
      </w:r>
      <w:r w:rsidRPr="00593E8D">
        <w:rPr>
          <w:rFonts w:ascii="Times New Roman" w:hAnsi="Times New Roman" w:cs="Times New Roman"/>
          <w:sz w:val="28"/>
          <w:szCs w:val="28"/>
        </w:rPr>
        <w:t>, в тому числі:</w:t>
      </w:r>
    </w:p>
    <w:p w:rsidR="00593E8D" w:rsidRPr="00593E8D" w:rsidP="00593E8D" w14:paraId="073E99A3" w14:textId="4BA9A65B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Придбання частотних перетворювачів на ЦТП 31шт</w:t>
      </w:r>
      <w:r w:rsidR="00F074F7">
        <w:rPr>
          <w:rFonts w:ascii="Times New Roman" w:hAnsi="Times New Roman" w:cs="Times New Roman"/>
          <w:sz w:val="28"/>
          <w:szCs w:val="28"/>
        </w:rPr>
        <w:t>.;</w:t>
      </w:r>
    </w:p>
    <w:p w:rsidR="00593E8D" w:rsidRPr="00593E8D" w:rsidP="00593E8D" w14:paraId="0798BEE9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Генератор на ВОС на 400 кВт (резерв); </w:t>
      </w:r>
    </w:p>
    <w:p w:rsidR="00593E8D" w:rsidRPr="00593E8D" w:rsidP="00593E8D" w14:paraId="09E0A912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 на КНС 2 на 200кВт (резерв);</w:t>
      </w:r>
    </w:p>
    <w:p w:rsidR="00593E8D" w:rsidRPr="00593E8D" w:rsidP="00593E8D" w14:paraId="0AC2C267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ДБЖ та сонячні панелі на бюветні комплекси  11 кВт 6 шт.;</w:t>
      </w:r>
    </w:p>
    <w:p w:rsidR="00593E8D" w:rsidRPr="00593E8D" w:rsidP="00593E8D" w14:paraId="6CA898FF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на КНС с.Княжичі 60кВт 4 шт.;</w:t>
      </w:r>
    </w:p>
    <w:p w:rsidR="00593E8D" w:rsidRPr="00593E8D" w:rsidP="00593E8D" w14:paraId="1B025597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очисні споруди с.Княжичі 80Квт;</w:t>
      </w:r>
    </w:p>
    <w:p w:rsidR="00593E8D" w:rsidRPr="00593E8D" w:rsidP="00593E8D" w14:paraId="439A4B83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на свердловини с.Требухів 50 Квт 3 шт.;</w:t>
      </w:r>
    </w:p>
    <w:p w:rsidR="00593E8D" w:rsidRPr="00593E8D" w:rsidP="00593E8D" w14:paraId="114FA946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КНС (Олімпійська) 160 кВт.;</w:t>
      </w:r>
    </w:p>
    <w:p w:rsidR="00593E8D" w:rsidP="00593E8D" w14:paraId="381D9D40" w14:textId="465FC3B4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Загальна потреба у фінансуванні запропонованих заходів із забезпечення об’єктів тепло-, водопостачання та водовідведення резервними джерелами живлення складає  </w:t>
      </w:r>
      <w:r w:rsidRPr="003C5470">
        <w:rPr>
          <w:rFonts w:ascii="Times New Roman" w:hAnsi="Times New Roman" w:cs="Times New Roman"/>
          <w:sz w:val="28"/>
          <w:szCs w:val="28"/>
        </w:rPr>
        <w:t>17 985,00 тис грн.</w:t>
      </w:r>
    </w:p>
    <w:p w:rsidR="00F074F7" w:rsidP="00593E8D" w14:paraId="62E3B7A4" w14:textId="5508F3F5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74F7" w:rsidRPr="00593E8D" w:rsidP="00593E8D" w14:paraId="5383CEA0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3E8D" w:rsidRPr="00593E8D" w:rsidP="00593E8D" w14:paraId="53C81150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E8D" w:rsidRPr="00593E8D" w:rsidP="00593E8D" w14:paraId="3D4D1D01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РОЗБУДОВИ СИСТЕМИ РОЗПОДІЛЕНОЇ </w:t>
      </w:r>
    </w:p>
    <w:p w:rsidR="00593E8D" w:rsidRPr="00593E8D" w:rsidP="00593E8D" w14:paraId="525E7B44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ТЕПЛОВОЇ ГЕНЕРАЦІЇ</w:t>
      </w:r>
    </w:p>
    <w:p w:rsidR="00593E8D" w:rsidRPr="00593E8D" w:rsidP="00593E8D" w14:paraId="0DABB99F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E8D" w:rsidRPr="00593E8D" w:rsidP="00593E8D" w14:paraId="0FFCBB0B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в громаді працює:</w:t>
      </w:r>
    </w:p>
    <w:p w:rsidR="00593E8D" w:rsidRPr="00593E8D" w:rsidP="00F074F7" w14:paraId="6DA043E6" w14:textId="1D103D71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газових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 xml:space="preserve">нь централізованого теплопостачання 36 об. з тепловою потужністю 339,128 МВт з них: </w:t>
      </w:r>
    </w:p>
    <w:p w:rsidR="00593E8D" w:rsidRPr="00593E8D" w:rsidP="00593E8D" w14:paraId="3859C385" w14:textId="6CFAE23A">
      <w:pPr>
        <w:pStyle w:val="NoSpacing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стаціонарних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нь;</w:t>
      </w:r>
    </w:p>
    <w:p w:rsidR="00593E8D" w:rsidRPr="00593E8D" w:rsidP="00593E8D" w14:paraId="66AE8D9F" w14:textId="7B3C396B">
      <w:pPr>
        <w:pStyle w:val="NoSpacing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16 дахових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нь;</w:t>
      </w:r>
    </w:p>
    <w:p w:rsidR="00593E8D" w:rsidRPr="00593E8D" w:rsidP="00F074F7" w14:paraId="517BF177" w14:textId="10596AF7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електричних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 централізованого теплопостачання 2 об. з тепловою потужністю 0,222МВт</w:t>
      </w:r>
      <w:r w:rsidR="00EE06C9">
        <w:rPr>
          <w:rFonts w:ascii="Times New Roman" w:hAnsi="Times New Roman" w:cs="Times New Roman"/>
          <w:sz w:val="28"/>
          <w:szCs w:val="28"/>
        </w:rPr>
        <w:t>.</w:t>
      </w:r>
    </w:p>
    <w:p w:rsidR="00593E8D" w:rsidRPr="00593E8D" w:rsidP="00593E8D" w14:paraId="1AEB40DE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З метою децентралізації та автономності в забезпеченні споживачів теплоносієм, планується до початку опалювального сезону 2026/2027 :</w:t>
      </w:r>
    </w:p>
    <w:p w:rsidR="00593E8D" w:rsidRPr="00593E8D" w:rsidP="00EE06C9" w14:paraId="4E2447EF" w14:textId="609E2A37">
      <w:pPr>
        <w:pStyle w:val="NoSpacing"/>
        <w:numPr>
          <w:ilvl w:val="0"/>
          <w:numId w:val="1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переведення  53 абонентів на індивідуальне опалення та закриття трьох нерентабельних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 малої потужності</w:t>
      </w:r>
      <w:r w:rsidR="00EE06C9">
        <w:rPr>
          <w:rFonts w:ascii="Times New Roman" w:hAnsi="Times New Roman" w:cs="Times New Roman"/>
          <w:sz w:val="28"/>
          <w:szCs w:val="28"/>
        </w:rPr>
        <w:t>;</w:t>
      </w:r>
    </w:p>
    <w:p w:rsidR="00593E8D" w:rsidRPr="00593E8D" w:rsidP="00EE06C9" w14:paraId="60E87A02" w14:textId="24AE3896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 підключення двох ЗДО  та одного ліцею до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 на альтернативних джерелах живлення</w:t>
      </w:r>
      <w:r w:rsidR="00EE06C9">
        <w:rPr>
          <w:rFonts w:ascii="Times New Roman" w:hAnsi="Times New Roman" w:cs="Times New Roman"/>
          <w:sz w:val="28"/>
          <w:szCs w:val="28"/>
        </w:rPr>
        <w:t>;</w:t>
      </w:r>
    </w:p>
    <w:p w:rsidR="00593E8D" w:rsidRPr="00DD0A46" w:rsidP="00593E8D" w14:paraId="23016F03" w14:textId="4819D9E3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46">
        <w:rPr>
          <w:rFonts w:ascii="Times New Roman" w:hAnsi="Times New Roman" w:cs="Times New Roman"/>
          <w:sz w:val="28"/>
          <w:szCs w:val="28"/>
        </w:rPr>
        <w:t>будівництво блочно-модульної котел</w:t>
      </w:r>
      <w:r w:rsidRPr="00DD0A46" w:rsidR="003C5470">
        <w:rPr>
          <w:rFonts w:ascii="Times New Roman" w:hAnsi="Times New Roman" w:cs="Times New Roman"/>
          <w:sz w:val="28"/>
          <w:szCs w:val="28"/>
        </w:rPr>
        <w:t>ь</w:t>
      </w:r>
      <w:r w:rsidRPr="00DD0A46">
        <w:rPr>
          <w:rFonts w:ascii="Times New Roman" w:hAnsi="Times New Roman" w:cs="Times New Roman"/>
          <w:sz w:val="28"/>
          <w:szCs w:val="28"/>
        </w:rPr>
        <w:t>ні на 0,3 МВт для можливості закриття електричних котел</w:t>
      </w:r>
      <w:r w:rsidRPr="00DD0A46" w:rsidR="00EE06C9">
        <w:rPr>
          <w:rFonts w:ascii="Times New Roman" w:hAnsi="Times New Roman" w:cs="Times New Roman"/>
          <w:sz w:val="28"/>
          <w:szCs w:val="28"/>
        </w:rPr>
        <w:t>е</w:t>
      </w:r>
      <w:r w:rsidRPr="00DD0A46">
        <w:rPr>
          <w:rFonts w:ascii="Times New Roman" w:hAnsi="Times New Roman" w:cs="Times New Roman"/>
          <w:sz w:val="28"/>
          <w:szCs w:val="28"/>
        </w:rPr>
        <w:t>нь.</w:t>
      </w:r>
    </w:p>
    <w:p w:rsidR="00593E8D" w:rsidRPr="00593E8D" w:rsidP="00593E8D" w14:paraId="090C83AF" w14:textId="0CB7BD23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Загальна 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потреба 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>у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 фінансуванні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 запропонованих 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="003C5470"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>складає</w:t>
      </w:r>
      <w:r w:rsidR="003C54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3E8D">
        <w:rPr>
          <w:rFonts w:ascii="Times New Roman" w:hAnsi="Times New Roman" w:cs="Times New Roman"/>
          <w:sz w:val="28"/>
          <w:szCs w:val="28"/>
        </w:rPr>
        <w:t xml:space="preserve"> </w:t>
      </w:r>
      <w:r w:rsidRPr="003C5470">
        <w:rPr>
          <w:rFonts w:ascii="Times New Roman" w:hAnsi="Times New Roman" w:cs="Times New Roman"/>
          <w:sz w:val="28"/>
          <w:szCs w:val="28"/>
        </w:rPr>
        <w:t>9 500,00 тис.грн. ,</w:t>
      </w:r>
      <w:r w:rsidRPr="00593E8D">
        <w:rPr>
          <w:rFonts w:ascii="Times New Roman" w:hAnsi="Times New Roman" w:cs="Times New Roman"/>
          <w:sz w:val="28"/>
          <w:szCs w:val="28"/>
        </w:rPr>
        <w:t xml:space="preserve"> в тому числі:</w:t>
      </w:r>
    </w:p>
    <w:p w:rsidR="00593E8D" w:rsidRPr="00593E8D" w:rsidP="00DD0A46" w14:paraId="40248FE4" w14:textId="28738DCB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>встановлення котел</w:t>
      </w:r>
      <w:r w:rsidR="003C5470"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 xml:space="preserve">нь на щепі  - </w:t>
      </w:r>
      <w:r w:rsidRPr="003C5470">
        <w:rPr>
          <w:rFonts w:ascii="Times New Roman" w:hAnsi="Times New Roman" w:cs="Times New Roman"/>
          <w:sz w:val="28"/>
          <w:szCs w:val="28"/>
        </w:rPr>
        <w:t>4500,00 тис грн.;</w:t>
      </w:r>
    </w:p>
    <w:p w:rsidR="00593E8D" w:rsidRPr="00593E8D" w:rsidP="00593E8D" w14:paraId="55B0E3F6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-встановлення блочно-модульної котельні на 0,3 МВт – 4000,00 тис.грн.;</w:t>
      </w:r>
    </w:p>
    <w:p w:rsidR="00593E8D" w:rsidRPr="00593E8D" w:rsidP="00593E8D" w14:paraId="7E262ECD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-автономне опалення – 1000,00 тис.грн.</w:t>
      </w:r>
    </w:p>
    <w:p w:rsidR="00593E8D" w:rsidRPr="00593E8D" w:rsidP="00593E8D" w14:paraId="06AA44C4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3E8D" w:rsidRPr="00593E8D" w:rsidP="00593E8D" w14:paraId="4D1CCC00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ЗАХОДІВ ПЛАНУ</w:t>
      </w:r>
    </w:p>
    <w:p w:rsidR="00593E8D" w:rsidRPr="00593E8D" w:rsidP="00593E8D" w14:paraId="64CAE9B3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E8D" w:rsidRPr="00593E8D" w:rsidP="00593E8D" w14:paraId="57745FBA" w14:textId="40209AAC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Загальна потреба у фінансуванні для реалізації Плану в повному обсязі становить </w:t>
      </w:r>
      <w:r w:rsidR="003C5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5470">
        <w:rPr>
          <w:rFonts w:ascii="Times New Roman" w:hAnsi="Times New Roman" w:cs="Times New Roman"/>
          <w:sz w:val="28"/>
          <w:szCs w:val="28"/>
        </w:rPr>
        <w:t xml:space="preserve">30 185,00 тис.грн., </w:t>
      </w:r>
      <w:r w:rsidRPr="00593E8D">
        <w:rPr>
          <w:rFonts w:ascii="Times New Roman" w:hAnsi="Times New Roman" w:cs="Times New Roman"/>
          <w:sz w:val="28"/>
          <w:szCs w:val="28"/>
        </w:rPr>
        <w:t>в тому числі:</w:t>
      </w:r>
    </w:p>
    <w:p w:rsidR="00593E8D" w:rsidRPr="00593E8D" w:rsidP="00593E8D" w14:paraId="26894B66" w14:textId="74136003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витрати на придбання обладнання – 19 985,00 тис грн;</w:t>
      </w:r>
    </w:p>
    <w:p w:rsidR="00593E8D" w:rsidRPr="00593E8D" w:rsidP="00593E8D" w14:paraId="7C1E3FF3" w14:textId="265746EE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витрати на виконання робіт – 10 200,00 тис грн.</w:t>
      </w:r>
    </w:p>
    <w:p w:rsidR="00593E8D" w:rsidRPr="00593E8D" w:rsidP="00593E8D" w14:paraId="2F883A73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Джерелами фінансування можуть виступати кошти бюджетів всіх рівнів, допомоги міжнародних організацій, інших джерел, не заборонених чиним законодавством.</w:t>
      </w:r>
    </w:p>
    <w:p w:rsidR="00593E8D" w:rsidRPr="00593E8D" w:rsidP="00593E8D" w14:paraId="14F80118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593E8D" w:rsidRPr="00593E8D" w:rsidP="00593E8D" w14:paraId="094EAD65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593E8D" w:rsidP="00593E8D" w14:paraId="5FF0D8BD" w14:textId="2A5EAD9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 w:rsidRPr="00593E8D">
        <w:rPr>
          <w:rFonts w:ascii="Times New Roman" w:hAnsi="Times New Roman" w:cs="Times New Roman"/>
          <w:sz w:val="28"/>
          <w:szCs w:val="28"/>
        </w:rPr>
        <w:tab/>
      </w:r>
      <w:r w:rsidRPr="00593E8D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593E8D">
        <w:rPr>
          <w:rFonts w:ascii="Times New Roman" w:hAnsi="Times New Roman" w:cs="Times New Roman"/>
          <w:sz w:val="28"/>
          <w:szCs w:val="28"/>
        </w:rPr>
        <w:tab/>
        <w:t xml:space="preserve">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BBE4CD3"/>
    <w:multiLevelType w:val="hybridMultilevel"/>
    <w:tmpl w:val="C5D4E732"/>
    <w:lvl w:ilvl="0">
      <w:start w:val="14"/>
      <w:numFmt w:val="bullet"/>
      <w:lvlText w:val="-"/>
      <w:lvlJc w:val="left"/>
      <w:pPr>
        <w:ind w:left="1065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F2B25BB"/>
    <w:multiLevelType w:val="hybridMultilevel"/>
    <w:tmpl w:val="0DB06A80"/>
    <w:lvl w:ilvl="0">
      <w:start w:val="20"/>
      <w:numFmt w:val="decimal"/>
      <w:lvlText w:val="%1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51A4"/>
    <w:rsid w:val="000E0637"/>
    <w:rsid w:val="000E7ADA"/>
    <w:rsid w:val="0019083E"/>
    <w:rsid w:val="001944D5"/>
    <w:rsid w:val="001A7130"/>
    <w:rsid w:val="001B3B56"/>
    <w:rsid w:val="002D71B2"/>
    <w:rsid w:val="003044F0"/>
    <w:rsid w:val="003530E1"/>
    <w:rsid w:val="003735BC"/>
    <w:rsid w:val="003A4315"/>
    <w:rsid w:val="003B2A39"/>
    <w:rsid w:val="003C5470"/>
    <w:rsid w:val="00401949"/>
    <w:rsid w:val="004208DA"/>
    <w:rsid w:val="00424AD7"/>
    <w:rsid w:val="00424B54"/>
    <w:rsid w:val="004C6C25"/>
    <w:rsid w:val="004F7CAD"/>
    <w:rsid w:val="00514F33"/>
    <w:rsid w:val="00520285"/>
    <w:rsid w:val="00524AF7"/>
    <w:rsid w:val="00545B76"/>
    <w:rsid w:val="00593E8D"/>
    <w:rsid w:val="00784598"/>
    <w:rsid w:val="007C582E"/>
    <w:rsid w:val="0081066D"/>
    <w:rsid w:val="00853C00"/>
    <w:rsid w:val="00893E2E"/>
    <w:rsid w:val="008B6EF2"/>
    <w:rsid w:val="008F55D5"/>
    <w:rsid w:val="00905C16"/>
    <w:rsid w:val="009E1F3A"/>
    <w:rsid w:val="00A84A56"/>
    <w:rsid w:val="00A855A9"/>
    <w:rsid w:val="00B20C04"/>
    <w:rsid w:val="00B334A3"/>
    <w:rsid w:val="00B3670E"/>
    <w:rsid w:val="00BF2A27"/>
    <w:rsid w:val="00BF532A"/>
    <w:rsid w:val="00C64834"/>
    <w:rsid w:val="00C72BF6"/>
    <w:rsid w:val="00CB633A"/>
    <w:rsid w:val="00DD0A46"/>
    <w:rsid w:val="00DF1D16"/>
    <w:rsid w:val="00E26E18"/>
    <w:rsid w:val="00EE06C3"/>
    <w:rsid w:val="00EE06C9"/>
    <w:rsid w:val="00F074F7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DF1D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51A4"/>
    <w:rsid w:val="000E7ADA"/>
    <w:rsid w:val="001043C3"/>
    <w:rsid w:val="0019083E"/>
    <w:rsid w:val="002F4AEC"/>
    <w:rsid w:val="004D1168"/>
    <w:rsid w:val="00934C4A"/>
    <w:rsid w:val="00A51DB1"/>
    <w:rsid w:val="00A66A25"/>
    <w:rsid w:val="00BF2A27"/>
    <w:rsid w:val="00C813D8"/>
    <w:rsid w:val="00D6466E"/>
    <w:rsid w:val="00E73DF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916</Words>
  <Characters>5223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2023-03-27T06:26:00Z</dcterms:created>
  <dcterms:modified xsi:type="dcterms:W3CDTF">2026-03-10T09:43:00Z</dcterms:modified>
</cp:coreProperties>
</file>