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2981"/>
        <w:gridCol w:w="4219"/>
      </w:tblGrid>
      <w:tr>
        <w:tblPrEx>
          <w:tblW w:w="0" w:type="auto"/>
          <w:tblLook w:val="04A0"/>
        </w:tblPrEx>
        <w:tc>
          <w:tcPr>
            <w:tcW w:w="5213" w:type="dxa"/>
          </w:tcPr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ПВ-180</w:t>
            </w:r>
          </w:p>
          <w:p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Додаток 5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 автомобільних перевізників на право перевезення пасажирів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 приміських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 за межі території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територіал</w:t>
            </w:r>
            <w:r>
              <w:rPr>
                <w:rFonts w:ascii="Times New Roman" w:hAnsi="Times New Roman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ьно</w:t>
            </w:r>
            <w:r>
              <w:rPr>
                <w:rFonts w:ascii="Times New Roman" w:hAnsi="Times New Roman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 xml:space="preserve">ї громади 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noProof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>___________________________</w:t>
            </w:r>
            <w:r>
              <w:rPr>
                <w:rFonts w:ascii="Times New Roman" w:hAnsi="Times New Roman"/>
                <w:bCs w:val="0"/>
                <w:smallCaps w:val="0"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mallCaps w:val="0"/>
                <w:noProof/>
                <w:snapToGrid/>
                <w:color w:val="000000"/>
                <w:spacing w:val="0"/>
                <w:w w:val="100"/>
                <w:position w:val="0"/>
                <w:sz w:val="28"/>
                <w:szCs w:val="22"/>
                <w:cs w:val="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  <w:lang w:eastAsia="ru-RU"/>
              </w:rPr>
              <w:t xml:space="preserve">  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  <w:lang w:eastAsia="ru-RU"/>
              </w:rPr>
              <w:t>(найменування організатора перевезень)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 рішенням виконавчого комітету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>
            <w:pPr>
              <w:shd w:val="clear" w:color="auto" w:fill="FFFFFF"/>
              <w:spacing w:beforeAutospacing="0" w:after="0" w:afterAutospacing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від __________ № __________</w:t>
            </w:r>
          </w:p>
          <w:p>
            <w:pPr>
              <w:tabs>
                <w:tab w:val="left" w:pos="5970"/>
              </w:tabs>
              <w:spacing w:beforeAutospacing="0" w:after="0" w:afterAutospacing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ermEnd w:id="0"/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beforeAutospacing="0" w:after="0" w:afterAutospacing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before="240" w:beforeAutospacing="0" w:after="120" w:afterAutospacing="0"/>
        <w:jc w:val="center"/>
        <w:rPr>
          <w:rFonts w:ascii="Times New Roman" w:hAnsi="Times New Roman"/>
          <w:b/>
          <w:noProof/>
          <w:sz w:val="28"/>
          <w:szCs w:val="28"/>
        </w:rPr>
      </w:pPr>
      <w:permStart w:id="2" w:edGrp="everyone"/>
      <w:r>
        <w:rPr>
          <w:rFonts w:ascii="Times New Roman" w:hAnsi="Times New Roman"/>
          <w:b/>
          <w:noProof/>
          <w:sz w:val="28"/>
          <w:szCs w:val="28"/>
        </w:rPr>
        <w:t xml:space="preserve">ПЕРЕЛІК </w:t>
      </w:r>
      <w:r>
        <w:rPr>
          <w:rFonts w:ascii="Times New Roman" w:hAnsi="Times New Roman"/>
          <w:b/>
          <w:noProof/>
          <w:sz w:val="28"/>
          <w:szCs w:val="28"/>
        </w:rPr>
        <w:br/>
      </w:r>
      <w:r>
        <w:rPr>
          <w:rFonts w:ascii="Times New Roman" w:hAnsi="Times New Roman"/>
          <w:b/>
          <w:noProof/>
          <w:sz w:val="28"/>
          <w:szCs w:val="28"/>
        </w:rPr>
        <w:t>показників нарахування балів за системою оцінки пропозицій автомобільних перевізників-претендентів (на участь у конкурсі з перевезення пасажирів на внутрішньообласних маршрутах та маршрутах в межах території однієї територіальної громади)</w:t>
      </w:r>
    </w:p>
    <w:tbl>
      <w:tblPr>
        <w:tblW w:w="0" w:type="auto"/>
        <w:tblInd w:w="-176" w:type="dxa"/>
        <w:tblLook w:val="04A0"/>
      </w:tblPr>
      <w:tblGrid>
        <w:gridCol w:w="1455"/>
        <w:gridCol w:w="4246"/>
        <w:gridCol w:w="1499"/>
      </w:tblGrid>
      <w:tr>
        <w:tblPrEx>
          <w:tblW w:w="0" w:type="auto"/>
          <w:tblInd w:w="-176" w:type="dxa"/>
          <w:tblLook w:val="04A0"/>
        </w:tblPrEx>
        <w:trPr>
          <w:trHeight w:val="20"/>
          <w:tblHeader/>
        </w:trPr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Порядковий номер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Показники, за якими оцінюються автомобільні перевізники-претенденти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Кількість балів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67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before="120" w:beforeAutospacing="0" w:afterAutospacing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Робота перевізника-претендента на визначеному організатором перевезень об’єкті конкурсу протягом усього строку дії попереднього дозволу (договору) як переможця попереднього конкурсу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+ 10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Євро-3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+ 3</w:t>
            </w:r>
          </w:p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(+ 1 для міських і приміських маршрутів)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Євро-4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+ 4</w:t>
            </w:r>
          </w:p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(+ 2 для міських і приміських маршрутів)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/>
              <w:ind w:right="-87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Євро-5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+ 5</w:t>
            </w:r>
          </w:p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(+ 3 для міських і приміських маршрутів)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6759" w:type="dxa"/>
          </w:tcPr>
          <w:p>
            <w:pPr>
              <w:spacing w:before="120" w:beforeAutospacing="0" w:afterAutospacing="0"/>
              <w:ind w:right="-59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для відповідного виду перевезень категорії Євро-6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+ 6</w:t>
            </w:r>
          </w:p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(+ 4 для міських і приміських маршрутів)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 w:line="228" w:lineRule="auto"/>
              <w:ind w:right="-59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електроавтобусів (бали нараховуються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+ 7</w:t>
            </w:r>
          </w:p>
          <w:p>
            <w:pPr>
              <w:spacing w:before="120" w:beforeAutospacing="0" w:afterAutospacing="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(+ 5 для міських і приміських маршрутів)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 w:line="228" w:lineRule="auto"/>
              <w:ind w:right="-115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низькопідлогових автобусів (бали нараховуються виключно у разі проведення конкурсу на міських та приміських маршрутах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+ 5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 w:line="228" w:lineRule="auto"/>
              <w:ind w:right="-115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 із спеціальним обладнанням для їх експлуатації на екологічно чистих видах палива (газодизелі) (бали нараховуються виключно у разі проведення конкурсу на міських маршрутах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 w:line="228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+ 7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/>
              <w:ind w:right="-83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перевізника-претендента у власності, співвласності (або таких, що використовуються ними на правах фінансового лізингу) автобусів, пристосованих для перевезення осіб з інвалідністю та інших маломобільних груп населення, заявлених для участі на об’єкті конкурсу (бали нараховуються у разі  проведення конкурсу на міжміських внутрішньообласних маршрутах окремо за кожен автобус, який пропонується до використання на об’єкті конкурсу, в межах загальної кількості, встановленої організатором перевезень, з урахуванням кількості резервних транспортних засобів)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+ 4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матеріально-технічної бази, на якій забезпечується проведення медичного огляду водіїв, їх стажування та інструктажі, а також огляд технічного стану автобусів та їх зберігання у разі розміщення такої бази на відстані не більш як 20 кілометрів від місця формування рейсу) (бали нараховуються за інформацією Укртрансбезпеки відповідно до бази ліцензійного реєстру)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+ 15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Наявність дорожньо-транспортних пригод, скоєних з вини водія перевізника-претендента, у яких є загиблі, доведеної у судовому порядку, які сталися протягом року до дати проведення конкурсу 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- 10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дорожньо-транспортних пригод без потерпілих, скоєних з вини водія перевізника-претендента, доведених у судовому порядку, які сталися протягом двох років до дати проведення конкурсу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- 5</w:t>
            </w:r>
          </w:p>
        </w:tc>
      </w:tr>
      <w:tr>
        <w:tblPrEx>
          <w:tblW w:w="0" w:type="auto"/>
          <w:tblInd w:w="-176" w:type="dxa"/>
          <w:tblLook w:val="04A0"/>
        </w:tblPrEx>
        <w:trPr>
          <w:trHeight w:val="20"/>
        </w:trPr>
        <w:tc>
          <w:tcPr>
            <w:tcW w:w="1063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13.</w:t>
            </w:r>
          </w:p>
        </w:tc>
        <w:tc>
          <w:tcPr>
            <w:tcW w:w="6759" w:type="dxa"/>
            <w:hideMark/>
          </w:tcPr>
          <w:p>
            <w:pPr>
              <w:spacing w:before="120" w:beforeAutospacing="0" w:afterAutospacing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Наявність у водія перевізника-претендента трьох та більше порушень правил дорожнього руху, зафіксованих упродовж одного року до дати проведення конкурсу (застосовується у разі скоєння порушень правил дорожнього руху одним і тим же водієм)</w:t>
            </w:r>
          </w:p>
        </w:tc>
        <w:tc>
          <w:tcPr>
            <w:tcW w:w="1641" w:type="dxa"/>
            <w:hideMark/>
          </w:tcPr>
          <w:p>
            <w:pPr>
              <w:spacing w:before="120" w:beforeAutospacing="0" w:afterAutospacing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- 3”.</w:t>
            </w: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>
      <w:pPr>
        <w:shd w:val="clear" w:color="auto" w:fill="FFFFFF"/>
        <w:spacing w:beforeAutospacing="0" w:after="0" w:afterAutospacing="0"/>
        <w:ind w:right="-285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Міський голова </w:t>
        <w:tab/>
        <w:tab/>
        <w:tab/>
        <w:tab/>
        <w:tab/>
        <w:tab/>
        <w:tab/>
        <w:tab/>
        <w:t>Ігор САПОЖКО</w:t>
      </w:r>
      <w:permEnd w:id="2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24.0002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18</cp:revision>
  <dcterms:created xsi:type="dcterms:W3CDTF">2022-09-28T09:53:00Z</dcterms:created>
  <dcterms:modified xsi:type="dcterms:W3CDTF">2026-02-17T13:03:41Z</dcterms:modified>
</cp:coreProperties>
</file>