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C66F" w14:textId="4130481E" w:rsidR="005B1C08" w:rsidRPr="00AC16B4" w:rsidRDefault="00AC16B4" w:rsidP="00AC16B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7D6D0BB" w14:textId="77777777" w:rsidR="00AC16B4" w:rsidRPr="00184B53" w:rsidRDefault="00AC16B4" w:rsidP="00AC16B4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17127F49" w14:textId="77777777" w:rsidR="00AC16B4" w:rsidRPr="00184B53" w:rsidRDefault="00AC16B4" w:rsidP="00AC16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3BA9D5D5" w14:textId="77777777" w:rsidR="00AC16B4" w:rsidRPr="00184B53" w:rsidRDefault="00AC16B4" w:rsidP="00AC16B4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7D7D1CB3" w14:textId="77777777" w:rsidR="00AC16B4" w:rsidRPr="00184B53" w:rsidRDefault="00AC16B4" w:rsidP="00AC16B4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43C2F471" w14:textId="77777777" w:rsidR="00AC16B4" w:rsidRPr="00184B53" w:rsidRDefault="00AC16B4" w:rsidP="00AC16B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29285ECE" w14:textId="77777777" w:rsidR="00AC16B4" w:rsidRPr="00BC16A8" w:rsidRDefault="00AC16B4" w:rsidP="00AC16B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пункту 1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BC16A8">
        <w:rPr>
          <w:rFonts w:ascii="Times New Roman" w:eastAsia="Times New Roman" w:hAnsi="Times New Roman" w:cs="Times New Roman"/>
          <w:sz w:val="28"/>
          <w:szCs w:val="28"/>
          <w:lang w:val="uk-UA"/>
        </w:rPr>
        <w:t>для приведення у відповідність додатку до Програми щодо виділених раніше коштів зменшити фінансування в пункті «Потреба у фінансуванні (тис. грн.)» на суму 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BC16A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4,9</w:t>
      </w:r>
      <w:r w:rsidRPr="00BC16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0CC9D0D1" w14:textId="77777777" w:rsidR="00AC16B4" w:rsidRPr="00E83034" w:rsidRDefault="00AC16B4" w:rsidP="00AC16B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355C9C72" w14:textId="77777777" w:rsidR="00AC16B4" w:rsidRPr="00184B53" w:rsidRDefault="00AC16B4" w:rsidP="00AC16B4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3CEA95EF" w14:textId="77777777" w:rsidR="00AC16B4" w:rsidRPr="00184B53" w:rsidRDefault="00AC16B4" w:rsidP="00AC16B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0E86C778" w14:textId="77777777" w:rsidR="00AC16B4" w:rsidRPr="00BD71D9" w:rsidRDefault="00AC16B4" w:rsidP="00AC16B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громади.</w:t>
      </w:r>
    </w:p>
    <w:p w14:paraId="639F11AC" w14:textId="77777777" w:rsidR="00AC16B4" w:rsidRPr="00184B53" w:rsidRDefault="00AC16B4" w:rsidP="00AC16B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6875CD79" w14:textId="77777777" w:rsidR="00AC16B4" w:rsidRPr="00184B53" w:rsidRDefault="00AC16B4" w:rsidP="00AC16B4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0A587A92" w14:textId="77777777" w:rsidR="00AC16B4" w:rsidRPr="00184B53" w:rsidRDefault="00AC16B4" w:rsidP="00AC16B4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7F62DDD2" w14:textId="77777777" w:rsidR="00AC16B4" w:rsidRPr="00184B53" w:rsidRDefault="00AC16B4" w:rsidP="00AC16B4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0EE4B6A1" w14:textId="77777777" w:rsidR="00AC16B4" w:rsidRPr="00184B53" w:rsidRDefault="00AC16B4" w:rsidP="00AC16B4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773F0358" w14:textId="77777777" w:rsidR="00AC16B4" w:rsidRDefault="00AC16B4" w:rsidP="00AC16B4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Даним проектом рішення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мен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ується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фінансування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3 364.9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 грн.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заходу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«Матеріальне технічне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з чим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агальний обсяг фінанс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ових ресурсів для реалізації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оці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буде стано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вити </w:t>
      </w:r>
    </w:p>
    <w:p w14:paraId="47704466" w14:textId="77777777" w:rsidR="00AC16B4" w:rsidRDefault="00AC16B4" w:rsidP="00AC16B4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855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грн.</w:t>
      </w:r>
    </w:p>
    <w:p w14:paraId="38FCD998" w14:textId="77777777" w:rsidR="00AC16B4" w:rsidRPr="00E83034" w:rsidRDefault="00AC16B4" w:rsidP="00AC16B4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7345C35" w14:textId="77777777" w:rsidR="00AC16B4" w:rsidRPr="00184B53" w:rsidRDefault="00AC16B4" w:rsidP="00AC16B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0EC23BBE" w14:textId="77777777" w:rsidR="00AC16B4" w:rsidRPr="00BD71D9" w:rsidRDefault="00AC16B4" w:rsidP="00AC16B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4C7A9D5F" w14:textId="77777777" w:rsidR="00AC16B4" w:rsidRPr="00184B53" w:rsidRDefault="00AC16B4" w:rsidP="00AC16B4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16F42BF1" w14:textId="77777777" w:rsidR="00AC16B4" w:rsidRPr="00184B53" w:rsidRDefault="00AC16B4" w:rsidP="00AC16B4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6. Суб’єкт подання проекту рішення.</w:t>
      </w:r>
    </w:p>
    <w:p w14:paraId="30467BA4" w14:textId="77777777" w:rsidR="00AC16B4" w:rsidRPr="00184B53" w:rsidRDefault="00AC16B4" w:rsidP="00AC16B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B021A2C" w14:textId="77777777" w:rsidR="00AC16B4" w:rsidRPr="00184B53" w:rsidRDefault="00AC16B4" w:rsidP="00AC16B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AB2CA6C" w14:textId="77777777" w:rsidR="00AC16B4" w:rsidRPr="00184B53" w:rsidRDefault="00AC16B4" w:rsidP="00AC16B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80C732A" w14:textId="77777777" w:rsidR="00AC16B4" w:rsidRPr="00B34F7F" w:rsidRDefault="00AC16B4" w:rsidP="00AC16B4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0AAFB9C" w14:textId="77777777" w:rsidR="00AC16B4" w:rsidRPr="00946C85" w:rsidRDefault="00AC16B4" w:rsidP="00AC1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843"/>
        <w:gridCol w:w="992"/>
        <w:gridCol w:w="992"/>
        <w:gridCol w:w="1134"/>
        <w:gridCol w:w="1843"/>
        <w:gridCol w:w="992"/>
        <w:gridCol w:w="993"/>
      </w:tblGrid>
      <w:tr w:rsidR="00AC16B4" w:rsidRPr="00946C85" w14:paraId="4B23E3F8" w14:textId="77777777" w:rsidTr="007C3D73">
        <w:trPr>
          <w:trHeight w:val="4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223" w14:textId="77777777" w:rsidR="00AC16B4" w:rsidRPr="00555831" w:rsidRDefault="00AC16B4" w:rsidP="007C3D73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09C" w14:textId="77777777" w:rsidR="00AC16B4" w:rsidRPr="00946C85" w:rsidRDefault="00AC16B4" w:rsidP="007C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0DD7" w14:textId="77777777" w:rsidR="00AC16B4" w:rsidRPr="00946C85" w:rsidRDefault="00AC16B4" w:rsidP="007C3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AC16B4" w:rsidRPr="00946C85" w14:paraId="32EED093" w14:textId="77777777" w:rsidTr="007C3D73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8C77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№з/п</w:t>
            </w:r>
          </w:p>
          <w:p w14:paraId="4632963C" w14:textId="77777777" w:rsidR="00AC16B4" w:rsidRPr="00B30DD7" w:rsidRDefault="00AC16B4" w:rsidP="007C3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FF2" w14:textId="77777777" w:rsidR="00AC16B4" w:rsidRPr="00555831" w:rsidRDefault="00AC16B4" w:rsidP="007C3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9B8" w14:textId="77777777" w:rsidR="00AC16B4" w:rsidRPr="00F323AD" w:rsidRDefault="00AC16B4" w:rsidP="007C3D73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1510B12B" w14:textId="77777777" w:rsidR="00AC16B4" w:rsidRPr="00082E48" w:rsidRDefault="00AC16B4" w:rsidP="007C3D73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060" w14:textId="77777777" w:rsidR="00AC16B4" w:rsidRPr="00946C85" w:rsidRDefault="00AC16B4" w:rsidP="007C3D7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3408DDBB" w14:textId="77777777" w:rsidR="00AC16B4" w:rsidRPr="00F323AD" w:rsidRDefault="00AC16B4" w:rsidP="007C3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532F1404" w14:textId="77777777" w:rsidR="00AC16B4" w:rsidRPr="00DE5DA7" w:rsidRDefault="00AC16B4" w:rsidP="007C3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96D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2A9E" w14:textId="77777777" w:rsidR="00AC16B4" w:rsidRPr="00AA3E12" w:rsidRDefault="00AC16B4" w:rsidP="007C3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1F92EF4E" w14:textId="77777777" w:rsidR="00AC16B4" w:rsidRPr="00DE5DA7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3935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9719" w14:textId="77777777" w:rsidR="00AC16B4" w:rsidRPr="00946C85" w:rsidRDefault="00AC16B4" w:rsidP="007C3D7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543F62B0" w14:textId="77777777" w:rsidR="00AC16B4" w:rsidRPr="00946C85" w:rsidRDefault="00AC16B4" w:rsidP="007C3D7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D427" w14:textId="77777777" w:rsidR="00AC16B4" w:rsidRPr="00946C85" w:rsidRDefault="00AC16B4" w:rsidP="007C3D7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5A0CAA51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AC16B4" w14:paraId="1D9351CC" w14:textId="77777777" w:rsidTr="007C3D73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781" w14:textId="77777777" w:rsidR="00AC16B4" w:rsidRDefault="00AC16B4" w:rsidP="007C3D7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7A03" w14:textId="77777777" w:rsidR="00AC16B4" w:rsidRPr="00A76D0F" w:rsidRDefault="00AC16B4" w:rsidP="007C3D73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Матеріальне технічне забезпечення Броварського РУП НПУ в Київській обл.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6C5" w14:textId="77777777" w:rsidR="00AC16B4" w:rsidRPr="00BD71D9" w:rsidRDefault="00AC16B4" w:rsidP="007C3D73">
            <w:pPr>
              <w:spacing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Придбання, реєстрація у сервісному центрі МВС та обладнання спеціальними засобами автомобілів (спеціальних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автомобілей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) для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(Далі –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).</w:t>
            </w:r>
          </w:p>
          <w:p w14:paraId="29D52774" w14:textId="77777777" w:rsidR="00AC16B4" w:rsidRPr="00BD71D9" w:rsidRDefault="00AC16B4" w:rsidP="007C3D73">
            <w:pPr>
              <w:spacing w:line="228" w:lineRule="auto"/>
              <w:ind w:firstLine="176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Придбання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Броварського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РУП ГУНП в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Київській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області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:</w:t>
            </w:r>
          </w:p>
          <w:p w14:paraId="71575658" w14:textId="77777777" w:rsidR="00AC16B4" w:rsidRPr="00BD71D9" w:rsidRDefault="00AC16B4" w:rsidP="007C3D73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канцелярських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товарів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паперу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3E985991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реєстраторів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відеокамер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фотоапаратів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термопринтерів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комп’ютерної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техніки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МФУ,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прожекторів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акумуляторних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мобільних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батарей,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запису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і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зберігання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інформації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75B0E338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паливно-мастильних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гуми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запасних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частин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технічного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і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автомобілів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1E09C97E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будівельних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78839AD8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сейф та крафт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пакети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різних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розмірів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lastRenderedPageBreak/>
              <w:t>упакування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речових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доказів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індивідуального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захисту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;</w:t>
            </w:r>
          </w:p>
          <w:p w14:paraId="6BD859E3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облаштування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проведення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допитів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неповнолітніх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.</w:t>
            </w:r>
          </w:p>
          <w:p w14:paraId="65FD3866" w14:textId="77777777" w:rsidR="00AC16B4" w:rsidRPr="00BD71D9" w:rsidRDefault="00AC16B4" w:rsidP="007C3D73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модуль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пневмокаркасний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ПНМ в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комплекті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з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обладнанням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.</w:t>
            </w:r>
          </w:p>
          <w:p w14:paraId="3E69804A" w14:textId="77777777" w:rsidR="00AC16B4" w:rsidRPr="00BD71D9" w:rsidRDefault="00AC16B4" w:rsidP="007C3D73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B8D" w14:textId="77777777" w:rsidR="00AC16B4" w:rsidRDefault="00AC16B4" w:rsidP="007C3D73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409E3CD" w14:textId="77777777" w:rsidR="00AC16B4" w:rsidRDefault="00AC16B4" w:rsidP="007C3D73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A7518BF" w14:textId="77777777" w:rsidR="00AC16B4" w:rsidRDefault="00AC16B4" w:rsidP="007C3D73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9433918" w14:textId="77777777" w:rsidR="00AC16B4" w:rsidRDefault="00AC16B4" w:rsidP="007C3D73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2F2222A" w14:textId="77777777" w:rsidR="00AC16B4" w:rsidRDefault="00AC16B4" w:rsidP="007C3D73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E1573EE" w14:textId="77777777" w:rsidR="00AC16B4" w:rsidRDefault="00AC16B4" w:rsidP="007C3D73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12 416,4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706" w14:textId="77777777" w:rsidR="00AC16B4" w:rsidRDefault="00AC16B4" w:rsidP="007C3D73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5362ADE" w14:textId="77777777" w:rsidR="00AC16B4" w:rsidRDefault="00AC16B4" w:rsidP="007C3D73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A1770BF" w14:textId="77777777" w:rsidR="00AC16B4" w:rsidRDefault="00AC16B4" w:rsidP="007C3D73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04D3106" w14:textId="77777777" w:rsidR="00AC16B4" w:rsidRDefault="00AC16B4" w:rsidP="007C3D73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C5E5A4B" w14:textId="77777777" w:rsidR="00AC16B4" w:rsidRDefault="00AC16B4" w:rsidP="007C3D73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ABAC20B" w14:textId="77777777" w:rsidR="00AC16B4" w:rsidRDefault="00AC16B4" w:rsidP="007C3D73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-3 364,9</w:t>
            </w:r>
          </w:p>
          <w:p w14:paraId="29B2FD35" w14:textId="77777777" w:rsidR="00AC16B4" w:rsidRDefault="00AC16B4" w:rsidP="007C3D7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98" w14:textId="77777777" w:rsidR="00AC16B4" w:rsidRPr="00E046A9" w:rsidRDefault="00AC16B4" w:rsidP="007C3D73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Матеріальне технічне забезпечення Броварського РУП НПУ в Київській обл.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50FB" w14:textId="77777777" w:rsidR="00AC16B4" w:rsidRPr="00BD71D9" w:rsidRDefault="00AC16B4" w:rsidP="007C3D73">
            <w:pPr>
              <w:spacing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Придбання, реєстрація у сервісному центрі МВС та обладнання спеціальними засобами автомобілів (спеціальних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автомобілей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) для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(Далі –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).</w:t>
            </w:r>
          </w:p>
          <w:p w14:paraId="01A765E9" w14:textId="77777777" w:rsidR="00AC16B4" w:rsidRPr="00BD71D9" w:rsidRDefault="00AC16B4" w:rsidP="007C3D73">
            <w:pPr>
              <w:spacing w:line="228" w:lineRule="auto"/>
              <w:ind w:firstLine="176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Придбання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Броварського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РУП ГУНП в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Київській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області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:</w:t>
            </w:r>
          </w:p>
          <w:p w14:paraId="0DFD3C04" w14:textId="77777777" w:rsidR="00AC16B4" w:rsidRPr="00BD71D9" w:rsidRDefault="00AC16B4" w:rsidP="007C3D73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канцелярських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товарів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паперу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46F42AEA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реєстраторів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відеокамер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фотоапаратів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термопринтерів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комп’ютерної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техніки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МФУ,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прожекторів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акумуляторних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мобільних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батарей,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запису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і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зберігання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інформації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201F2099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паливно-мастильних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гуми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запасних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частин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технічного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і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автомобілів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6532579C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будівельних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5757E731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сейф та крафт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пакети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різних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розмірів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lastRenderedPageBreak/>
              <w:t>упакування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речових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доказів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індивідуального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захисту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;</w:t>
            </w:r>
          </w:p>
          <w:p w14:paraId="624D35BD" w14:textId="77777777" w:rsidR="00AC16B4" w:rsidRPr="00BD71D9" w:rsidRDefault="00AC16B4" w:rsidP="007C3D73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облаштування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проведення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допитів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неповнолітніх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.</w:t>
            </w:r>
          </w:p>
          <w:p w14:paraId="471385ED" w14:textId="77777777" w:rsidR="00AC16B4" w:rsidRPr="00BD71D9" w:rsidRDefault="00AC16B4" w:rsidP="007C3D73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модуль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пневмокаркасний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ПНМ в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комплекті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з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обладнанням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.</w:t>
            </w:r>
          </w:p>
          <w:p w14:paraId="5305AF03" w14:textId="77777777" w:rsidR="00AC16B4" w:rsidRPr="00BD71D9" w:rsidRDefault="00AC16B4" w:rsidP="007C3D73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EBC" w14:textId="77777777" w:rsidR="00AC16B4" w:rsidRPr="00BD71D9" w:rsidRDefault="00AC16B4" w:rsidP="007C3D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5AC88133" w14:textId="77777777" w:rsidR="00AC16B4" w:rsidRPr="00BD71D9" w:rsidRDefault="00AC16B4" w:rsidP="007C3D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911767D" w14:textId="77777777" w:rsidR="00AC16B4" w:rsidRPr="00BD71D9" w:rsidRDefault="00AC16B4" w:rsidP="007C3D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DFB8802" w14:textId="77777777" w:rsidR="00AC16B4" w:rsidRDefault="00AC16B4" w:rsidP="007C3D73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59D6C1A" w14:textId="77777777" w:rsidR="00AC16B4" w:rsidRPr="00BD71D9" w:rsidRDefault="00AC16B4" w:rsidP="007C3D73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348DDD7" w14:textId="77777777" w:rsidR="00AC16B4" w:rsidRPr="00BD71D9" w:rsidRDefault="00AC16B4" w:rsidP="007C3D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D734405" w14:textId="77777777" w:rsidR="00AC16B4" w:rsidRPr="00BD71D9" w:rsidRDefault="00AC16B4" w:rsidP="007C3D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F29" w14:textId="77777777" w:rsidR="00AC16B4" w:rsidRPr="00BD71D9" w:rsidRDefault="00AC16B4" w:rsidP="007C3D73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3EF2357" w14:textId="77777777" w:rsidR="00AC16B4" w:rsidRPr="00BD71D9" w:rsidRDefault="00AC16B4" w:rsidP="007C3D73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82BAC93" w14:textId="77777777" w:rsidR="00AC16B4" w:rsidRPr="00BD71D9" w:rsidRDefault="00AC16B4" w:rsidP="007C3D73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E8879C9" w14:textId="77777777" w:rsidR="00AC16B4" w:rsidRDefault="00AC16B4" w:rsidP="007C3D73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4B513ED" w14:textId="77777777" w:rsidR="00AC16B4" w:rsidRDefault="00AC16B4" w:rsidP="007C3D73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31CA20F9" w14:textId="77777777" w:rsidR="00AC16B4" w:rsidRPr="00BD71D9" w:rsidRDefault="00AC16B4" w:rsidP="007C3D73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325FBAF0" w14:textId="77777777" w:rsidR="00AC16B4" w:rsidRPr="00BD71D9" w:rsidRDefault="00AC16B4" w:rsidP="007C3D73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9 056</w:t>
            </w:r>
            <w:r w:rsidRPr="00BD71D9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,4</w:t>
            </w:r>
          </w:p>
        </w:tc>
      </w:tr>
      <w:tr w:rsidR="00AC16B4" w:rsidRPr="00946C85" w14:paraId="46427E53" w14:textId="77777777" w:rsidTr="007C3D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2F6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5584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941B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220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98C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AA02" w14:textId="77777777" w:rsidR="00AC16B4" w:rsidRPr="00946C85" w:rsidRDefault="00AC16B4" w:rsidP="007C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067" w14:textId="77777777" w:rsidR="00AC16B4" w:rsidRPr="00946C85" w:rsidRDefault="00AC16B4" w:rsidP="007C3D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- 3 364,9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19AA" w14:textId="77777777" w:rsidR="00AC16B4" w:rsidRPr="00946C85" w:rsidRDefault="00AC16B4" w:rsidP="007C3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855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,4</w:t>
            </w:r>
          </w:p>
        </w:tc>
      </w:tr>
    </w:tbl>
    <w:p w14:paraId="7FF521D2" w14:textId="2166F6F1" w:rsidR="00AC16B4" w:rsidRDefault="00AC16B4" w:rsidP="00AC16B4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61C389F" w14:textId="77777777" w:rsidR="00AC16B4" w:rsidRPr="00946C85" w:rsidRDefault="00AC16B4" w:rsidP="00AC16B4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A1F762A" w14:textId="77777777" w:rsidR="00AC16B4" w:rsidRDefault="00AC16B4" w:rsidP="00AC16B4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77FF8A3B" w14:textId="77777777" w:rsidR="00AC16B4" w:rsidRDefault="00AC16B4" w:rsidP="00AC16B4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взаємодії </w:t>
      </w:r>
    </w:p>
    <w:p w14:paraId="13084EBE" w14:textId="5C9381E3" w:rsidR="009B7D79" w:rsidRPr="00AC16B4" w:rsidRDefault="00AC16B4" w:rsidP="00AC16B4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sectPr w:rsidR="009B7D79" w:rsidRPr="00AC16B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C16B4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81BA"/>
  <w15:docId w15:val="{FACB239D-B8CB-4057-AD06-440FFAF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3754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15</cp:revision>
  <dcterms:created xsi:type="dcterms:W3CDTF">2021-03-03T14:03:00Z</dcterms:created>
  <dcterms:modified xsi:type="dcterms:W3CDTF">2025-12-17T09:26:00Z</dcterms:modified>
</cp:coreProperties>
</file>