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B2A06" w14:paraId="40F8F23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FB2A06" w14:paraId="2971E1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FB2A06" w14:paraId="10E404E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FB2A06" w14:paraId="169DB86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FB2A06" w14:paraId="3BB781F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16.12.2025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1211</w:t>
      </w:r>
    </w:p>
    <w:p w:rsidR="00FB2A06" w14:paraId="0A018599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FB2A06" w14:paraId="776F0024" w14:textId="77777777">
      <w:pPr>
        <w:spacing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Умови передачі в оренду об’єкта комунальної власності Броварської міської територіальної громади без аукціону</w:t>
      </w:r>
    </w:p>
    <w:tbl>
      <w:tblPr>
        <w:tblW w:w="9600" w:type="dxa"/>
        <w:shd w:val="clear" w:color="auto" w:fill="FFFFFF"/>
        <w:tblLook w:val="0000"/>
      </w:tblPr>
      <w:tblGrid>
        <w:gridCol w:w="3508"/>
        <w:gridCol w:w="6092"/>
      </w:tblGrid>
      <w:tr w14:paraId="7AE153D4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86562C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 </w:t>
            </w:r>
            <w:r>
              <w:rPr>
                <w:rFonts w:ascii="Times New Roman" w:hAnsi="Times New Roman"/>
                <w:sz w:val="24"/>
              </w:rPr>
              <w:t>інформаційного повідомлення про передачу об’єкта оренди без проведення аукціону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48C713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Дитячий ігровий майданчик загальною площею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що розташований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 xml:space="preserve">: Київська область, Броварський район, місто Бровари, вулиця Петлюри Симона, будинок 17-Б </w:t>
            </w:r>
          </w:p>
        </w:tc>
      </w:tr>
      <w:tr w14:paraId="23F0B76F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3159D2F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ата, номер, назва  рішення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5DFF3DBF" w14:textId="77777777">
            <w:pPr>
              <w:tabs>
                <w:tab w:val="left" w:pos="1820"/>
                <w:tab w:val="left" w:pos="3402"/>
                <w:tab w:val="left" w:pos="4111"/>
                <w:tab w:val="left" w:pos="4253"/>
                <w:tab w:val="left" w:pos="4535"/>
              </w:tabs>
              <w:spacing w:line="240" w:lineRule="auto"/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Рішення  виконавчого комітету Броварської міської ради Броварського району Київської області від 16.09.2025 № 833 «Про включення до Переліку другого типу та передачу в оренду об’єкта комунальної власності Броварської міської територіальної громади без аукц</w:t>
            </w:r>
            <w:r>
              <w:rPr>
                <w:rFonts w:ascii="Times New Roman" w:hAnsi="Times New Roman"/>
                <w:sz w:val="24"/>
              </w:rPr>
              <w:t>іону»</w:t>
            </w:r>
          </w:p>
        </w:tc>
      </w:tr>
      <w:tr w14:paraId="60BCB339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4B9D82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орендодавця</w:t>
            </w:r>
          </w:p>
          <w:p w:rsidR="00FB2A06" w14:paraId="48A5CD7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BC8601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07400, Київська область, Броварський район, місто Бровари, бульв</w:t>
            </w:r>
            <w:r>
              <w:rPr>
                <w:rFonts w:ascii="Times New Roman" w:hAnsi="Times New Roman"/>
                <w:sz w:val="24"/>
              </w:rPr>
              <w:t xml:space="preserve">ар Незалежності, будинок 2,  телефон +38(045)-947-20-56, </w:t>
            </w:r>
          </w:p>
          <w:p w:rsidR="00FB2A06" w14:paraId="711C2B7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ukv_bmr@ukr.net</w:t>
            </w:r>
          </w:p>
        </w:tc>
      </w:tr>
      <w:tr w14:paraId="5A642D93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2346BB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балансоутримувача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0146B4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Броварський ліцей №10 </w:t>
            </w:r>
            <w:r>
              <w:rPr>
                <w:rFonts w:ascii="Times New Roman" w:hAnsi="Times New Roman"/>
                <w:color w:val="000000"/>
                <w:sz w:val="24"/>
              </w:rPr>
              <w:t>Броварської міської ради Броварського району Київської області: 07400, Київська область, Броварський рай</w:t>
            </w:r>
            <w:r>
              <w:rPr>
                <w:rFonts w:ascii="Times New Roman" w:hAnsi="Times New Roman"/>
                <w:color w:val="000000"/>
                <w:sz w:val="24"/>
              </w:rPr>
              <w:t>он, місто Бровари, вулиця Петлюри Симона, будинок 17-Б, телефон: (04594) 6-45-71; 6-01-42, e-</w:t>
            </w:r>
            <w:r>
              <w:rPr>
                <w:rFonts w:ascii="Times New Roman" w:hAnsi="Times New Roman"/>
                <w:color w:val="000000"/>
                <w:sz w:val="24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</w:rPr>
              <w:t>: 10school@ukr.net</w:t>
            </w:r>
          </w:p>
        </w:tc>
      </w:tr>
      <w:tr w14:paraId="2385196E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503555D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Графік роботи Броварського ліцею №10 Броварської міської ради Броварського району Київської області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929FE9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Середня кількість годин роботи </w:t>
            </w:r>
            <w:r>
              <w:rPr>
                <w:rFonts w:ascii="Times New Roman" w:hAnsi="Times New Roman"/>
                <w:color w:val="000000"/>
                <w:sz w:val="24"/>
              </w:rPr>
              <w:t>закладу в день – 11 годин 15 хвилин;</w:t>
            </w:r>
          </w:p>
          <w:p w:rsidR="00FB2A06" w14:paraId="4B19455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Середня кількість робочих днів на місяць – 22 робочих дні </w:t>
            </w:r>
          </w:p>
        </w:tc>
      </w:tr>
      <w:tr w14:paraId="0E49E889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42D651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об’єкт оренди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C8C95F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Дитячий ігровий майданчик загальною площею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що розташований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Київська область, Броварський район, місто Бр</w:t>
            </w:r>
            <w:r>
              <w:rPr>
                <w:rFonts w:ascii="Times New Roman" w:hAnsi="Times New Roman"/>
                <w:sz w:val="24"/>
              </w:rPr>
              <w:t>овари, вулиця Петлюри Симона, будинок 17-Б.</w:t>
            </w:r>
          </w:p>
          <w:p w:rsidR="00FB2A06" w14:paraId="5862512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Часи використання об’єкта: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B2A06" w14:paraId="4ECFAA3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понеділок: 20:00-21:00</w:t>
            </w:r>
          </w:p>
          <w:p w:rsidR="00FB2A06" w14:paraId="0FC10B0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вівторок:   17:00-20:00</w:t>
            </w:r>
          </w:p>
          <w:p w:rsidR="00FB2A06" w14:paraId="7BD083E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середа: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 xml:space="preserve"> 20:00-21:00</w:t>
            </w:r>
          </w:p>
          <w:p w:rsidR="00FB2A06" w14:paraId="0960FA8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четвер: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 xml:space="preserve"> 17:00-20:00</w:t>
            </w:r>
          </w:p>
          <w:p w:rsidR="00FB2A06" w14:paraId="6877DD2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п`ятниця:  20:00 - 21:00</w:t>
            </w:r>
          </w:p>
          <w:p w:rsidR="00FB2A06" w14:paraId="596B8E9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субота, неділя.  </w:t>
            </w:r>
          </w:p>
        </w:tc>
      </w:tr>
      <w:tr w14:paraId="2D98B265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46A93A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чинний договір оренди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7AF5D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0FA6F6D8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5600A03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об'єкта оренди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1100B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об’єкта оренди згідно з висновком про вартість </w:t>
            </w:r>
            <w:r>
              <w:rPr>
                <w:rFonts w:ascii="Times New Roman" w:hAnsi="Times New Roman"/>
                <w:sz w:val="24"/>
              </w:rPr>
              <w:t xml:space="preserve">майна станом на 01.10.2025 становить, без ПДВ 1745580,00 грн. </w:t>
            </w:r>
          </w:p>
        </w:tc>
      </w:tr>
      <w:tr w14:paraId="5B6A76A9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3586B4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об’єкта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219309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нерухоме майно</w:t>
            </w:r>
          </w:p>
        </w:tc>
      </w:tr>
      <w:tr w14:paraId="38291BD8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E570EC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Пропонований  строк оренди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CDDE86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років </w:t>
            </w:r>
          </w:p>
        </w:tc>
      </w:tr>
      <w:tr w14:paraId="09BFB428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C1E0D4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отримання погодження органу упра</w:t>
            </w:r>
            <w:r>
              <w:rPr>
                <w:rFonts w:ascii="Times New Roman" w:hAnsi="Times New Roman"/>
                <w:sz w:val="24"/>
              </w:rPr>
              <w:t>вління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7F1290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192DA5A9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A6F285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Фотографічне зображення майна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356C5CB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</w:t>
            </w:r>
          </w:p>
        </w:tc>
      </w:tr>
      <w:tr w14:paraId="2B96D4F0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738FB5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Загальна і корисна площа об’єкта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300E31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загальна площа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корисна площа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14:paraId="7E133826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5473B44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5D817B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 об’єкта – задовільний</w:t>
            </w:r>
          </w:p>
        </w:tc>
      </w:tr>
      <w:tr w14:paraId="183DFA3E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25DF42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Технічний план об’єкта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96B663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Додається</w:t>
            </w:r>
          </w:p>
        </w:tc>
      </w:tr>
      <w:tr w14:paraId="1F1D378C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CB5EC5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Інформація про те, що об’єктом оренди є пам’ятка культурної спадщини, щойно виявлений об’єкт куль</w:t>
            </w:r>
            <w:r>
              <w:rPr>
                <w:rFonts w:ascii="Times New Roman" w:hAnsi="Times New Roman"/>
                <w:color w:val="000000"/>
                <w:sz w:val="24"/>
              </w:rPr>
              <w:t>турної спадщини чи його частина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A37F0C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Об’єкт не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пам’яткою культурної спадщини</w:t>
            </w:r>
          </w:p>
        </w:tc>
      </w:tr>
      <w:tr w14:paraId="3D6C4FA4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3EE8B83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0F1202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потребує</w:t>
            </w:r>
          </w:p>
        </w:tc>
      </w:tr>
      <w:tr w14:paraId="2EC5B04B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F3812A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Інформація про наявність окремих особових рахунків на об’єкт оренди, </w:t>
            </w:r>
            <w:r>
              <w:rPr>
                <w:rFonts w:ascii="Times New Roman" w:hAnsi="Times New Roman"/>
                <w:sz w:val="24"/>
              </w:rPr>
              <w:t>відкритих постачальниками комунальних послуг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52F9DCE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>
              <w:rPr>
                <w:rFonts w:ascii="Times New Roman" w:hAnsi="Times New Roman"/>
                <w:sz w:val="24"/>
              </w:rPr>
              <w:t>внутрішньобудинкових</w:t>
            </w:r>
            <w:r>
              <w:rPr>
                <w:rFonts w:ascii="Times New Roman" w:hAnsi="Times New Roman"/>
                <w:sz w:val="24"/>
              </w:rPr>
              <w:t xml:space="preserve"> мереж, ремонту будівлі, у   т. ч.: </w:t>
            </w:r>
            <w:r>
              <w:rPr>
                <w:rFonts w:ascii="Times New Roman" w:hAnsi="Times New Roman"/>
                <w:sz w:val="24"/>
              </w:rPr>
              <w:t>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FC77D02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108F98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Проєкт</w:t>
            </w:r>
            <w:r>
              <w:rPr>
                <w:rFonts w:ascii="Times New Roman" w:hAnsi="Times New Roman"/>
                <w:sz w:val="24"/>
              </w:rPr>
              <w:t xml:space="preserve"> договору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059601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 </w:t>
            </w:r>
            <w:r>
              <w:rPr>
                <w:rFonts w:ascii="Times New Roman" w:hAnsi="Times New Roman"/>
                <w:sz w:val="24"/>
              </w:rPr>
              <w:t xml:space="preserve">до оголошення про передачу нерухомого майна в оренду </w:t>
            </w:r>
          </w:p>
        </w:tc>
      </w:tr>
      <w:tr w14:paraId="46DB2426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313BA3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Умови та додаткові умови оренди</w:t>
            </w:r>
          </w:p>
        </w:tc>
      </w:tr>
      <w:tr w14:paraId="296AB2F8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00695A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Строк оренди  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7A8FFC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років</w:t>
            </w:r>
          </w:p>
        </w:tc>
      </w:tr>
      <w:tr w14:paraId="6AC02A59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D6096D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Наявність рішення про затвердження додаткових умов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D88235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тільки за цільовим призначенням</w:t>
            </w:r>
          </w:p>
        </w:tc>
      </w:tr>
      <w:tr w14:paraId="445803F4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9259AA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Розмір орендної плати (з врахуванням індексу </w:t>
            </w:r>
            <w:r>
              <w:rPr>
                <w:rFonts w:ascii="Times New Roman" w:hAnsi="Times New Roman"/>
                <w:sz w:val="24"/>
              </w:rPr>
              <w:t>інфляції за листопад 2024 рок)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2AA0D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5,93</w:t>
            </w:r>
            <w:r>
              <w:rPr>
                <w:rFonts w:ascii="Times New Roman" w:hAnsi="Times New Roman"/>
                <w:sz w:val="24"/>
              </w:rPr>
              <w:t xml:space="preserve"> грн./за одну годину, без урахування ПДВ </w:t>
            </w:r>
          </w:p>
          <w:p w:rsidR="00FB2A06" w14:paraId="30E10A6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7F54A13B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F9C83E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Цільове</w:t>
            </w:r>
          </w:p>
          <w:p w:rsidR="00FB2A06" w14:paraId="327C193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призначення об’єкта оренди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5DE04219" w14:textId="77777777">
            <w:pPr>
              <w:tabs>
                <w:tab w:val="left" w:pos="0"/>
                <w:tab w:val="left" w:pos="851"/>
                <w:tab w:val="left" w:pos="1320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Тренування з футболу  - погодинно</w:t>
            </w:r>
          </w:p>
        </w:tc>
      </w:tr>
      <w:tr w14:paraId="041330E3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CBA40B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051255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>
              <w:rPr>
                <w:rFonts w:ascii="Times New Roman" w:hAnsi="Times New Roman"/>
                <w:color w:val="000000"/>
                <w:sz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579A671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F472E9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Додаткові умови оренди майна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8D3EEB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проведення а</w:t>
            </w:r>
            <w:r>
              <w:rPr>
                <w:rFonts w:ascii="Times New Roman" w:hAnsi="Times New Roman"/>
                <w:color w:val="000000"/>
                <w:sz w:val="24"/>
              </w:rPr>
              <w:t>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0B99E21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6F30D3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Особливі умови 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54F2B2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Орендар зобов’язаний:</w:t>
            </w:r>
          </w:p>
          <w:p w:rsidR="00FB2A06" w14:paraId="29387E1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до укладання договору оренди або в день підписання такого дого</w:t>
            </w:r>
            <w:r>
              <w:rPr>
                <w:rFonts w:ascii="Times New Roman" w:hAnsi="Times New Roman"/>
                <w:sz w:val="24"/>
              </w:rPr>
              <w:t xml:space="preserve">вору сплатити на рахунок </w:t>
            </w:r>
            <w:r>
              <w:rPr>
                <w:rFonts w:ascii="Times New Roman" w:hAnsi="Times New Roman"/>
                <w:sz w:val="24"/>
              </w:rPr>
              <w:t>орендадавця</w:t>
            </w:r>
            <w:r>
              <w:rPr>
                <w:rFonts w:ascii="Times New Roman" w:hAnsi="Times New Roman"/>
                <w:sz w:val="24"/>
              </w:rPr>
              <w:t xml:space="preserve">, авансовий внесок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ПДВ); </w:t>
            </w:r>
          </w:p>
          <w:p w:rsidR="00FB2A06" w14:paraId="774943C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відшкодувати управлінню з питань комунальної власності та жи</w:t>
            </w:r>
            <w:r>
              <w:rPr>
                <w:rFonts w:ascii="Times New Roman" w:hAnsi="Times New Roman"/>
                <w:sz w:val="24"/>
              </w:rPr>
              <w:t>тла Броварської міської ради Броварського району Київської області вартість проведення оцінки об’єкта оренди у розмірі 5400,00 грн</w:t>
            </w:r>
          </w:p>
        </w:tc>
      </w:tr>
      <w:tr w14:paraId="79B7F3F9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BF42F6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61CC67D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Майно передається в оренду без права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передачі в суборенду</w:t>
            </w:r>
          </w:p>
        </w:tc>
      </w:tr>
      <w:tr w14:paraId="1EF3C96A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1178DF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Вимоги до орендаря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FAF30E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173025E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982A38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Контактні дані (номер телефону і адреса електронної пошти працівника уповноваженого</w:t>
            </w:r>
            <w:r>
              <w:rPr>
                <w:rFonts w:ascii="Times New Roman" w:hAnsi="Times New Roman"/>
                <w:sz w:val="24"/>
              </w:rPr>
              <w:t xml:space="preserve"> органу для звернень про ознайомлення з об’єктом оренди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3C8387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Робочі дні: понеділок-четвер з 08:00 до 17:00,   п’ятниця з 08:00 до15:45 год.   адреса:  Київська область, Броварський район, місто Бровари, бульвар Незалежності, 2,</w:t>
            </w:r>
          </w:p>
          <w:p w:rsidR="00FB2A06" w14:paraId="632B704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 особа: Вікторія ГНАТИШЕ</w:t>
            </w:r>
            <w:r>
              <w:rPr>
                <w:rFonts w:ascii="Times New Roman" w:hAnsi="Times New Roman"/>
                <w:sz w:val="24"/>
              </w:rPr>
              <w:t xml:space="preserve">НА, </w:t>
            </w:r>
          </w:p>
          <w:p w:rsidR="00FB2A06" w14:paraId="147ED9B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телефон (04594) 7-20-52; е-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</w:rPr>
                <w:t>ukv_bmr@ukr.net</w:t>
              </w:r>
            </w:hyperlink>
          </w:p>
        </w:tc>
      </w:tr>
      <w:tr w14:paraId="3D1680AE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42EB58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передачу об’єкта без аукціону  (спосіб та дата) Кінцевий строк подання заяви   на участь, що визначається з урахуванням вимог, установленим пунк</w:t>
            </w:r>
            <w:r>
              <w:rPr>
                <w:rFonts w:ascii="Times New Roman" w:hAnsi="Times New Roman"/>
                <w:sz w:val="24"/>
              </w:rPr>
              <w:t>том 18.8 Порядку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5EF6CCA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Протягом 20 робочих днів з дати оприлюднення інформаційного повідомлення про передачу об’єкта оренди без проведення аукціону, суб’єкти, які  відповідно до Порядку мають право на оренду комунального майна Броварської міської територіальної </w:t>
            </w:r>
            <w:r>
              <w:rPr>
                <w:rFonts w:ascii="Times New Roman" w:hAnsi="Times New Roman"/>
                <w:sz w:val="24"/>
              </w:rPr>
              <w:t>громади без проведення аукціону за вказаним в інформаційному повідомленні цільовим призначенням, мають право подати заяву на оренду відповідного об’єкта оренди та додані до неї документи згідно з пунктом 18.5. цього Порядку</w:t>
            </w:r>
          </w:p>
        </w:tc>
      </w:tr>
      <w:tr w14:paraId="53B37013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35374C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Додаткова   інформація</w:t>
            </w:r>
          </w:p>
        </w:tc>
      </w:tr>
      <w:tr w14:paraId="536AC6DA" w14:textId="77777777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25DF5FD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проведення орендарем розрахунків за орендовані об’єкти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056BC9B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Броварський ліцей №10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Броварської міської ради Броварського району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Київської області </w:t>
            </w:r>
            <w:r>
              <w:rPr>
                <w:rFonts w:ascii="Times New Roman" w:hAnsi="Times New Roman"/>
                <w:sz w:val="24"/>
              </w:rPr>
              <w:t>(необхідно обов’язково зазначати призначення платежу).</w:t>
            </w:r>
          </w:p>
          <w:p w:rsidR="00FB2A06" w14:paraId="1327385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ЄДРПОУ  25657557</w:t>
            </w:r>
          </w:p>
          <w:p w:rsidR="00FB2A06" w14:paraId="62A8616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р/р UA 898201720314291003203020495</w:t>
            </w:r>
          </w:p>
          <w:p w:rsidR="00FB2A06" w14:paraId="70AD8E6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Банк: Державна казначейська служба України, м. Київ,</w:t>
            </w:r>
          </w:p>
          <w:p w:rsidR="00FB2A06" w14:paraId="4D3DB5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МФО 820172</w:t>
            </w:r>
          </w:p>
        </w:tc>
      </w:tr>
      <w:tr w14:paraId="764C851C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25B70D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інша додаткова інформація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490595B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(посилання на сторінку офіційного веб-</w:t>
            </w:r>
            <w:r>
              <w:rPr>
                <w:rFonts w:ascii="Times New Roman" w:hAnsi="Times New Roman"/>
                <w:sz w:val="24"/>
              </w:rPr>
              <w:t>са</w:t>
            </w:r>
            <w:r>
              <w:rPr>
                <w:rFonts w:ascii="Times New Roman" w:hAnsi="Times New Roman"/>
                <w:sz w:val="24"/>
              </w:rPr>
              <w:t>йта</w:t>
            </w:r>
            <w:r>
              <w:rPr>
                <w:rFonts w:ascii="Times New Roman" w:hAnsi="Times New Roman"/>
                <w:sz w:val="24"/>
              </w:rPr>
              <w:t xml:space="preserve"> адміністратора, на якій зазначені реквізити таких рахунків): https://prozorro.sale/info/elektronni-majdanchiki-ets-prozorroprodazhi-cbd2.</w:t>
            </w:r>
          </w:p>
        </w:tc>
      </w:tr>
      <w:tr w14:paraId="3A0B5BFF" w14:textId="77777777" w:rsidTr="00882543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709B6CE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Технічні реквізити оголошення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06" w14:paraId="15AD726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Єдине посилання на веб-сторінку адміністратора, на якій є посилання в </w:t>
            </w:r>
            <w:r>
              <w:rPr>
                <w:rFonts w:ascii="Times New Roman" w:hAnsi="Times New Roman"/>
                <w:sz w:val="24"/>
              </w:rPr>
              <w:t xml:space="preserve">алфавітному порядку на веб-сторінки </w:t>
            </w:r>
            <w:r>
              <w:rPr>
                <w:rFonts w:ascii="Times New Roman" w:hAnsi="Times New Roman"/>
                <w:sz w:val="24"/>
              </w:rPr>
              <w:t>операторів електронного майданчика, які мають право використовувати електронний майданчик https://prozorro.sale/</w:t>
            </w:r>
          </w:p>
        </w:tc>
      </w:tr>
    </w:tbl>
    <w:p w:rsidR="00FB2A06" w14:paraId="60D51968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FB2A06" w14:paraId="6A3C8777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FB2A06" w14:paraId="2F25D485" w14:textId="77777777">
      <w:pPr>
        <w:tabs>
          <w:tab w:val="left" w:pos="0"/>
          <w:tab w:val="left" w:pos="576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Міський голова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Ігор САПОЖКО</w:t>
      </w:r>
      <w:permEnd w:id="1"/>
    </w:p>
    <w:sectPr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A06" w14:paraId="4633C0A6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FB2A06" w14:paraId="4A7280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A06" w14:paraId="6CB33DC3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FB2A06" w14:paraId="335547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FB2A06"/>
    <w:rsid w:val="00882543"/>
    <w:rsid w:val="00931B42"/>
    <w:rsid w:val="00FB2A0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8F261"/>
  <w15:docId w15:val="{E58A7CDC-4BE7-42DF-A609-ADF54A9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4681</Words>
  <Characters>2669</Characters>
  <Application>Microsoft Office Word</Application>
  <DocSecurity>8</DocSecurity>
  <Lines>22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2025-12-15T12:07:00Z</dcterms:modified>
</cp:coreProperties>
</file>