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B142DA" w:rsidP="00B142DA" w14:paraId="0D323DDA"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ПС-493</w:t>
      </w:r>
    </w:p>
    <w:p w:rsidR="00B142DA" w:rsidP="00B142DA" w14:paraId="3C7D0E47" w14:textId="77777777">
      <w:pPr>
        <w:tabs>
          <w:tab w:val="left" w:pos="5610"/>
          <w:tab w:val="left" w:pos="6358"/>
        </w:tabs>
        <w:spacing w:after="0"/>
        <w:ind w:left="10206"/>
        <w:jc w:val="right"/>
        <w:rPr>
          <w:rFonts w:ascii="Times New Roman" w:hAnsi="Times New Roman" w:cs="Times New Roman"/>
          <w:sz w:val="28"/>
          <w:szCs w:val="28"/>
        </w:rPr>
      </w:pPr>
    </w:p>
    <w:p w:rsidR="00BE11CC" w:rsidP="00BE2C50" w14:paraId="283C3909" w14:textId="77777777">
      <w:pPr>
        <w:tabs>
          <w:tab w:val="left" w:pos="5610"/>
          <w:tab w:val="left" w:pos="6358"/>
        </w:tabs>
        <w:spacing w:after="0"/>
        <w:ind w:left="10206"/>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permStart w:id="0" w:edGrp="everyone"/>
      <w:r w:rsidR="00CC4EDA">
        <w:rPr>
          <w:rFonts w:ascii="Times New Roman" w:hAnsi="Times New Roman" w:cs="Times New Roman"/>
          <w:sz w:val="28"/>
          <w:szCs w:val="28"/>
          <w:lang w:val="en-US"/>
        </w:rPr>
        <w:t xml:space="preserve"> </w:t>
      </w:r>
    </w:p>
    <w:p w:rsidR="002A0001" w:rsidP="00BE2C50" w14:paraId="2831EEBD" w14:textId="77777777">
      <w:pPr>
        <w:tabs>
          <w:tab w:val="left" w:pos="5610"/>
          <w:tab w:val="left" w:pos="6358"/>
        </w:tabs>
        <w:spacing w:after="0"/>
        <w:ind w:left="10206"/>
        <w:jc w:val="center"/>
        <w:rPr>
          <w:rFonts w:ascii="Times New Roman" w:hAnsi="Times New Roman" w:cs="Times New Roman"/>
          <w:color w:val="000000"/>
          <w:sz w:val="26"/>
          <w:szCs w:val="26"/>
        </w:rPr>
      </w:pPr>
      <w:r w:rsidRPr="00BE11CC">
        <w:rPr>
          <w:rFonts w:ascii="Times New Roman" w:hAnsi="Times New Roman" w:cs="Times New Roman"/>
          <w:color w:val="000000"/>
          <w:sz w:val="26"/>
          <w:szCs w:val="26"/>
        </w:rPr>
        <w:t>Програми розвитку та функціонування</w:t>
      </w:r>
      <w:r>
        <w:rPr>
          <w:rFonts w:ascii="Times New Roman" w:hAnsi="Times New Roman" w:cs="Times New Roman"/>
          <w:color w:val="000000"/>
          <w:sz w:val="26"/>
          <w:szCs w:val="26"/>
        </w:rPr>
        <w:t xml:space="preserve"> </w:t>
      </w:r>
      <w:r w:rsidRPr="00BE11CC">
        <w:rPr>
          <w:rFonts w:ascii="Times New Roman" w:hAnsi="Times New Roman" w:cs="Times New Roman"/>
          <w:color w:val="000000"/>
          <w:sz w:val="26"/>
          <w:szCs w:val="26"/>
        </w:rPr>
        <w:t>української мови</w:t>
      </w:r>
      <w:r>
        <w:rPr>
          <w:rFonts w:ascii="Times New Roman" w:hAnsi="Times New Roman" w:cs="Times New Roman"/>
          <w:color w:val="000000"/>
          <w:sz w:val="26"/>
          <w:szCs w:val="26"/>
        </w:rPr>
        <w:t xml:space="preserve"> </w:t>
      </w:r>
      <w:r w:rsidRPr="00BE11CC">
        <w:rPr>
          <w:rFonts w:ascii="Times New Roman" w:hAnsi="Times New Roman" w:cs="Times New Roman"/>
          <w:color w:val="000000"/>
          <w:sz w:val="26"/>
          <w:szCs w:val="26"/>
        </w:rPr>
        <w:t>як </w:t>
      </w:r>
      <w:r>
        <w:rPr>
          <w:rFonts w:ascii="Times New Roman" w:hAnsi="Times New Roman" w:cs="Times New Roman"/>
          <w:color w:val="000000"/>
          <w:sz w:val="26"/>
          <w:szCs w:val="26"/>
        </w:rPr>
        <w:t>д</w:t>
      </w:r>
      <w:r w:rsidRPr="00BE11CC">
        <w:rPr>
          <w:rFonts w:ascii="Times New Roman" w:hAnsi="Times New Roman" w:cs="Times New Roman"/>
          <w:color w:val="000000"/>
          <w:sz w:val="26"/>
          <w:szCs w:val="26"/>
        </w:rPr>
        <w:t>ержавної в усіх сферах суспільного </w:t>
      </w:r>
    </w:p>
    <w:p w:rsidR="004208DA" w:rsidRPr="00CC4EDA" w:rsidP="00BE2C50" w14:paraId="5C916CD2" w14:textId="69AE63BC">
      <w:pPr>
        <w:tabs>
          <w:tab w:val="left" w:pos="5610"/>
          <w:tab w:val="left" w:pos="6358"/>
        </w:tabs>
        <w:spacing w:after="0"/>
        <w:ind w:left="10206"/>
        <w:jc w:val="center"/>
        <w:rPr>
          <w:rFonts w:ascii="Times New Roman" w:hAnsi="Times New Roman" w:cs="Times New Roman"/>
          <w:sz w:val="28"/>
          <w:szCs w:val="28"/>
          <w:lang w:val="en-US"/>
        </w:rPr>
      </w:pPr>
      <w:r w:rsidRPr="00BE11CC">
        <w:rPr>
          <w:rFonts w:ascii="Times New Roman" w:hAnsi="Times New Roman" w:cs="Times New Roman"/>
          <w:color w:val="000000"/>
          <w:sz w:val="26"/>
          <w:szCs w:val="26"/>
        </w:rPr>
        <w:t>життя на території</w:t>
      </w:r>
      <w:r>
        <w:rPr>
          <w:rFonts w:ascii="Times New Roman" w:hAnsi="Times New Roman" w:cs="Times New Roman"/>
          <w:color w:val="000000"/>
          <w:sz w:val="26"/>
          <w:szCs w:val="26"/>
        </w:rPr>
        <w:t xml:space="preserve"> </w:t>
      </w:r>
      <w:r w:rsidRPr="00BE11CC">
        <w:rPr>
          <w:rFonts w:ascii="Times New Roman" w:hAnsi="Times New Roman" w:cs="Times New Roman"/>
          <w:color w:val="000000"/>
          <w:sz w:val="26"/>
          <w:szCs w:val="26"/>
        </w:rPr>
        <w:t>Броварської міської територіальної громади на 2025-2027</w:t>
      </w:r>
      <w:r>
        <w:rPr>
          <w:rFonts w:ascii="Times New Roman" w:hAnsi="Times New Roman" w:cs="Times New Roman"/>
          <w:color w:val="000000"/>
          <w:sz w:val="26"/>
          <w:szCs w:val="26"/>
        </w:rPr>
        <w:t xml:space="preserve"> </w:t>
      </w:r>
      <w:r w:rsidRPr="00BE11CC">
        <w:rPr>
          <w:rFonts w:ascii="Times New Roman" w:hAnsi="Times New Roman" w:cs="Times New Roman"/>
          <w:color w:val="000000"/>
          <w:sz w:val="26"/>
          <w:szCs w:val="26"/>
        </w:rPr>
        <w:t xml:space="preserve">роки, від 27.02.2025 №2005-88-08 </w:t>
      </w:r>
      <w:r w:rsidR="00DC7B8C">
        <w:rPr>
          <w:rFonts w:ascii="Times New Roman" w:hAnsi="Times New Roman" w:cs="Times New Roman"/>
          <w:color w:val="000000"/>
          <w:sz w:val="26"/>
          <w:szCs w:val="26"/>
        </w:rPr>
        <w:t xml:space="preserve"> </w:t>
      </w:r>
      <w:r w:rsidR="00482D7B">
        <w:rPr>
          <w:rFonts w:ascii="Times New Roman" w:hAnsi="Times New Roman" w:cs="Times New Roman"/>
          <w:color w:val="000000"/>
          <w:sz w:val="26"/>
          <w:szCs w:val="26"/>
        </w:rPr>
        <w:t xml:space="preserve">                   </w:t>
      </w:r>
      <w:r w:rsidR="00DC7B8C">
        <w:rPr>
          <w:rFonts w:ascii="Times New Roman" w:hAnsi="Times New Roman" w:cs="Times New Roman"/>
          <w:color w:val="000000"/>
          <w:sz w:val="26"/>
          <w:szCs w:val="26"/>
        </w:rPr>
        <w:t xml:space="preserve">  </w:t>
      </w:r>
      <w:r w:rsidRPr="00BE11CC" w:rsidR="00DC7B8C">
        <w:rPr>
          <w:rFonts w:ascii="Times New Roman" w:hAnsi="Times New Roman" w:cs="Times New Roman"/>
          <w:color w:val="000000"/>
          <w:sz w:val="26"/>
          <w:szCs w:val="26"/>
        </w:rPr>
        <w:t>в</w:t>
      </w:r>
      <w:r w:rsidR="00DC7B8C">
        <w:rPr>
          <w:rFonts w:ascii="Times New Roman" w:hAnsi="Times New Roman" w:cs="Times New Roman"/>
          <w:color w:val="000000"/>
          <w:sz w:val="26"/>
          <w:szCs w:val="26"/>
        </w:rPr>
        <w:t xml:space="preserve"> </w:t>
      </w:r>
      <w:r w:rsidRPr="00BE11CC" w:rsidR="00DC7B8C">
        <w:rPr>
          <w:rFonts w:ascii="Times New Roman" w:hAnsi="Times New Roman" w:cs="Times New Roman"/>
          <w:color w:val="000000"/>
          <w:sz w:val="26"/>
          <w:szCs w:val="26"/>
        </w:rPr>
        <w:t>редакції</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617517" w:rsidRPr="00EA126F" w:rsidP="00BE11CC" w14:paraId="30BC272F" w14:textId="5B4CE66D">
      <w:pPr>
        <w:spacing w:after="0"/>
        <w:jc w:val="center"/>
        <w:rPr>
          <w:rFonts w:ascii="Times New Roman" w:hAnsi="Times New Roman" w:cs="Times New Roman"/>
          <w:sz w:val="28"/>
          <w:szCs w:val="28"/>
        </w:rPr>
      </w:pPr>
      <w:permStart w:id="1" w:edGrp="everyone"/>
      <w:r w:rsidRPr="00BE11CC">
        <w:rPr>
          <w:rFonts w:ascii="Times New Roman" w:hAnsi="Times New Roman" w:cs="Times New Roman"/>
          <w:b/>
          <w:bCs/>
          <w:color w:val="000000"/>
          <w:sz w:val="28"/>
          <w:szCs w:val="28"/>
        </w:rPr>
        <w:t>Перелік завдань і заходів програми та очікувані результати</w:t>
      </w:r>
    </w:p>
    <w:tbl>
      <w:tblPr>
        <w:tblW w:w="15583" w:type="dxa"/>
        <w:tblInd w:w="-575" w:type="dxa"/>
        <w:tblLayout w:type="fixed"/>
        <w:tblCellMar>
          <w:top w:w="15" w:type="dxa"/>
          <w:left w:w="15" w:type="dxa"/>
          <w:bottom w:w="15" w:type="dxa"/>
          <w:right w:w="15" w:type="dxa"/>
        </w:tblCellMar>
        <w:tblLook w:val="04A0"/>
      </w:tblPr>
      <w:tblGrid>
        <w:gridCol w:w="425"/>
        <w:gridCol w:w="2956"/>
        <w:gridCol w:w="4132"/>
        <w:gridCol w:w="1055"/>
        <w:gridCol w:w="1922"/>
        <w:gridCol w:w="1843"/>
        <w:gridCol w:w="3250"/>
      </w:tblGrid>
      <w:tr w14:paraId="58F7C9D4"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BE11CC" w:rsidRPr="008F79F2" w:rsidP="00C434C8" w14:paraId="21A58A54"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 п/п</w:t>
            </w:r>
          </w:p>
        </w:tc>
        <w:tc>
          <w:tcPr>
            <w:tcW w:w="2956" w:type="dxa"/>
            <w:tcBorders>
              <w:top w:val="single" w:sz="6" w:space="0" w:color="auto"/>
              <w:left w:val="single" w:sz="6" w:space="0" w:color="auto"/>
              <w:bottom w:val="nil"/>
              <w:right w:val="nil"/>
            </w:tcBorders>
            <w:shd w:val="clear" w:color="auto" w:fill="FFFFFF"/>
            <w:tcMar>
              <w:top w:w="15" w:type="dxa"/>
              <w:left w:w="20" w:type="dxa"/>
              <w:bottom w:w="15" w:type="dxa"/>
              <w:right w:w="20" w:type="dxa"/>
            </w:tcMar>
            <w:hideMark/>
          </w:tcPr>
          <w:p w:rsidR="00BE11CC" w:rsidRPr="008F79F2" w:rsidP="00C434C8" w14:paraId="66B8768E"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Завдання програми</w:t>
            </w:r>
          </w:p>
        </w:tc>
        <w:tc>
          <w:tcPr>
            <w:tcW w:w="4132" w:type="dxa"/>
            <w:tcBorders>
              <w:top w:val="single" w:sz="6" w:space="0" w:color="auto"/>
              <w:left w:val="single" w:sz="6" w:space="0" w:color="auto"/>
              <w:bottom w:val="nil"/>
              <w:right w:val="nil"/>
            </w:tcBorders>
            <w:shd w:val="clear" w:color="auto" w:fill="FFFFFF"/>
            <w:tcMar>
              <w:top w:w="15" w:type="dxa"/>
              <w:left w:w="20" w:type="dxa"/>
              <w:bottom w:w="15" w:type="dxa"/>
              <w:right w:w="20" w:type="dxa"/>
            </w:tcMar>
            <w:hideMark/>
          </w:tcPr>
          <w:p w:rsidR="00BE11CC" w:rsidRPr="008F79F2" w:rsidP="00C434C8" w14:paraId="4DA90EB6"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Заходи програми</w:t>
            </w:r>
          </w:p>
        </w:tc>
        <w:tc>
          <w:tcPr>
            <w:tcW w:w="1055"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BE11CC" w:rsidRPr="008F79F2" w:rsidP="00C434C8" w14:paraId="69A62FE3"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Термін виконання</w:t>
            </w:r>
          </w:p>
        </w:tc>
        <w:tc>
          <w:tcPr>
            <w:tcW w:w="1922" w:type="dxa"/>
            <w:tcBorders>
              <w:top w:val="single" w:sz="6" w:space="0" w:color="auto"/>
              <w:left w:val="single" w:sz="6" w:space="0" w:color="auto"/>
              <w:bottom w:val="nil"/>
              <w:right w:val="nil"/>
            </w:tcBorders>
            <w:shd w:val="clear" w:color="auto" w:fill="FFFFFF"/>
            <w:tcMar>
              <w:top w:w="15" w:type="dxa"/>
              <w:left w:w="20" w:type="dxa"/>
              <w:bottom w:w="15" w:type="dxa"/>
              <w:right w:w="20" w:type="dxa"/>
            </w:tcMar>
            <w:hideMark/>
          </w:tcPr>
          <w:p w:rsidR="00BE11CC" w:rsidRPr="008F79F2" w:rsidP="00C434C8" w14:paraId="2787F427"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Виконавці</w:t>
            </w:r>
          </w:p>
        </w:tc>
        <w:tc>
          <w:tcPr>
            <w:tcW w:w="1843"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BE11CC" w:rsidRPr="008F79F2" w:rsidP="00C434C8" w14:paraId="25AE4A18"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Обсяги фінансування</w:t>
            </w:r>
          </w:p>
        </w:tc>
        <w:tc>
          <w:tcPr>
            <w:tcW w:w="3250" w:type="dxa"/>
            <w:tcBorders>
              <w:top w:val="single" w:sz="6" w:space="0" w:color="auto"/>
              <w:left w:val="single" w:sz="6" w:space="0" w:color="auto"/>
              <w:bottom w:val="nil"/>
              <w:right w:val="single" w:sz="6" w:space="0" w:color="auto"/>
            </w:tcBorders>
            <w:shd w:val="clear" w:color="auto" w:fill="FFFFFF"/>
            <w:tcMar>
              <w:top w:w="15" w:type="dxa"/>
              <w:left w:w="20" w:type="dxa"/>
              <w:bottom w:w="15" w:type="dxa"/>
              <w:right w:w="20" w:type="dxa"/>
            </w:tcMar>
            <w:hideMark/>
          </w:tcPr>
          <w:p w:rsidR="00BE11CC" w:rsidRPr="008F79F2" w:rsidP="00C434C8" w14:paraId="2A5D50F6"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Очікуваний результат</w:t>
            </w:r>
          </w:p>
        </w:tc>
      </w:tr>
      <w:tr w14:paraId="73142FAD" w14:textId="77777777" w:rsidTr="00BE11CC">
        <w:tblPrEx>
          <w:tblW w:w="15583" w:type="dxa"/>
          <w:tblInd w:w="-575" w:type="dxa"/>
          <w:tblLayout w:type="fixed"/>
          <w:tblCellMar>
            <w:top w:w="15" w:type="dxa"/>
            <w:left w:w="15" w:type="dxa"/>
            <w:bottom w:w="15" w:type="dxa"/>
            <w:right w:w="15" w:type="dxa"/>
          </w:tblCellMar>
          <w:tblLook w:val="04A0"/>
        </w:tblPrEx>
        <w:trPr>
          <w:trHeight w:val="342"/>
        </w:trPr>
        <w:tc>
          <w:tcPr>
            <w:tcW w:w="425"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BE11CC" w:rsidRPr="008F79F2" w:rsidP="00C434C8" w14:paraId="3506A966" w14:textId="77777777">
            <w:pPr>
              <w:jc w:val="center"/>
              <w:rPr>
                <w:rFonts w:ascii="Times New Roman" w:eastAsia="Times New Roman" w:hAnsi="Times New Roman" w:cs="Times New Roman"/>
              </w:rPr>
            </w:pPr>
            <w:r w:rsidRPr="008F79F2">
              <w:rPr>
                <w:rFonts w:ascii="Times New Roman" w:eastAsia="Times New Roman" w:hAnsi="Times New Roman" w:cs="Times New Roman"/>
              </w:rPr>
              <w:t>1</w:t>
            </w:r>
          </w:p>
        </w:tc>
        <w:tc>
          <w:tcPr>
            <w:tcW w:w="2956"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BE11CC" w:rsidRPr="008F79F2" w:rsidP="00C434C8" w14:paraId="5B9D90A9" w14:textId="77777777">
            <w:pPr>
              <w:jc w:val="center"/>
              <w:rPr>
                <w:rFonts w:ascii="Times New Roman" w:eastAsia="Times New Roman" w:hAnsi="Times New Roman" w:cs="Times New Roman"/>
              </w:rPr>
            </w:pPr>
            <w:r w:rsidRPr="008F79F2">
              <w:rPr>
                <w:rFonts w:ascii="Times New Roman" w:eastAsia="Times New Roman" w:hAnsi="Times New Roman" w:cs="Times New Roman"/>
              </w:rPr>
              <w:t>2</w:t>
            </w:r>
          </w:p>
        </w:tc>
        <w:tc>
          <w:tcPr>
            <w:tcW w:w="4132"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BE11CC" w:rsidRPr="008F79F2" w:rsidP="00C434C8" w14:paraId="46C37EBB" w14:textId="77777777">
            <w:pPr>
              <w:jc w:val="center"/>
              <w:rPr>
                <w:rFonts w:ascii="Times New Roman" w:eastAsia="Times New Roman" w:hAnsi="Times New Roman" w:cs="Times New Roman"/>
              </w:rPr>
            </w:pPr>
            <w:r w:rsidRPr="008F79F2">
              <w:rPr>
                <w:rFonts w:ascii="Times New Roman" w:eastAsia="Times New Roman" w:hAnsi="Times New Roman" w:cs="Times New Roman"/>
              </w:rPr>
              <w:t>3</w:t>
            </w:r>
          </w:p>
        </w:tc>
        <w:tc>
          <w:tcPr>
            <w:tcW w:w="1055"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BE11CC" w:rsidRPr="008F79F2" w:rsidP="00C434C8" w14:paraId="54E1B5E2" w14:textId="77777777">
            <w:pPr>
              <w:jc w:val="center"/>
              <w:rPr>
                <w:rFonts w:ascii="Times New Roman" w:eastAsia="Times New Roman" w:hAnsi="Times New Roman" w:cs="Times New Roman"/>
              </w:rPr>
            </w:pPr>
            <w:r w:rsidRPr="008F79F2">
              <w:rPr>
                <w:rFonts w:ascii="Times New Roman" w:eastAsia="Times New Roman" w:hAnsi="Times New Roman" w:cs="Times New Roman"/>
              </w:rPr>
              <w:t>4</w:t>
            </w:r>
          </w:p>
        </w:tc>
        <w:tc>
          <w:tcPr>
            <w:tcW w:w="1922"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BE11CC" w:rsidRPr="008F79F2" w:rsidP="00C434C8" w14:paraId="720B72CB" w14:textId="77777777">
            <w:pPr>
              <w:jc w:val="center"/>
              <w:rPr>
                <w:rFonts w:ascii="Times New Roman" w:eastAsia="Times New Roman" w:hAnsi="Times New Roman" w:cs="Times New Roman"/>
              </w:rPr>
            </w:pPr>
            <w:r w:rsidRPr="008F79F2">
              <w:rPr>
                <w:rFonts w:ascii="Times New Roman" w:eastAsia="Times New Roman" w:hAnsi="Times New Roman" w:cs="Times New Roman"/>
              </w:rPr>
              <w:t>5</w:t>
            </w:r>
          </w:p>
        </w:tc>
        <w:tc>
          <w:tcPr>
            <w:tcW w:w="1843"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BE11CC" w:rsidRPr="008F79F2" w:rsidP="00C434C8" w14:paraId="3C3FD1D4" w14:textId="77777777">
            <w:pPr>
              <w:jc w:val="center"/>
              <w:rPr>
                <w:rFonts w:ascii="Times New Roman" w:eastAsia="Times New Roman" w:hAnsi="Times New Roman" w:cs="Times New Roman"/>
              </w:rPr>
            </w:pPr>
            <w:r w:rsidRPr="008F79F2">
              <w:rPr>
                <w:rFonts w:ascii="Times New Roman" w:eastAsia="Times New Roman" w:hAnsi="Times New Roman" w:cs="Times New Roman"/>
              </w:rPr>
              <w:t>6</w:t>
            </w:r>
          </w:p>
        </w:tc>
        <w:tc>
          <w:tcPr>
            <w:tcW w:w="3250" w:type="dxa"/>
            <w:tcBorders>
              <w:top w:val="single" w:sz="6" w:space="0" w:color="auto"/>
              <w:left w:val="single" w:sz="6" w:space="0" w:color="auto"/>
              <w:bottom w:val="nil"/>
              <w:right w:val="single" w:sz="6" w:space="0" w:color="auto"/>
            </w:tcBorders>
            <w:shd w:val="clear" w:color="auto" w:fill="FFFFFF"/>
            <w:tcMar>
              <w:top w:w="15" w:type="dxa"/>
              <w:left w:w="20" w:type="dxa"/>
              <w:bottom w:w="15" w:type="dxa"/>
              <w:right w:w="20" w:type="dxa"/>
            </w:tcMar>
            <w:vAlign w:val="bottom"/>
            <w:hideMark/>
          </w:tcPr>
          <w:p w:rsidR="00BE11CC" w:rsidRPr="008F79F2" w:rsidP="00C434C8" w14:paraId="7761840F" w14:textId="77777777">
            <w:pPr>
              <w:jc w:val="center"/>
              <w:rPr>
                <w:rFonts w:ascii="Times New Roman" w:eastAsia="Times New Roman" w:hAnsi="Times New Roman" w:cs="Times New Roman"/>
              </w:rPr>
            </w:pPr>
            <w:r w:rsidRPr="008F79F2">
              <w:rPr>
                <w:rFonts w:ascii="Times New Roman" w:eastAsia="Times New Roman" w:hAnsi="Times New Roman" w:cs="Times New Roman"/>
              </w:rPr>
              <w:t>7</w:t>
            </w:r>
          </w:p>
        </w:tc>
      </w:tr>
      <w:tr w14:paraId="1C89B0D0"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8760658"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p w:rsidR="00BE11CC" w:rsidRPr="008F79F2" w:rsidP="00C434C8" w14:paraId="12DE399C"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BE11CC" w14:paraId="7254CEC4" w14:textId="77777777">
            <w:pPr>
              <w:spacing w:after="0"/>
              <w:jc w:val="both"/>
              <w:rPr>
                <w:rFonts w:ascii="Times New Roman" w:eastAsia="Times New Roman" w:hAnsi="Times New Roman" w:cs="Times New Roman"/>
              </w:rPr>
            </w:pPr>
            <w:r w:rsidRPr="008F79F2">
              <w:rPr>
                <w:rFonts w:ascii="Times New Roman" w:eastAsia="Times New Roman" w:hAnsi="Times New Roman" w:cs="Times New Roman"/>
              </w:rPr>
              <w:t>1.Зміцнення державного статусу української мови, вироблення дієвого механізму її захисту, розвитку та популяризації</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A8D1EC7" w14:textId="77777777">
            <w:pPr>
              <w:rPr>
                <w:rFonts w:ascii="Times New Roman" w:eastAsia="Times New Roman" w:hAnsi="Times New Roman" w:cs="Times New Roman"/>
              </w:rPr>
            </w:pPr>
            <w:r w:rsidRPr="008F79F2">
              <w:rPr>
                <w:rFonts w:ascii="Times New Roman" w:eastAsia="Times New Roman" w:hAnsi="Times New Roman" w:cs="Times New Roman"/>
              </w:rPr>
              <w:t>1.1.Проведення моніторингу мовно- культурної ситуації та функціонування української мови в різних сферах життя у громаді</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2E28F95"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BE11CC" w14:paraId="58AB386B"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w:t>
            </w:r>
          </w:p>
          <w:p w:rsidR="00BE11CC" w:rsidRPr="008F79F2" w:rsidP="00BE11CC" w14:paraId="3BA0534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0A7FF60"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BE11CC" w14:paraId="17FCAFE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Отримання об'єктивної інформації про стан розвитку та функціонування української мови в усіх сферах суспільного</w:t>
            </w:r>
          </w:p>
          <w:p w:rsidR="00BE11CC" w:rsidRPr="008F79F2" w:rsidP="00BE11CC" w14:paraId="53F553A9"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життя, збереження</w:t>
            </w:r>
          </w:p>
          <w:p w:rsidR="00BE11CC" w:rsidRPr="008F79F2" w:rsidP="00BE11CC" w14:paraId="05976851"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української культури на території громади</w:t>
            </w:r>
          </w:p>
        </w:tc>
      </w:tr>
      <w:tr w14:paraId="4157494B"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950D6AE"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D48B71D"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9A5AE93" w14:textId="77777777">
            <w:pPr>
              <w:rPr>
                <w:rFonts w:ascii="Times New Roman" w:eastAsia="Times New Roman" w:hAnsi="Times New Roman" w:cs="Times New Roman"/>
              </w:rPr>
            </w:pPr>
            <w:r w:rsidRPr="008F79F2">
              <w:rPr>
                <w:rFonts w:ascii="Times New Roman" w:eastAsia="Times New Roman" w:hAnsi="Times New Roman" w:cs="Times New Roman"/>
              </w:rPr>
              <w:t>1.2. Забезпечення дотримання законодавства про державну мову у відповідних сферах суспільного життя та території громади, в тому числі, виробниками товарів, надавачами послуг та виконавцями робіт, при здійсненні обслуговування споживачів у сферах торгівлі, транспорту, громадського харчування, побутового, соціального та медичного обслуговування тощо</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4270B7A"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8F02B81"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0C1A1CB"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BE11CC" w14:paraId="2F68CFD9"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Забезпечення вимог чинного законодавства України про мову, зміцнення державного статусу української</w:t>
            </w:r>
          </w:p>
          <w:p w:rsidR="00BE11CC" w:rsidRPr="008F79F2" w:rsidP="00BE11CC" w14:paraId="62FA8F4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мови, сприяння зміцненню та утвердженню української мови як державної в усіх сферах суспільного життя, формування якісного україномовного середовища</w:t>
            </w:r>
          </w:p>
        </w:tc>
      </w:tr>
      <w:tr w14:paraId="1CE00673"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CA3AC6B"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E1A6D79"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6E68451" w14:textId="77777777">
            <w:pPr>
              <w:rPr>
                <w:rFonts w:ascii="Times New Roman" w:eastAsia="Times New Roman" w:hAnsi="Times New Roman" w:cs="Times New Roman"/>
              </w:rPr>
            </w:pPr>
            <w:r w:rsidRPr="008F79F2">
              <w:rPr>
                <w:rFonts w:ascii="Times New Roman" w:eastAsia="Times New Roman" w:hAnsi="Times New Roman" w:cs="Times New Roman"/>
              </w:rPr>
              <w:t>1.3. Забезпечення виконання вимог нормативно-правових актів щодо функціонування державної мови під час проведення публічних заходів, інформаційних кампаній, культурно-масових, освітніх та молодіжних заходів</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46EC43C"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86AFD1A"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B7C96FA"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05B8C812" w14:textId="77777777">
            <w:pPr>
              <w:rPr>
                <w:rFonts w:ascii="Times New Roman" w:eastAsia="Times New Roman" w:hAnsi="Times New Roman" w:cs="Times New Roman"/>
              </w:rPr>
            </w:pPr>
            <w:r w:rsidRPr="008F79F2">
              <w:rPr>
                <w:rFonts w:ascii="Times New Roman" w:eastAsia="Times New Roman" w:hAnsi="Times New Roman" w:cs="Times New Roman"/>
              </w:rPr>
              <w:t>Забезпечення вимог чинного законодавства України про мову, зміцнення державного статусу української мови, сприяння зміцненню та утвердженню української мови як державної в усіх сферах суспільного життя, формування якісного україномовного середовища</w:t>
            </w:r>
          </w:p>
        </w:tc>
      </w:tr>
      <w:tr w14:paraId="4E977614"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9642E30"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34CBB0E"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1B0FD32"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1.4. Забезпечення контролю за поданням інформації українською мовою на об'єктах інформаційно- </w:t>
            </w:r>
            <w:r w:rsidRPr="008F79F2">
              <w:rPr>
                <w:rFonts w:ascii="Times New Roman" w:eastAsia="Times New Roman" w:hAnsi="Times New Roman" w:cs="Times New Roman"/>
              </w:rPr>
              <w:t>орієнтаційної</w:t>
            </w:r>
            <w:r w:rsidRPr="008F79F2">
              <w:rPr>
                <w:rFonts w:ascii="Times New Roman" w:eastAsia="Times New Roman" w:hAnsi="Times New Roman" w:cs="Times New Roman"/>
              </w:rPr>
              <w:t xml:space="preserve"> системи населених пунктів і територій (вуличні вказівники, </w:t>
            </w:r>
            <w:r w:rsidRPr="008F79F2">
              <w:rPr>
                <w:rFonts w:ascii="Times New Roman" w:eastAsia="Times New Roman" w:hAnsi="Times New Roman" w:cs="Times New Roman"/>
              </w:rPr>
              <w:t xml:space="preserve">адресні покажчики, дорожні знаки, інформаційні табло, зовнішня реклама тощо) з дотриманням вимог чинного </w:t>
            </w:r>
            <w:r w:rsidRPr="008F79F2">
              <w:rPr>
                <w:rFonts w:ascii="Times New Roman" w:eastAsia="Times New Roman" w:hAnsi="Times New Roman" w:cs="Times New Roman"/>
              </w:rPr>
              <w:t>мовного</w:t>
            </w:r>
            <w:r w:rsidRPr="008F79F2">
              <w:rPr>
                <w:rFonts w:ascii="Times New Roman" w:eastAsia="Times New Roman" w:hAnsi="Times New Roman" w:cs="Times New Roman"/>
              </w:rPr>
              <w:t xml:space="preserve"> законодавства</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DEE63C5"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D765908"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04240ED"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BE11CC" w14:paraId="68C1A6B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Забезпечення вимог</w:t>
            </w:r>
          </w:p>
          <w:p w:rsidR="00BE11CC" w:rsidRPr="008F79F2" w:rsidP="00BE11CC" w14:paraId="682522B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чинного законодавства України про мову,</w:t>
            </w:r>
          </w:p>
          <w:p w:rsidR="00BE11CC" w:rsidRPr="008F79F2" w:rsidP="00C434C8" w14:paraId="73B22384" w14:textId="77777777">
            <w:pPr>
              <w:rPr>
                <w:rFonts w:ascii="Times New Roman" w:eastAsia="Times New Roman" w:hAnsi="Times New Roman" w:cs="Times New Roman"/>
              </w:rPr>
            </w:pPr>
            <w:r w:rsidRPr="008F79F2">
              <w:rPr>
                <w:rFonts w:ascii="Times New Roman" w:eastAsia="Times New Roman" w:hAnsi="Times New Roman" w:cs="Times New Roman"/>
              </w:rPr>
              <w:t>зміцнення державного статусу української</w:t>
            </w:r>
          </w:p>
          <w:p w:rsidR="00BE11CC" w:rsidRPr="008F79F2" w:rsidP="00F97381" w14:paraId="14097904"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мови, сприяння</w:t>
            </w:r>
          </w:p>
          <w:p w:rsidR="00BE11CC" w:rsidRPr="008F79F2" w:rsidP="00F97381" w14:paraId="4A743DE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зміцненню та</w:t>
            </w:r>
          </w:p>
          <w:p w:rsidR="00BE11CC" w:rsidRPr="008F79F2" w:rsidP="00F97381" w14:paraId="6876E01D"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утвердженню української мови як державної в усіх сферах суспільного життя,</w:t>
            </w:r>
          </w:p>
          <w:p w:rsidR="00BE11CC" w:rsidRPr="008F79F2" w:rsidP="00F97381" w14:paraId="3380B0A5"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формування якісного</w:t>
            </w:r>
          </w:p>
          <w:p w:rsidR="00BE11CC" w:rsidRPr="008F79F2" w:rsidP="00F97381" w14:paraId="6B058A4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україномовного середовища</w:t>
            </w:r>
          </w:p>
        </w:tc>
      </w:tr>
      <w:tr w14:paraId="41EB218B"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399A978"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9073004"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3C9F7FA"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1.5. 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xml:space="preserve">, проведення конференцій, форумів, соціологічних досліджень, інших заходів з питань формування та реалізації державної </w:t>
            </w:r>
            <w:r w:rsidRPr="008F79F2">
              <w:rPr>
                <w:rFonts w:ascii="Times New Roman" w:eastAsia="Times New Roman" w:hAnsi="Times New Roman" w:cs="Times New Roman"/>
              </w:rPr>
              <w:t>мовної</w:t>
            </w:r>
            <w:r w:rsidRPr="008F79F2">
              <w:rPr>
                <w:rFonts w:ascii="Times New Roman" w:eastAsia="Times New Roman" w:hAnsi="Times New Roman" w:cs="Times New Roman"/>
              </w:rPr>
              <w:t xml:space="preserve"> політики в громаді</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63AE239" w14:textId="77777777">
            <w:pPr>
              <w:rPr>
                <w:rFonts w:ascii="Times New Roman" w:eastAsia="Times New Roman" w:hAnsi="Times New Roman" w:cs="Times New Roman"/>
              </w:rPr>
            </w:pPr>
            <w:r w:rsidRPr="008F79F2">
              <w:rPr>
                <w:rFonts w:ascii="Times New Roman" w:eastAsia="Times New Roman" w:hAnsi="Times New Roman" w:cs="Times New Roman"/>
              </w:rPr>
              <w:t>2025</w:t>
            </w:r>
          </w:p>
          <w:p w:rsidR="00BE11CC" w:rsidRPr="008F79F2" w:rsidP="00C434C8" w14:paraId="4C058B95" w14:textId="77777777">
            <w:pPr>
              <w:rPr>
                <w:rFonts w:ascii="Times New Roman" w:eastAsia="Times New Roman" w:hAnsi="Times New Roman" w:cs="Times New Roman"/>
              </w:rPr>
            </w:pPr>
            <w:r w:rsidRPr="008F79F2">
              <w:rPr>
                <w:rFonts w:ascii="Times New Roman" w:eastAsia="Times New Roman" w:hAnsi="Times New Roman" w:cs="Times New Roman"/>
              </w:rPr>
              <w:t>2026</w:t>
            </w:r>
          </w:p>
          <w:p w:rsidR="00BE11CC" w:rsidRPr="008F79F2" w:rsidP="00C434C8" w14:paraId="0BC8BC1B" w14:textId="77777777">
            <w:pPr>
              <w:rPr>
                <w:rFonts w:ascii="Times New Roman" w:eastAsia="Times New Roman" w:hAnsi="Times New Roman" w:cs="Times New Roman"/>
              </w:rPr>
            </w:pPr>
            <w:r w:rsidRPr="008F79F2">
              <w:rPr>
                <w:rFonts w:ascii="Times New Roman" w:eastAsia="Times New Roman" w:hAnsi="Times New Roman" w:cs="Times New Roman"/>
              </w:rPr>
              <w:t>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EE51DA5"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6AF0182"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10 </w:t>
            </w:r>
            <w:r w:rsidRPr="008F79F2">
              <w:rPr>
                <w:rFonts w:ascii="Times New Roman" w:eastAsia="Times New Roman" w:hAnsi="Times New Roman" w:cs="Times New Roman"/>
              </w:rPr>
              <w:t>тис.грн</w:t>
            </w:r>
            <w:r w:rsidRPr="008F79F2">
              <w:rPr>
                <w:rFonts w:ascii="Times New Roman" w:eastAsia="Times New Roman" w:hAnsi="Times New Roman" w:cs="Times New Roman"/>
              </w:rPr>
              <w:t>.</w:t>
            </w:r>
          </w:p>
          <w:p w:rsidR="00BE11CC" w:rsidRPr="008F79F2" w:rsidP="00C434C8" w14:paraId="22D9A568"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30 </w:t>
            </w:r>
            <w:r w:rsidRPr="008F79F2">
              <w:rPr>
                <w:rFonts w:ascii="Times New Roman" w:eastAsia="Times New Roman" w:hAnsi="Times New Roman" w:cs="Times New Roman"/>
              </w:rPr>
              <w:t>тис.грн</w:t>
            </w:r>
            <w:r w:rsidRPr="008F79F2">
              <w:rPr>
                <w:rFonts w:ascii="Times New Roman" w:eastAsia="Times New Roman" w:hAnsi="Times New Roman" w:cs="Times New Roman"/>
              </w:rPr>
              <w:t>.</w:t>
            </w:r>
          </w:p>
          <w:p w:rsidR="00BE11CC" w:rsidRPr="008F79F2" w:rsidP="00C434C8" w14:paraId="12AB3DB5" w14:textId="7344AF97">
            <w:pPr>
              <w:rPr>
                <w:rFonts w:ascii="Times New Roman" w:eastAsia="Times New Roman" w:hAnsi="Times New Roman" w:cs="Times New Roman"/>
              </w:rPr>
            </w:pPr>
            <w:r w:rsidRPr="002A0001">
              <w:rPr>
                <w:rFonts w:ascii="Times New Roman" w:eastAsia="Times New Roman" w:hAnsi="Times New Roman" w:cs="Times New Roman"/>
                <w:lang w:val="ru-RU"/>
              </w:rPr>
              <w:t>3</w:t>
            </w:r>
            <w:r w:rsidRPr="008F79F2">
              <w:rPr>
                <w:rFonts w:ascii="Times New Roman" w:eastAsia="Times New Roman" w:hAnsi="Times New Roman" w:cs="Times New Roman"/>
              </w:rPr>
              <w:t>0 тис. грн.</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F97381" w14:paraId="4E6B01B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Зміцнення статусу української мови</w:t>
            </w:r>
          </w:p>
          <w:p w:rsidR="00BE11CC" w:rsidRPr="008F79F2" w:rsidP="00F97381" w14:paraId="7A2D0BA9"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вироблення дієвого</w:t>
            </w:r>
          </w:p>
          <w:p w:rsidR="00BE11CC" w:rsidRPr="008F79F2" w:rsidP="00F97381" w14:paraId="2D25583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механізму її захисту, розвитку та</w:t>
            </w:r>
          </w:p>
          <w:p w:rsidR="00BE11CC" w:rsidRPr="008F79F2" w:rsidP="00F97381" w14:paraId="0CB61FB5"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популяризації, формування якісного україномовного середовища</w:t>
            </w:r>
          </w:p>
        </w:tc>
      </w:tr>
      <w:tr w14:paraId="0294EA60"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472B393"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F6005B0"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1C7115F"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1.6.Участь у Всеукраїнському </w:t>
            </w:r>
            <w:r w:rsidRPr="008F79F2">
              <w:rPr>
                <w:rFonts w:ascii="Times New Roman" w:eastAsia="Times New Roman" w:hAnsi="Times New Roman" w:cs="Times New Roman"/>
              </w:rPr>
              <w:t>радіодиктанті</w:t>
            </w:r>
            <w:r w:rsidRPr="008F79F2">
              <w:rPr>
                <w:rFonts w:ascii="Times New Roman" w:eastAsia="Times New Roman" w:hAnsi="Times New Roman" w:cs="Times New Roman"/>
              </w:rPr>
              <w:t xml:space="preserve"> національної єдності</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CF23AA8"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3C1345E"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602E539"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282084D7" w14:textId="77777777">
            <w:pPr>
              <w:rPr>
                <w:rFonts w:ascii="Times New Roman" w:eastAsia="Times New Roman" w:hAnsi="Times New Roman" w:cs="Times New Roman"/>
              </w:rPr>
            </w:pPr>
            <w:r w:rsidRPr="008F79F2">
              <w:rPr>
                <w:rFonts w:ascii="Times New Roman" w:eastAsia="Times New Roman" w:hAnsi="Times New Roman" w:cs="Times New Roman"/>
              </w:rPr>
              <w:t>Підвищення престижу української мови, її ролі як національної цінності та важливого атрибута національної ідентичності</w:t>
            </w:r>
          </w:p>
        </w:tc>
      </w:tr>
      <w:tr w14:paraId="6D83ACCA"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5F0162E"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68FAA20"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07E35B6" w14:textId="77777777">
            <w:pPr>
              <w:rPr>
                <w:rFonts w:ascii="Times New Roman" w:eastAsia="Times New Roman" w:hAnsi="Times New Roman" w:cs="Times New Roman"/>
              </w:rPr>
            </w:pPr>
            <w:r w:rsidRPr="008F79F2">
              <w:rPr>
                <w:rFonts w:ascii="Times New Roman" w:eastAsia="Times New Roman" w:hAnsi="Times New Roman" w:cs="Times New Roman"/>
              </w:rPr>
              <w:t>1.7. Організація постійних туристичних маршрутів історичними місцями державотворення України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69F3249" w14:textId="327138EC">
            <w:pPr>
              <w:rPr>
                <w:rFonts w:ascii="Times New Roman" w:eastAsia="Times New Roman" w:hAnsi="Times New Roman" w:cs="Times New Roman"/>
              </w:rPr>
            </w:pPr>
            <w:r w:rsidRPr="008F79F2">
              <w:rPr>
                <w:rFonts w:ascii="Times New Roman" w:eastAsia="Times New Roman" w:hAnsi="Times New Roman" w:cs="Times New Roman"/>
              </w:rPr>
              <w:t>2025</w:t>
            </w:r>
            <w:r w:rsidR="00EA4FE1">
              <w:rPr>
                <w:rFonts w:ascii="Times New Roman" w:eastAsia="Times New Roman" w:hAnsi="Times New Roman" w:cs="Times New Roman"/>
                <w:lang w:val="en-US"/>
              </w:rPr>
              <w:t>-</w:t>
            </w:r>
            <w:r w:rsidRPr="008F79F2">
              <w:rPr>
                <w:rFonts w:ascii="Times New Roman" w:eastAsia="Times New Roman" w:hAnsi="Times New Roman" w:cs="Times New Roman"/>
              </w:rPr>
              <w:t>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4590AD6"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33F4C2E" w14:textId="16F448D2">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p w:rsidR="00BE11CC" w:rsidRPr="008F79F2" w:rsidP="00C434C8" w14:paraId="7E5A4844" w14:textId="02C07C69">
            <w:pPr>
              <w:rPr>
                <w:rFonts w:ascii="Times New Roman" w:eastAsia="Times New Roman" w:hAnsi="Times New Roman" w:cs="Times New Roman"/>
              </w:rPr>
            </w:pP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F97381" w14:paraId="6893447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Розвиток організованого молодіжного туризму, популяризації історичної та культурної спадщини регіону, формування</w:t>
            </w:r>
          </w:p>
          <w:p w:rsidR="00BE11CC" w:rsidRPr="008F79F2" w:rsidP="00F97381" w14:paraId="74B5D16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комфортного та</w:t>
            </w:r>
          </w:p>
          <w:p w:rsidR="00BE11CC" w:rsidRPr="008F79F2" w:rsidP="00C434C8" w14:paraId="7E2F769E" w14:textId="77777777">
            <w:pPr>
              <w:rPr>
                <w:rFonts w:ascii="Times New Roman" w:eastAsia="Times New Roman" w:hAnsi="Times New Roman" w:cs="Times New Roman"/>
              </w:rPr>
            </w:pPr>
            <w:r w:rsidRPr="008F79F2">
              <w:rPr>
                <w:rFonts w:ascii="Times New Roman" w:eastAsia="Times New Roman" w:hAnsi="Times New Roman" w:cs="Times New Roman"/>
              </w:rPr>
              <w:t>функціонального україномовного середовища на території громади, підвищення</w:t>
            </w:r>
          </w:p>
          <w:p w:rsidR="00BE11CC" w:rsidRPr="008F79F2" w:rsidP="00F97381" w14:paraId="7DE684B4"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престижу і</w:t>
            </w:r>
          </w:p>
          <w:p w:rsidR="00BE11CC" w:rsidRPr="008F79F2" w:rsidP="00F97381" w14:paraId="0F7DF09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авторитетності української мови</w:t>
            </w:r>
          </w:p>
        </w:tc>
      </w:tr>
      <w:tr w14:paraId="17A7DF14" w14:textId="77777777" w:rsidTr="00BE11CC">
        <w:tblPrEx>
          <w:tblW w:w="15583" w:type="dxa"/>
          <w:tblInd w:w="-575" w:type="dxa"/>
          <w:tblLayout w:type="fixed"/>
          <w:tblCellMar>
            <w:top w:w="15" w:type="dxa"/>
            <w:left w:w="15" w:type="dxa"/>
            <w:bottom w:w="15" w:type="dxa"/>
            <w:right w:w="15" w:type="dxa"/>
          </w:tblCellMar>
          <w:tblLook w:val="04A0"/>
        </w:tblPrEx>
        <w:trPr>
          <w:trHeight w:val="2891"/>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F88BCB6"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BBC91B8"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C2F2692" w14:textId="77777777">
            <w:pPr>
              <w:rPr>
                <w:rFonts w:ascii="Times New Roman" w:eastAsia="Times New Roman" w:hAnsi="Times New Roman" w:cs="Times New Roman"/>
              </w:rPr>
            </w:pPr>
            <w:r w:rsidRPr="008F79F2">
              <w:rPr>
                <w:rFonts w:ascii="Times New Roman" w:eastAsia="Times New Roman" w:hAnsi="Times New Roman" w:cs="Times New Roman"/>
              </w:rPr>
              <w:t>1.8. Стимулювання використання української мови серед жителів громади через проведення конкурсів</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7E78A13"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8A8EF58"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3F2C0EF"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22E072FB" w14:textId="77777777">
            <w:pPr>
              <w:rPr>
                <w:rFonts w:ascii="Times New Roman" w:eastAsia="Times New Roman" w:hAnsi="Times New Roman" w:cs="Times New Roman"/>
              </w:rPr>
            </w:pPr>
            <w:r w:rsidRPr="008F79F2">
              <w:rPr>
                <w:rFonts w:ascii="Times New Roman" w:eastAsia="Times New Roman" w:hAnsi="Times New Roman" w:cs="Times New Roman"/>
              </w:rPr>
              <w:t>Створення умов для популяризації української мови, підвищення її престижу і авторитетності, стимулювання творчого процесу в області, активізація, відзначення кращих здобутків, що утверджують ідеали гуманізму та українську національну ідею, високі духовні цінності</w:t>
            </w:r>
          </w:p>
        </w:tc>
      </w:tr>
      <w:tr w14:paraId="70230274"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E25B837" w14:textId="77777777">
            <w:pPr>
              <w:jc w:val="center"/>
              <w:rPr>
                <w:rFonts w:ascii="Times New Roman" w:eastAsia="Times New Roman" w:hAnsi="Times New Roman" w:cs="Times New Roman"/>
              </w:rPr>
            </w:pPr>
            <w:r w:rsidRPr="008F79F2">
              <w:rPr>
                <w:rFonts w:ascii="Times New Roman" w:eastAsia="Times New Roman" w:hAnsi="Times New Roman" w:cs="Times New Roman"/>
              </w:rPr>
              <w:t>2</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818E76E" w14:textId="77777777">
            <w:pPr>
              <w:jc w:val="both"/>
              <w:rPr>
                <w:rFonts w:ascii="Times New Roman" w:eastAsia="Times New Roman" w:hAnsi="Times New Roman" w:cs="Times New Roman"/>
              </w:rPr>
            </w:pPr>
            <w:r w:rsidRPr="008F79F2">
              <w:rPr>
                <w:rFonts w:ascii="Times New Roman" w:eastAsia="Times New Roman" w:hAnsi="Times New Roman" w:cs="Times New Roman"/>
              </w:rPr>
              <w:t>2. Забезпечення дотримання посадовими і службовими особами органів місцевого самоврядування, іншими посадовими та службовими особами вимог закону щодо обов'язковості використання державної мови під час виконання своїх посадових обов'язків, недопущення її дискримінації</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E732B72" w14:textId="77777777">
            <w:pPr>
              <w:rPr>
                <w:rFonts w:ascii="Times New Roman" w:eastAsia="Times New Roman" w:hAnsi="Times New Roman" w:cs="Times New Roman"/>
              </w:rPr>
            </w:pPr>
            <w:r w:rsidRPr="008F79F2">
              <w:rPr>
                <w:rFonts w:ascii="Times New Roman" w:eastAsia="Times New Roman" w:hAnsi="Times New Roman" w:cs="Times New Roman"/>
              </w:rPr>
              <w:t>2.1. Забезпечення дотримання вимог законодавства про державну мову в діяльності органів місцевого самоврядування</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3568F02"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AB8E3FE"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20F5DD2"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728EECE5" w14:textId="77777777">
            <w:pPr>
              <w:rPr>
                <w:rFonts w:ascii="Times New Roman" w:eastAsia="Times New Roman" w:hAnsi="Times New Roman" w:cs="Times New Roman"/>
              </w:rPr>
            </w:pPr>
            <w:r w:rsidRPr="008F79F2">
              <w:rPr>
                <w:rFonts w:ascii="Times New Roman" w:eastAsia="Times New Roman" w:hAnsi="Times New Roman" w:cs="Times New Roman"/>
              </w:rPr>
              <w:t>Забезпечення застосування державної мови посадовими особами місцевого самоврядування під час виконання своїх посадових обов'язків</w:t>
            </w:r>
          </w:p>
        </w:tc>
      </w:tr>
      <w:tr w14:paraId="4BACA769"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A220053"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5731E15"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C55F2BB" w14:textId="77777777">
            <w:pPr>
              <w:rPr>
                <w:rFonts w:ascii="Times New Roman" w:eastAsia="Times New Roman" w:hAnsi="Times New Roman" w:cs="Times New Roman"/>
              </w:rPr>
            </w:pPr>
            <w:r w:rsidRPr="008F79F2">
              <w:rPr>
                <w:rFonts w:ascii="Times New Roman" w:eastAsia="Times New Roman" w:hAnsi="Times New Roman" w:cs="Times New Roman"/>
              </w:rPr>
              <w:t>2.2. Забезпечення підвищення кваліфікації посадових осіб органів місцевого самоврядування за загальною кваліфікаційною програмою під</w:t>
            </w:r>
            <w:r w:rsidRPr="008F79F2">
              <w:rPr>
                <w:rFonts w:ascii="Times New Roman" w:eastAsia="Times New Roman" w:hAnsi="Times New Roman" w:cs="Times New Roman"/>
              </w:rPr>
              <w:t>вищення кваліфікації «Ділова українська мова для посадових осіб місцевого самоврядування»</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84DC760"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AE686BD"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w:t>
            </w:r>
            <w:r w:rsidRPr="008F79F2">
              <w:rPr>
                <w:rFonts w:ascii="Times New Roman" w:eastAsia="Times New Roman" w:hAnsi="Times New Roman" w:cs="Times New Roman"/>
              </w:rPr>
              <w:t>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8CBEAD6"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31FCD60E"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Підвищення рівня професійної компетентності, практичних навичок усного і писемного спілкування, </w:t>
            </w:r>
            <w:r w:rsidRPr="008F79F2">
              <w:rPr>
                <w:rFonts w:ascii="Times New Roman" w:eastAsia="Times New Roman" w:hAnsi="Times New Roman" w:cs="Times New Roman"/>
              </w:rPr>
              <w:t>широкої мовленнєвої практики державних службовців та посадових осіб місцевого самоврядування у процесі виконання посадових обов'язків</w:t>
            </w:r>
          </w:p>
        </w:tc>
      </w:tr>
      <w:tr w14:paraId="5A3D0126" w14:textId="77777777" w:rsidTr="00BE11CC">
        <w:tblPrEx>
          <w:tblW w:w="15583" w:type="dxa"/>
          <w:tblInd w:w="-575" w:type="dxa"/>
          <w:tblLayout w:type="fixed"/>
          <w:tblCellMar>
            <w:top w:w="15" w:type="dxa"/>
            <w:left w:w="15" w:type="dxa"/>
            <w:bottom w:w="15" w:type="dxa"/>
            <w:right w:w="15" w:type="dxa"/>
          </w:tblCellMar>
          <w:tblLook w:val="04A0"/>
        </w:tblPrEx>
        <w:trPr>
          <w:trHeight w:val="2964"/>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99F3632" w14:textId="77777777">
            <w:pPr>
              <w:jc w:val="center"/>
              <w:rPr>
                <w:rFonts w:ascii="Times New Roman" w:eastAsia="Times New Roman" w:hAnsi="Times New Roman" w:cs="Times New Roman"/>
              </w:rPr>
            </w:pPr>
            <w:r w:rsidRPr="008F79F2">
              <w:rPr>
                <w:rFonts w:ascii="Times New Roman" w:eastAsia="Times New Roman" w:hAnsi="Times New Roman" w:cs="Times New Roman"/>
              </w:rPr>
              <w:t>3</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BEEE7D8" w14:textId="77777777">
            <w:pPr>
              <w:jc w:val="both"/>
              <w:rPr>
                <w:rFonts w:ascii="Times New Roman" w:eastAsia="Times New Roman" w:hAnsi="Times New Roman" w:cs="Times New Roman"/>
              </w:rPr>
            </w:pPr>
            <w:r w:rsidRPr="008F79F2">
              <w:rPr>
                <w:rFonts w:ascii="Times New Roman" w:eastAsia="Times New Roman" w:hAnsi="Times New Roman" w:cs="Times New Roman"/>
              </w:rPr>
              <w:t xml:space="preserve">3. Мотивування населення громади до вивчення, навчання та спілкування українською мовою, запровадження та реалізація відповідних </w:t>
            </w:r>
            <w:r w:rsidRPr="008F79F2">
              <w:rPr>
                <w:rFonts w:ascii="Times New Roman" w:eastAsia="Times New Roman" w:hAnsi="Times New Roman" w:cs="Times New Roman"/>
              </w:rPr>
              <w:t>проєктів</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7410E7B"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3.1. Проведення та участь у заходах: фестивалів, конкурсів, концертних програм, акцій, 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спрямованих на підтримку і популяризацію української мови, підвищення престижу її використання, в тому числі заходів, присвячених Дню української писемності та мови, Міжнародному дню рідної мови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5D54352"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1849B4C"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7468BC7"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086D0A9E"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спрямованих на популяризацію та підвищення престижу української мови серед широких верств населення, сприяння процесам національно - культурного відродження суспільства, культурному і духовному розвитку, патріотичному вихованню жителів громади</w:t>
            </w:r>
          </w:p>
        </w:tc>
      </w:tr>
      <w:tr w14:paraId="292A73C4"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1620005"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7A7AB43"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6621576" w14:textId="77777777">
            <w:pPr>
              <w:rPr>
                <w:rFonts w:ascii="Times New Roman" w:eastAsia="Times New Roman" w:hAnsi="Times New Roman" w:cs="Times New Roman"/>
              </w:rPr>
            </w:pPr>
            <w:r w:rsidRPr="008F79F2">
              <w:rPr>
                <w:rFonts w:ascii="Times New Roman" w:eastAsia="Times New Roman" w:hAnsi="Times New Roman" w:cs="Times New Roman"/>
              </w:rPr>
              <w:t>3.2. Проведення заходів національно-патріотичного спрямування, в тому числі приурочених до державних свят, ювілеїв, видатних подій, присвячених вшануванню видатних осіб українського державотворення, борців за незалежність України тощо</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BDE2DD5"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590EF50"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439ACFA"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33ADAF4A" w14:textId="77777777">
            <w:pPr>
              <w:rPr>
                <w:rFonts w:ascii="Times New Roman" w:eastAsia="Times New Roman" w:hAnsi="Times New Roman" w:cs="Times New Roman"/>
              </w:rPr>
            </w:pPr>
            <w:r w:rsidRPr="008F79F2">
              <w:rPr>
                <w:rFonts w:ascii="Times New Roman" w:eastAsia="Times New Roman" w:hAnsi="Times New Roman" w:cs="Times New Roman"/>
              </w:rPr>
              <w:t>Формування патріотичної свідомості, національної ідентичності через українську мову, шанобливого ставлення до героїв боротьби за незалежність України та вшанування видатних особистостей регіону підвищення ролі української мови як національної цінності та важливого атрибута національної ідентичності</w:t>
            </w:r>
          </w:p>
        </w:tc>
      </w:tr>
      <w:tr w14:paraId="0C3ACA99"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CA7DD6D"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EE6736B"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9E69B06" w14:textId="77777777">
            <w:pPr>
              <w:rPr>
                <w:rFonts w:ascii="Times New Roman" w:eastAsia="Times New Roman" w:hAnsi="Times New Roman" w:cs="Times New Roman"/>
              </w:rPr>
            </w:pPr>
            <w:r w:rsidRPr="008F79F2">
              <w:rPr>
                <w:rFonts w:ascii="Times New Roman" w:eastAsia="Times New Roman" w:hAnsi="Times New Roman" w:cs="Times New Roman"/>
              </w:rPr>
              <w:t>3.3. Організація та проведення у громаді конкурсів, фестивалів, різних мистецьких проєктів та акцій, присвячених творчості видатних українських митців, письменників, у тому числі щорічного конкурсу читців імені Т.Г. Шевченка, підготовка переможців до участі в етапах вищого рівня</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ED61622"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61C1833"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ED9547D"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628B11E8" w14:textId="77777777">
            <w:pPr>
              <w:rPr>
                <w:rFonts w:ascii="Times New Roman" w:eastAsia="Times New Roman" w:hAnsi="Times New Roman" w:cs="Times New Roman"/>
              </w:rPr>
            </w:pPr>
            <w:r w:rsidRPr="008F79F2">
              <w:rPr>
                <w:rFonts w:ascii="Times New Roman" w:eastAsia="Times New Roman" w:hAnsi="Times New Roman" w:cs="Times New Roman"/>
                <w:sz w:val="20"/>
                <w:szCs w:val="20"/>
              </w:rPr>
              <w:t>Мотивування до вивчення української мови через знайомство з історією краю, проведення зустрічей з визначними діячами, літераторами, поглиблення розуміння учнівською молоддю української ідентичності, підвищення ролі української мови як національної цінності та важливого атрибута національної ідентичності</w:t>
            </w:r>
          </w:p>
        </w:tc>
      </w:tr>
      <w:tr w14:paraId="556C5635" w14:textId="77777777" w:rsidTr="00BE11CC">
        <w:tblPrEx>
          <w:tblW w:w="15583" w:type="dxa"/>
          <w:tblInd w:w="-575" w:type="dxa"/>
          <w:tblLayout w:type="fixed"/>
          <w:tblCellMar>
            <w:top w:w="15" w:type="dxa"/>
            <w:left w:w="15" w:type="dxa"/>
            <w:bottom w:w="15" w:type="dxa"/>
            <w:right w:w="15" w:type="dxa"/>
          </w:tblCellMar>
          <w:tblLook w:val="04A0"/>
        </w:tblPrEx>
        <w:trPr>
          <w:trHeight w:val="2681"/>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67B16D7"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B2805FA"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97A39C9"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3.4. 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спрямованих на збереження та популяризацію народних традицій, української народної творчості, духовно- історичної спадщини України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107B87F"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03DD03B"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E6A3714"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7BCFFDB0" w14:textId="77777777">
            <w:pPr>
              <w:rPr>
                <w:rFonts w:ascii="Times New Roman" w:eastAsia="Times New Roman" w:hAnsi="Times New Roman" w:cs="Times New Roman"/>
              </w:rPr>
            </w:pPr>
            <w:r w:rsidRPr="008F79F2">
              <w:rPr>
                <w:rFonts w:ascii="Times New Roman" w:eastAsia="Times New Roman" w:hAnsi="Times New Roman" w:cs="Times New Roman"/>
              </w:rPr>
              <w:t>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w:t>
            </w:r>
          </w:p>
          <w:p w:rsidR="00BE11CC" w:rsidRPr="008F79F2" w:rsidP="00C434C8" w14:paraId="754439DA" w14:textId="77777777">
            <w:pPr>
              <w:rPr>
                <w:rFonts w:ascii="Times New Roman" w:eastAsia="Times New Roman" w:hAnsi="Times New Roman" w:cs="Times New Roman"/>
              </w:rPr>
            </w:pPr>
            <w:r w:rsidRPr="008F79F2">
              <w:rPr>
                <w:rFonts w:ascii="Times New Roman" w:eastAsia="Times New Roman" w:hAnsi="Times New Roman" w:cs="Times New Roman"/>
              </w:rPr>
              <w:t>Розширення доступу до історико-культурних цінностей</w:t>
            </w:r>
          </w:p>
        </w:tc>
      </w:tr>
      <w:tr w14:paraId="6FC03B9F"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8340C64"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FCC29B3"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6689BE9" w14:textId="5B210B1F">
            <w:pPr>
              <w:rPr>
                <w:rFonts w:ascii="Times New Roman" w:eastAsia="Times New Roman" w:hAnsi="Times New Roman" w:cs="Times New Roman"/>
              </w:rPr>
            </w:pPr>
            <w:r w:rsidRPr="008F79F2">
              <w:rPr>
                <w:rFonts w:ascii="Times New Roman" w:eastAsia="Times New Roman" w:hAnsi="Times New Roman" w:cs="Times New Roman"/>
              </w:rPr>
              <w:t>3.5. Популяризація української мови засобами сучасного мистецтва через роботу</w:t>
            </w:r>
            <w:r w:rsidR="00F97381">
              <w:rPr>
                <w:rFonts w:ascii="Times New Roman" w:eastAsia="Times New Roman" w:hAnsi="Times New Roman" w:cs="Times New Roman"/>
              </w:rPr>
              <w:t xml:space="preserve"> </w:t>
            </w:r>
            <w:r w:rsidRPr="008F79F2">
              <w:rPr>
                <w:rFonts w:ascii="Times New Roman" w:eastAsia="Times New Roman" w:hAnsi="Times New Roman" w:cs="Times New Roman"/>
              </w:rPr>
              <w:t>фольклорних ансамблів, мистецьких колективів</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631F1FE"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F97381" w14:paraId="051D678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BE11CC" w:rsidRPr="008F79F2" w:rsidP="00F97381" w14:paraId="5419801B"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1547262"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4FB50CFE" w14:textId="77777777">
            <w:pPr>
              <w:rPr>
                <w:rFonts w:ascii="Times New Roman" w:eastAsia="Times New Roman" w:hAnsi="Times New Roman" w:cs="Times New Roman"/>
              </w:rPr>
            </w:pPr>
            <w:r w:rsidRPr="008F79F2">
              <w:rPr>
                <w:rFonts w:ascii="Times New Roman" w:eastAsia="Times New Roman" w:hAnsi="Times New Roman" w:cs="Times New Roman"/>
              </w:rPr>
              <w:t>Популяризація та підвищення престижу української мови серед широких верств населення, зміцнення духовних основ українського суспільства, підвищення престижу української мови засобами мистецтва</w:t>
            </w:r>
          </w:p>
        </w:tc>
      </w:tr>
      <w:tr w14:paraId="5ED2BA04"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CBC2A50"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9B01A1A"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3E62586" w14:textId="77777777">
            <w:pPr>
              <w:rPr>
                <w:rFonts w:ascii="Times New Roman" w:eastAsia="Times New Roman" w:hAnsi="Times New Roman" w:cs="Times New Roman"/>
              </w:rPr>
            </w:pPr>
            <w:r w:rsidRPr="008F79F2">
              <w:rPr>
                <w:rFonts w:ascii="Times New Roman" w:eastAsia="Times New Roman" w:hAnsi="Times New Roman" w:cs="Times New Roman"/>
              </w:rPr>
              <w:t>3.6. Мотивування учнівської та студентської молоді до вивчення, навчання та спілкування українською мовою</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F3A437E"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F97381" w14:paraId="793C335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BE11CC" w:rsidRPr="008F79F2" w:rsidP="00F97381" w14:paraId="158B0A3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212D571"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77930925" w14:textId="77777777">
            <w:pPr>
              <w:rPr>
                <w:rFonts w:ascii="Times New Roman" w:eastAsia="Times New Roman" w:hAnsi="Times New Roman" w:cs="Times New Roman"/>
              </w:rPr>
            </w:pPr>
            <w:r w:rsidRPr="008F79F2">
              <w:rPr>
                <w:rFonts w:ascii="Times New Roman" w:eastAsia="Times New Roman" w:hAnsi="Times New Roman" w:cs="Times New Roman"/>
              </w:rPr>
              <w:t>Формування національно свідомої особистості, її духовного світу з 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tc>
      </w:tr>
      <w:tr w14:paraId="70C73410"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53702BE" w14:textId="77777777">
            <w:pPr>
              <w:jc w:val="center"/>
              <w:rPr>
                <w:rFonts w:ascii="Times New Roman" w:eastAsia="Times New Roman" w:hAnsi="Times New Roman" w:cs="Times New Roman"/>
              </w:rPr>
            </w:pPr>
            <w:r w:rsidRPr="008F79F2">
              <w:rPr>
                <w:rFonts w:ascii="Times New Roman" w:eastAsia="Times New Roman" w:hAnsi="Times New Roman" w:cs="Times New Roman"/>
              </w:rPr>
              <w:t>4</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A712451" w14:textId="77777777">
            <w:pPr>
              <w:jc w:val="both"/>
              <w:rPr>
                <w:rFonts w:ascii="Times New Roman" w:eastAsia="Times New Roman" w:hAnsi="Times New Roman" w:cs="Times New Roman"/>
              </w:rPr>
            </w:pPr>
            <w:r w:rsidRPr="008F79F2">
              <w:rPr>
                <w:rFonts w:ascii="Times New Roman" w:eastAsia="Times New Roman" w:hAnsi="Times New Roman" w:cs="Times New Roman"/>
              </w:rPr>
              <w:t>4.Забезпечення промоції читання як одного із чинників розвитку української мови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18B037B" w14:textId="77777777">
            <w:pPr>
              <w:rPr>
                <w:rFonts w:ascii="Times New Roman" w:eastAsia="Times New Roman" w:hAnsi="Times New Roman" w:cs="Times New Roman"/>
              </w:rPr>
            </w:pPr>
            <w:r w:rsidRPr="008F79F2">
              <w:rPr>
                <w:rFonts w:ascii="Times New Roman" w:eastAsia="Times New Roman" w:hAnsi="Times New Roman" w:cs="Times New Roman"/>
              </w:rPr>
              <w:t>4.1.Забезпечення проведення культурно-просвітницьких заходів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акцій, фестивалів, виставкових, ярмаркових зустрічей із відомими поетами та письменниками Днів української книги та інших заходів), спрямованих на популяризацію книги та читання серед різних верств населення, насамперед серед дітей та молоді</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D11472B"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AE43362"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F940CB2"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5DB7D730" w14:textId="77777777">
            <w:pPr>
              <w:rPr>
                <w:rFonts w:ascii="Times New Roman" w:eastAsia="Times New Roman" w:hAnsi="Times New Roman" w:cs="Times New Roman"/>
              </w:rPr>
            </w:pPr>
            <w:r w:rsidRPr="008F79F2">
              <w:rPr>
                <w:rFonts w:ascii="Times New Roman" w:eastAsia="Times New Roman" w:hAnsi="Times New Roman" w:cs="Times New Roman"/>
              </w:rPr>
              <w:t>Запровадження регулярних комунікаційних кампаній щодо популяризації читання, як інструменту досягнення персонального та професійного успіху</w:t>
            </w:r>
          </w:p>
        </w:tc>
      </w:tr>
      <w:tr w14:paraId="03833E69"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5252BAC"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E0921A7"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F5CD809" w14:textId="77777777">
            <w:pPr>
              <w:rPr>
                <w:rFonts w:ascii="Times New Roman" w:eastAsia="Times New Roman" w:hAnsi="Times New Roman" w:cs="Times New Roman"/>
              </w:rPr>
            </w:pPr>
            <w:r w:rsidRPr="008F79F2">
              <w:rPr>
                <w:rFonts w:ascii="Times New Roman" w:eastAsia="Times New Roman" w:hAnsi="Times New Roman" w:cs="Times New Roman"/>
              </w:rPr>
              <w:t>4.2. Участь у Національному тижні читання, онлайн читаннях, </w:t>
            </w:r>
            <w:r w:rsidRPr="008F79F2">
              <w:rPr>
                <w:rFonts w:ascii="Times New Roman" w:eastAsia="Times New Roman" w:hAnsi="Times New Roman" w:cs="Times New Roman"/>
              </w:rPr>
              <w:t>популяризаціях</w:t>
            </w:r>
            <w:r w:rsidRPr="008F79F2">
              <w:rPr>
                <w:rFonts w:ascii="Times New Roman" w:eastAsia="Times New Roman" w:hAnsi="Times New Roman" w:cs="Times New Roman"/>
              </w:rPr>
              <w:t> книги усіх рівнів</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7D8BF58"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F97381" w14:paraId="21313FEE"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BE11CC" w:rsidRPr="008F79F2" w:rsidP="00F97381" w14:paraId="796E405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5A709E6"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44336A56" w14:textId="77777777">
            <w:pPr>
              <w:rPr>
                <w:rFonts w:ascii="Times New Roman" w:eastAsia="Times New Roman" w:hAnsi="Times New Roman" w:cs="Times New Roman"/>
              </w:rPr>
            </w:pPr>
            <w:r w:rsidRPr="008F79F2">
              <w:rPr>
                <w:rFonts w:ascii="Times New Roman" w:eastAsia="Times New Roman" w:hAnsi="Times New Roman" w:cs="Times New Roman"/>
              </w:rPr>
              <w:t>Сприяння формуванню навичок та потреби в читанні, як життєвій стратегії жителів області, особливо дітей та молоді, сприяння промоції читання, привернення уваги до українського книговидання та літератури</w:t>
            </w:r>
          </w:p>
        </w:tc>
      </w:tr>
      <w:tr w14:paraId="6D1E7E57"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CFDFB77"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6A4DC59"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DA60D2F" w14:textId="77777777">
            <w:pPr>
              <w:rPr>
                <w:rFonts w:ascii="Times New Roman" w:eastAsia="Times New Roman" w:hAnsi="Times New Roman" w:cs="Times New Roman"/>
              </w:rPr>
            </w:pPr>
            <w:r w:rsidRPr="008F79F2">
              <w:rPr>
                <w:rFonts w:ascii="Times New Roman" w:eastAsia="Times New Roman" w:hAnsi="Times New Roman" w:cs="Times New Roman"/>
              </w:rPr>
              <w:t>4.3. Забезпечення комунікаційних кампаній про читання як інструмент соціальної адаптації людей з додатковими потребами (інвалідністю), незахищених верств населення або людей, що потребують </w:t>
            </w:r>
            <w:r w:rsidRPr="008F79F2">
              <w:rPr>
                <w:rFonts w:ascii="Times New Roman" w:eastAsia="Times New Roman" w:hAnsi="Times New Roman" w:cs="Times New Roman"/>
              </w:rPr>
              <w:t>ресоціалізації</w:t>
            </w:r>
            <w:r w:rsidRPr="008F79F2">
              <w:rPr>
                <w:rFonts w:ascii="Times New Roman" w:eastAsia="Times New Roman" w:hAnsi="Times New Roman" w:cs="Times New Roman"/>
              </w:rPr>
              <w:t> (зокрема, ветеранів війни тощо)</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654AF85"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9DE6D4A"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5137FFB"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6821A0B0"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спрямованих на розвиток читання серед громадян, які потребують соціальної адаптації, забезпечення доступу до українського книжкового контенту, активізація роботи щодо залучення до читання всіх груп населення</w:t>
            </w:r>
          </w:p>
        </w:tc>
      </w:tr>
      <w:tr w14:paraId="7CF4FA80"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5E1B9DB" w14:textId="77777777">
            <w:pPr>
              <w:jc w:val="center"/>
              <w:rPr>
                <w:rFonts w:ascii="Times New Roman" w:eastAsia="Times New Roman" w:hAnsi="Times New Roman" w:cs="Times New Roman"/>
              </w:rPr>
            </w:pPr>
            <w:r w:rsidRPr="008F79F2">
              <w:rPr>
                <w:rFonts w:ascii="Times New Roman" w:eastAsia="Times New Roman" w:hAnsi="Times New Roman" w:cs="Times New Roman"/>
              </w:rPr>
              <w:t>5</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FA3CFE9" w14:textId="77777777">
            <w:pPr>
              <w:jc w:val="both"/>
              <w:rPr>
                <w:rFonts w:ascii="Times New Roman" w:eastAsia="Times New Roman" w:hAnsi="Times New Roman" w:cs="Times New Roman"/>
              </w:rPr>
            </w:pPr>
            <w:r w:rsidRPr="008F79F2">
              <w:rPr>
                <w:rFonts w:ascii="Times New Roman" w:eastAsia="Times New Roman" w:hAnsi="Times New Roman" w:cs="Times New Roman"/>
              </w:rPr>
              <w:t xml:space="preserve">5. Покращення якості викладання державної мови в закладах освіти, доступ учнівства до якісної </w:t>
            </w:r>
            <w:r w:rsidRPr="008F79F2">
              <w:rPr>
                <w:rFonts w:ascii="Times New Roman" w:eastAsia="Times New Roman" w:hAnsi="Times New Roman" w:cs="Times New Roman"/>
              </w:rPr>
              <w:t>мовної</w:t>
            </w:r>
            <w:r w:rsidRPr="008F79F2">
              <w:rPr>
                <w:rFonts w:ascii="Times New Roman" w:eastAsia="Times New Roman" w:hAnsi="Times New Roman" w:cs="Times New Roman"/>
              </w:rPr>
              <w:t xml:space="preserve"> освіти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A6C172E" w14:textId="77777777">
            <w:pPr>
              <w:rPr>
                <w:rFonts w:ascii="Times New Roman" w:eastAsia="Times New Roman" w:hAnsi="Times New Roman" w:cs="Times New Roman"/>
              </w:rPr>
            </w:pPr>
            <w:r w:rsidRPr="008F79F2">
              <w:rPr>
                <w:rFonts w:ascii="Times New Roman" w:eastAsia="Times New Roman" w:hAnsi="Times New Roman" w:cs="Times New Roman"/>
              </w:rPr>
              <w:t>5.1. Забезпечення неухильного дотримання закладами освіти, в тому числі закладами освіти сфери культури області законодавства України в частині провадження освітнього процесу українською мовою на всіх рівнях здобуття освіти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FC20B2A"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F97381" w14:paraId="423320B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p w:rsidR="00BE11CC" w:rsidRPr="008F79F2" w:rsidP="00F97381" w14:paraId="3E7B4A9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w:t>
            </w:r>
            <w:r w:rsidRPr="008F79F2">
              <w:rPr>
                <w:rFonts w:ascii="Times New Roman" w:eastAsia="Times New Roman" w:hAnsi="Times New Roman" w:cs="Times New Roman"/>
              </w:rPr>
              <w:t>сімї</w:t>
            </w:r>
            <w:r w:rsidRPr="008F79F2">
              <w:rPr>
                <w:rFonts w:ascii="Times New Roman" w:eastAsia="Times New Roman" w:hAnsi="Times New Roman" w:cs="Times New Roman"/>
              </w:rPr>
              <w:t> та молоді</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AE8BC6D"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6D915EF6" w14:textId="77777777">
            <w:pPr>
              <w:rPr>
                <w:rFonts w:ascii="Times New Roman" w:eastAsia="Times New Roman" w:hAnsi="Times New Roman" w:cs="Times New Roman"/>
              </w:rPr>
            </w:pPr>
            <w:r w:rsidRPr="008F79F2">
              <w:rPr>
                <w:rFonts w:ascii="Times New Roman" w:eastAsia="Times New Roman" w:hAnsi="Times New Roman" w:cs="Times New Roman"/>
              </w:rPr>
              <w:t>Забезпечення належного рівня якості надання послуг, провадження освітнього процесу українською мовою, створення умов для результативного та ефективного вивчення державної мови</w:t>
            </w:r>
          </w:p>
        </w:tc>
      </w:tr>
      <w:tr w14:paraId="3832AFB5"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D3AF982"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A82D78E"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8942892" w14:textId="77777777">
            <w:pPr>
              <w:rPr>
                <w:rFonts w:ascii="Times New Roman" w:eastAsia="Times New Roman" w:hAnsi="Times New Roman" w:cs="Times New Roman"/>
              </w:rPr>
            </w:pPr>
            <w:r w:rsidRPr="008F79F2">
              <w:rPr>
                <w:rFonts w:ascii="Times New Roman" w:eastAsia="Times New Roman" w:hAnsi="Times New Roman" w:cs="Times New Roman"/>
              </w:rPr>
              <w:t>5.2. Залучення обдарованої молоді до творчо-пошукової і науково- дослідницької роботи з української мови і літератури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6E5358A"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243DA6E"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01F8C00"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254A8DE7" w14:textId="77777777">
            <w:pPr>
              <w:rPr>
                <w:rFonts w:ascii="Times New Roman" w:eastAsia="Times New Roman" w:hAnsi="Times New Roman" w:cs="Times New Roman"/>
              </w:rPr>
            </w:pPr>
            <w:r w:rsidRPr="008F79F2">
              <w:rPr>
                <w:rFonts w:ascii="Times New Roman" w:eastAsia="Times New Roman" w:hAnsi="Times New Roman" w:cs="Times New Roman"/>
              </w:rPr>
              <w:t>Виховання в учнівської та студентської молоді патріотизму та любові до рідного слова, мотивування до вивчення української мови</w:t>
            </w:r>
          </w:p>
        </w:tc>
      </w:tr>
      <w:tr w14:paraId="276D0D44" w14:textId="77777777" w:rsidTr="00BE11CC">
        <w:tblPrEx>
          <w:tblW w:w="15583" w:type="dxa"/>
          <w:tblInd w:w="-575" w:type="dxa"/>
          <w:tblLayout w:type="fixed"/>
          <w:tblCellMar>
            <w:top w:w="15" w:type="dxa"/>
            <w:left w:w="15" w:type="dxa"/>
            <w:bottom w:w="15" w:type="dxa"/>
            <w:right w:w="15" w:type="dxa"/>
          </w:tblCellMar>
          <w:tblLook w:val="04A0"/>
        </w:tblPrEx>
        <w:trPr>
          <w:trHeight w:val="2923"/>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B8B95F6"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504C4BB"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2FBDC8D"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5.3. Участь учнів в олімпіадах з української мови та літератури і в роботі МАН (наукове відділення </w:t>
            </w:r>
            <w:r w:rsidRPr="008F79F2">
              <w:rPr>
                <w:rFonts w:ascii="Times New Roman" w:eastAsia="Times New Roman" w:hAnsi="Times New Roman" w:cs="Times New Roman"/>
              </w:rPr>
              <w:t>літературознавства,фольклористики</w:t>
            </w:r>
            <w:r w:rsidRPr="008F79F2">
              <w:rPr>
                <w:rFonts w:ascii="Times New Roman" w:eastAsia="Times New Roman" w:hAnsi="Times New Roman" w:cs="Times New Roman"/>
              </w:rPr>
              <w:t> та мистецтвознавства. Секції: «Українська література», «Фольклористика», «Мистецтвознавство», «Літературна творчість»; наукове відділення мовознавства. Секція «Українська мова»)</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348E3EA"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E5C67EB"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A0B6908"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72C91665" w14:textId="77777777">
            <w:pPr>
              <w:rPr>
                <w:rFonts w:ascii="Times New Roman" w:eastAsia="Times New Roman" w:hAnsi="Times New Roman" w:cs="Times New Roman"/>
              </w:rPr>
            </w:pPr>
            <w:r w:rsidRPr="008F79F2">
              <w:rPr>
                <w:rFonts w:ascii="Times New Roman" w:eastAsia="Times New Roman" w:hAnsi="Times New Roman" w:cs="Times New Roman"/>
              </w:rPr>
              <w:t>Виховання в учнівської та студентської молоді патріотизму та любові до рідного слова, мотивування до вивчення української мови</w:t>
            </w:r>
          </w:p>
        </w:tc>
      </w:tr>
      <w:tr w14:paraId="42507419"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DA2A4D3"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399F232"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3ED1CD7"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5.4. Участь учнівської молоді закладів освіти, вихованців закладів позашкільної освіти у Міжнародних, Всеукраїнських, регіональних та територіальних </w:t>
            </w:r>
            <w:r w:rsidRPr="008F79F2">
              <w:rPr>
                <w:rFonts w:ascii="Times New Roman" w:eastAsia="Times New Roman" w:hAnsi="Times New Roman" w:cs="Times New Roman"/>
              </w:rPr>
              <w:t>проєктах</w:t>
            </w:r>
            <w:r w:rsidRPr="008F79F2">
              <w:rPr>
                <w:rFonts w:ascii="Times New Roman" w:eastAsia="Times New Roman" w:hAnsi="Times New Roman" w:cs="Times New Roman"/>
              </w:rPr>
              <w:t>, акціях, конкурсах, фестивалях з української мови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A78322D"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029F2E3"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457E920"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0B973171" w14:textId="77777777">
            <w:pPr>
              <w:rPr>
                <w:rFonts w:ascii="Times New Roman" w:eastAsia="Times New Roman" w:hAnsi="Times New Roman" w:cs="Times New Roman"/>
              </w:rPr>
            </w:pPr>
            <w:r w:rsidRPr="008F79F2">
              <w:rPr>
                <w:rFonts w:ascii="Times New Roman" w:eastAsia="Times New Roman" w:hAnsi="Times New Roman" w:cs="Times New Roman"/>
              </w:rPr>
              <w:t>Формування національно свідомої особистості, її духовного світу з 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tc>
      </w:tr>
      <w:tr w14:paraId="2C3D8E6E"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382B7D4"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8D30433"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254FD9C" w14:textId="77777777">
            <w:pPr>
              <w:rPr>
                <w:rFonts w:ascii="Times New Roman" w:eastAsia="Times New Roman" w:hAnsi="Times New Roman" w:cs="Times New Roman"/>
              </w:rPr>
            </w:pPr>
            <w:r w:rsidRPr="008F79F2">
              <w:rPr>
                <w:rFonts w:ascii="Times New Roman" w:eastAsia="Times New Roman" w:hAnsi="Times New Roman" w:cs="Times New Roman"/>
              </w:rPr>
              <w:t>5.5. Проведення семінарів, практикумів, майстерок з питань підвищення якості викладання української мови в закладах освіти громади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191FE6D"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8DA4A48"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9607CDA"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65A2A916"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Підвищення професійного рівня, педагогічної майстерності та кваліфікації педагогічних працівників, опанування нових та вдосконалення раніше набутих </w:t>
            </w:r>
            <w:r w:rsidRPr="008F79F2">
              <w:rPr>
                <w:rFonts w:ascii="Times New Roman" w:eastAsia="Times New Roman" w:hAnsi="Times New Roman" w:cs="Times New Roman"/>
              </w:rPr>
              <w:t>компетентностей</w:t>
            </w:r>
            <w:r w:rsidRPr="008F79F2">
              <w:rPr>
                <w:rFonts w:ascii="Times New Roman" w:eastAsia="Times New Roman" w:hAnsi="Times New Roman" w:cs="Times New Roman"/>
              </w:rPr>
              <w:t xml:space="preserve"> в межах своєї професійної </w:t>
            </w:r>
            <w:r w:rsidRPr="008F79F2">
              <w:rPr>
                <w:rFonts w:ascii="Times New Roman" w:eastAsia="Times New Roman" w:hAnsi="Times New Roman" w:cs="Times New Roman"/>
              </w:rPr>
              <w:t>діяльності щодо володіння українською мовою</w:t>
            </w:r>
          </w:p>
        </w:tc>
      </w:tr>
      <w:tr w14:paraId="16554DA6"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08DD8D8"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CC4A9DD"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FB5637E" w14:textId="77777777">
            <w:pPr>
              <w:rPr>
                <w:rFonts w:ascii="Times New Roman" w:eastAsia="Times New Roman" w:hAnsi="Times New Roman" w:cs="Times New Roman"/>
              </w:rPr>
            </w:pPr>
            <w:r w:rsidRPr="008F79F2">
              <w:rPr>
                <w:rFonts w:ascii="Times New Roman" w:eastAsia="Times New Roman" w:hAnsi="Times New Roman" w:cs="Times New Roman"/>
              </w:rPr>
              <w:t>5.6. Впровадження в освітній процес, в тому числі у сфері культури, різноманітних форм проведення заходів україномовного спрямування (конференції, тренінги, майстер-класи, </w:t>
            </w:r>
            <w:r w:rsidRPr="008F79F2">
              <w:rPr>
                <w:rFonts w:ascii="Times New Roman" w:eastAsia="Times New Roman" w:hAnsi="Times New Roman" w:cs="Times New Roman"/>
              </w:rPr>
              <w:t>вебінари</w:t>
            </w:r>
            <w:r w:rsidRPr="008F79F2">
              <w:rPr>
                <w:rFonts w:ascii="Times New Roman" w:eastAsia="Times New Roman" w:hAnsi="Times New Roman" w:cs="Times New Roman"/>
              </w:rPr>
              <w:t>, форуми тощо)</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CB6BB4D"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F97381" w14:paraId="093C73B5"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p w:rsidR="00BE11CC" w:rsidRPr="008F79F2" w:rsidP="00F97381" w14:paraId="6F2FAE9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w:t>
            </w:r>
            <w:r w:rsidRPr="008F79F2">
              <w:rPr>
                <w:rFonts w:ascii="Times New Roman" w:eastAsia="Times New Roman" w:hAnsi="Times New Roman" w:cs="Times New Roman"/>
              </w:rPr>
              <w:t>сімї</w:t>
            </w:r>
            <w:r w:rsidRPr="008F79F2">
              <w:rPr>
                <w:rFonts w:ascii="Times New Roman" w:eastAsia="Times New Roman" w:hAnsi="Times New Roman" w:cs="Times New Roman"/>
              </w:rPr>
              <w:t> та молоді</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34A77EF"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F97381" w:rsidP="00F97381" w14:paraId="5B971131"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Оволодіння учнівською аудиторією сучасною </w:t>
            </w:r>
          </w:p>
          <w:p w:rsidR="00BE11CC" w:rsidRPr="008F79F2" w:rsidP="00F97381" w14:paraId="2AE7B69C" w14:textId="300BB4AC">
            <w:pPr>
              <w:spacing w:after="0"/>
              <w:rPr>
                <w:rFonts w:ascii="Times New Roman" w:eastAsia="Times New Roman" w:hAnsi="Times New Roman" w:cs="Times New Roman"/>
              </w:rPr>
            </w:pPr>
            <w:r w:rsidRPr="008F79F2">
              <w:rPr>
                <w:rFonts w:ascii="Times New Roman" w:eastAsia="Times New Roman" w:hAnsi="Times New Roman" w:cs="Times New Roman"/>
              </w:rPr>
              <w:t>У</w:t>
            </w:r>
            <w:r w:rsidRPr="008F79F2">
              <w:rPr>
                <w:rFonts w:ascii="Times New Roman" w:eastAsia="Times New Roman" w:hAnsi="Times New Roman" w:cs="Times New Roman"/>
              </w:rPr>
              <w:t>країнською</w:t>
            </w:r>
            <w:r>
              <w:rPr>
                <w:rFonts w:ascii="Times New Roman" w:eastAsia="Times New Roman" w:hAnsi="Times New Roman" w:cs="Times New Roman"/>
              </w:rPr>
              <w:t xml:space="preserve"> </w:t>
            </w:r>
            <w:r w:rsidRPr="008F79F2">
              <w:rPr>
                <w:rFonts w:ascii="Times New Roman" w:eastAsia="Times New Roman" w:hAnsi="Times New Roman" w:cs="Times New Roman"/>
              </w:rPr>
              <w:t>літературною мовою, популяризація передового педагогічного досвіду з розвитку та</w:t>
            </w:r>
          </w:p>
        </w:tc>
      </w:tr>
      <w:tr w14:paraId="4DBA83B5"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1909E03" w14:textId="77777777">
            <w:pPr>
              <w:jc w:val="center"/>
              <w:rPr>
                <w:rFonts w:ascii="Times New Roman" w:eastAsia="Times New Roman" w:hAnsi="Times New Roman" w:cs="Times New Roman"/>
              </w:rPr>
            </w:pPr>
            <w:r w:rsidRPr="008F79F2">
              <w:rPr>
                <w:rFonts w:ascii="Times New Roman" w:eastAsia="Times New Roman" w:hAnsi="Times New Roman" w:cs="Times New Roman"/>
              </w:rPr>
              <w:t>6</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40AC896" w14:textId="73B14255">
            <w:pPr>
              <w:jc w:val="both"/>
              <w:rPr>
                <w:rFonts w:ascii="Times New Roman" w:eastAsia="Times New Roman" w:hAnsi="Times New Roman" w:cs="Times New Roman"/>
              </w:rPr>
            </w:pPr>
            <w:r w:rsidRPr="008F79F2">
              <w:rPr>
                <w:rFonts w:ascii="Times New Roman" w:eastAsia="Times New Roman" w:hAnsi="Times New Roman" w:cs="Times New Roman"/>
              </w:rPr>
              <w:t>6.Створення у громаді додаткових можливостей</w:t>
            </w:r>
            <w:r w:rsidR="00F97381">
              <w:rPr>
                <w:rFonts w:ascii="Times New Roman" w:eastAsia="Times New Roman" w:hAnsi="Times New Roman" w:cs="Times New Roman"/>
              </w:rPr>
              <w:t xml:space="preserve"> </w:t>
            </w:r>
            <w:r w:rsidRPr="008F79F2">
              <w:rPr>
                <w:rFonts w:ascii="Times New Roman" w:eastAsia="Times New Roman" w:hAnsi="Times New Roman" w:cs="Times New Roman"/>
              </w:rPr>
              <w:t>для опанування державної мови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CBDE0C2" w14:textId="77777777">
            <w:pPr>
              <w:rPr>
                <w:rFonts w:ascii="Times New Roman" w:eastAsia="Times New Roman" w:hAnsi="Times New Roman" w:cs="Times New Roman"/>
              </w:rPr>
            </w:pPr>
            <w:r w:rsidRPr="008F79F2">
              <w:rPr>
                <w:rFonts w:ascii="Times New Roman" w:eastAsia="Times New Roman" w:hAnsi="Times New Roman" w:cs="Times New Roman"/>
              </w:rPr>
              <w:t>6.1. Створення та забезпечення функціонування мережі курсів з вивчення української мови (у тому числі дистанційних та онлайн - курсів) для різних категорій осіб, в тому числі внутрішньо переміщених осіб</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B644A25"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F97381" w14:paraId="217D34D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BE11CC" w:rsidRPr="008F79F2" w:rsidP="00F97381" w14:paraId="5B6146A4"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DDFEB4D"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5252CE20" w14:textId="77777777">
            <w:pPr>
              <w:rPr>
                <w:rFonts w:ascii="Times New Roman" w:eastAsia="Times New Roman" w:hAnsi="Times New Roman" w:cs="Times New Roman"/>
              </w:rPr>
            </w:pPr>
            <w:r w:rsidRPr="008F79F2">
              <w:rPr>
                <w:rFonts w:ascii="Times New Roman" w:eastAsia="Times New Roman" w:hAnsi="Times New Roman" w:cs="Times New Roman"/>
              </w:rPr>
              <w:t>Забезпечення жителям громади та внутрішньо переміщеним особам можливості вивчення української мови шляхом проведення курсів з української мови, у тому числі через інші форми дистанційного навчання, посилення функції державної мови, як об'єднуючого і консолідуючого чинника в суспільстві</w:t>
            </w:r>
          </w:p>
        </w:tc>
      </w:tr>
      <w:tr w14:paraId="2A4A2214"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75B87AE"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D70D847"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D26133A"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6.2. Забезпечення додаткових можливостей для опанування української мови шляхом створення в закладах освіти та культури громади розмовних клубів, гуртків, клубів за інтересами, інших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з вивчення української мови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8BC8671"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6926EC" w14:paraId="037E65E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BE11CC" w:rsidRPr="008F79F2" w:rsidP="006926EC" w14:paraId="231757D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19254B5"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75C89006"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Організація системної роботи з опанування державної мови для місцевих мешканців та внутрішньо переміщених осіб, посилення функції державної мови, як об'єднуючого </w:t>
            </w:r>
            <w:r w:rsidRPr="008F79F2">
              <w:rPr>
                <w:rFonts w:ascii="Times New Roman" w:eastAsia="Times New Roman" w:hAnsi="Times New Roman" w:cs="Times New Roman"/>
              </w:rPr>
              <w:t>і консолідуючого чинника в суспільстві</w:t>
            </w:r>
          </w:p>
        </w:tc>
      </w:tr>
      <w:tr w14:paraId="56D71E00"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90A2251" w14:textId="77777777">
            <w:pPr>
              <w:jc w:val="center"/>
              <w:rPr>
                <w:rFonts w:ascii="Times New Roman" w:eastAsia="Times New Roman" w:hAnsi="Times New Roman" w:cs="Times New Roman"/>
              </w:rPr>
            </w:pPr>
            <w:r w:rsidRPr="008F79F2">
              <w:rPr>
                <w:rFonts w:ascii="Times New Roman" w:eastAsia="Times New Roman" w:hAnsi="Times New Roman" w:cs="Times New Roman"/>
              </w:rPr>
              <w:t>7</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4D38174" w14:textId="77777777">
            <w:pPr>
              <w:jc w:val="both"/>
              <w:rPr>
                <w:rFonts w:ascii="Times New Roman" w:eastAsia="Times New Roman" w:hAnsi="Times New Roman" w:cs="Times New Roman"/>
              </w:rPr>
            </w:pPr>
            <w:r w:rsidRPr="008F79F2">
              <w:rPr>
                <w:rFonts w:ascii="Times New Roman" w:eastAsia="Times New Roman" w:hAnsi="Times New Roman" w:cs="Times New Roman"/>
              </w:rPr>
              <w:t>7. Підтримка інновацій, нових знань та розвитку сучасних культурних індустрій, збільшення кількості та покращення якості україномовного аудіовізуального культурного продукту на телебаченні, радіо, у кіно- та </w:t>
            </w:r>
            <w:r w:rsidRPr="008F79F2">
              <w:rPr>
                <w:rFonts w:ascii="Times New Roman" w:eastAsia="Times New Roman" w:hAnsi="Times New Roman" w:cs="Times New Roman"/>
              </w:rPr>
              <w:t>відеомережі</w:t>
            </w:r>
            <w:r w:rsidRPr="008F79F2">
              <w:rPr>
                <w:rFonts w:ascii="Times New Roman" w:eastAsia="Times New Roman" w:hAnsi="Times New Roman" w:cs="Times New Roman"/>
              </w:rPr>
              <w:t>, забезпечення доступу глядачів до кращих творів європейської та світової тематики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119F4B8"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7.1. Створення та розміщення на </w:t>
            </w:r>
            <w:r w:rsidRPr="008F79F2">
              <w:rPr>
                <w:rFonts w:ascii="Times New Roman" w:eastAsia="Times New Roman" w:hAnsi="Times New Roman" w:cs="Times New Roman"/>
              </w:rPr>
              <w:t>вебресурсах</w:t>
            </w:r>
            <w:r w:rsidRPr="008F79F2">
              <w:rPr>
                <w:rFonts w:ascii="Times New Roman" w:eastAsia="Times New Roman" w:hAnsi="Times New Roman" w:cs="Times New Roman"/>
              </w:rPr>
              <w:t> закладів культури та освіти контенту про історично- культурну спадщину українського народу, історію становлення, збереження та захист незалежності України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BCDE573"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6926EC" w14:paraId="14E845D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BE11CC" w:rsidRPr="008F79F2" w:rsidP="006926EC" w14:paraId="2DCD2E5D"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3788206"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3120EAA9"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щодо створення, а також поширення україномовного аудіовізуального культурного продукту в місцевих засобах масової інформації, підвищення престижу української мови</w:t>
            </w:r>
          </w:p>
        </w:tc>
      </w:tr>
      <w:tr w14:paraId="78F726FE"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5A6C037"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928CC22"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D2BF922" w14:textId="77777777">
            <w:pPr>
              <w:rPr>
                <w:rFonts w:ascii="Times New Roman" w:eastAsia="Times New Roman" w:hAnsi="Times New Roman" w:cs="Times New Roman"/>
              </w:rPr>
            </w:pPr>
            <w:r w:rsidRPr="008F79F2">
              <w:rPr>
                <w:rFonts w:ascii="Times New Roman" w:eastAsia="Times New Roman" w:hAnsi="Times New Roman" w:cs="Times New Roman"/>
              </w:rPr>
              <w:t>7.2. Популяризація культурних </w:t>
            </w:r>
            <w:r w:rsidRPr="008F79F2">
              <w:rPr>
                <w:rFonts w:ascii="Times New Roman" w:eastAsia="Times New Roman" w:hAnsi="Times New Roman" w:cs="Times New Roman"/>
              </w:rPr>
              <w:t>кінопроєктів</w:t>
            </w:r>
            <w:r w:rsidRPr="008F79F2">
              <w:rPr>
                <w:rFonts w:ascii="Times New Roman" w:eastAsia="Times New Roman" w:hAnsi="Times New Roman" w:cs="Times New Roman"/>
              </w:rPr>
              <w:t xml:space="preserve">, проведення тижнів українського кіно а також створення та реалізація культурно- освітніх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про видатних осіб України, Київщини, громади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B0183D0"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F97381" w14:paraId="142AA32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BE11CC" w:rsidRPr="008F79F2" w:rsidP="00F97381" w14:paraId="42C1A17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95B9EE8"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6AEBF3DC" w14:textId="77777777">
            <w:pPr>
              <w:rPr>
                <w:rFonts w:ascii="Times New Roman" w:eastAsia="Times New Roman" w:hAnsi="Times New Roman" w:cs="Times New Roman"/>
              </w:rPr>
            </w:pPr>
            <w:r w:rsidRPr="008F79F2">
              <w:rPr>
                <w:rFonts w:ascii="Times New Roman" w:eastAsia="Times New Roman" w:hAnsi="Times New Roman" w:cs="Times New Roman"/>
              </w:rPr>
              <w:t>Створення єдиного культурного простору, сприяння популяризації розвитку української мови, формування національної свідомості</w:t>
            </w:r>
          </w:p>
        </w:tc>
      </w:tr>
      <w:tr w14:paraId="6EC78D60"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C9FEA04"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5DE16C26"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BFEDFB2" w14:textId="77777777">
            <w:pPr>
              <w:rPr>
                <w:rFonts w:ascii="Times New Roman" w:eastAsia="Times New Roman" w:hAnsi="Times New Roman" w:cs="Times New Roman"/>
              </w:rPr>
            </w:pPr>
            <w:r w:rsidRPr="008F79F2">
              <w:rPr>
                <w:rFonts w:ascii="Times New Roman" w:eastAsia="Times New Roman" w:hAnsi="Times New Roman" w:cs="Times New Roman"/>
              </w:rPr>
              <w:t>7.3. </w:t>
            </w:r>
            <w:r w:rsidRPr="008F79F2">
              <w:rPr>
                <w:rFonts w:ascii="Times New Roman" w:eastAsia="Times New Roman" w:hAnsi="Times New Roman" w:cs="Times New Roman"/>
              </w:rPr>
              <w:t>Проєкт</w:t>
            </w:r>
            <w:r w:rsidRPr="008F79F2">
              <w:rPr>
                <w:rFonts w:ascii="Times New Roman" w:eastAsia="Times New Roman" w:hAnsi="Times New Roman" w:cs="Times New Roman"/>
              </w:rPr>
              <w:t xml:space="preserve"> «Читай українське» (створення мультимедійних продуктів, </w:t>
            </w:r>
            <w:r w:rsidRPr="008F79F2">
              <w:rPr>
                <w:rFonts w:ascii="Times New Roman" w:eastAsia="Times New Roman" w:hAnsi="Times New Roman" w:cs="Times New Roman"/>
              </w:rPr>
              <w:t>буктрейлерів</w:t>
            </w:r>
            <w:r w:rsidRPr="008F79F2">
              <w:rPr>
                <w:rFonts w:ascii="Times New Roman" w:eastAsia="Times New Roman" w:hAnsi="Times New Roman" w:cs="Times New Roman"/>
              </w:rPr>
              <w:t>, відеороликів, віртуальних виставок)</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BD88D19"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DA9E553"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9CF9B10"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1C7C7CAC"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Підвищення рівня інформованості населення з питань функціонування та розвитку української мови і культури, запровадження регулярних комунікаційних </w:t>
            </w:r>
            <w:r w:rsidRPr="008F79F2">
              <w:rPr>
                <w:rFonts w:ascii="Times New Roman" w:eastAsia="Times New Roman" w:hAnsi="Times New Roman" w:cs="Times New Roman"/>
              </w:rPr>
              <w:t>кампаній для залучення нових аудиторій у публічні бібліотеки через розширення їхніх можливостей</w:t>
            </w:r>
          </w:p>
        </w:tc>
      </w:tr>
      <w:tr w14:paraId="614B4DEF" w14:textId="77777777" w:rsidTr="00F97381">
        <w:tblPrEx>
          <w:tblW w:w="15583" w:type="dxa"/>
          <w:tblInd w:w="-575" w:type="dxa"/>
          <w:tblLayout w:type="fixed"/>
          <w:tblCellMar>
            <w:top w:w="15" w:type="dxa"/>
            <w:left w:w="15" w:type="dxa"/>
            <w:bottom w:w="15" w:type="dxa"/>
            <w:right w:w="15" w:type="dxa"/>
          </w:tblCellMar>
          <w:tblLook w:val="04A0"/>
        </w:tblPrEx>
        <w:trPr>
          <w:trHeight w:val="3100"/>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7887933C" w14:textId="77777777">
            <w:pPr>
              <w:jc w:val="center"/>
              <w:rPr>
                <w:rFonts w:ascii="Times New Roman" w:eastAsia="Times New Roman" w:hAnsi="Times New Roman" w:cs="Times New Roman"/>
              </w:rPr>
            </w:pPr>
            <w:r w:rsidRPr="008F79F2">
              <w:rPr>
                <w:rFonts w:ascii="Times New Roman" w:eastAsia="Times New Roman" w:hAnsi="Times New Roman" w:cs="Times New Roman"/>
              </w:rPr>
              <w:t>8</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4284C47" w14:textId="442C5523">
            <w:pPr>
              <w:jc w:val="both"/>
              <w:rPr>
                <w:rFonts w:ascii="Times New Roman" w:eastAsia="Times New Roman" w:hAnsi="Times New Roman" w:cs="Times New Roman"/>
              </w:rPr>
            </w:pPr>
            <w:r w:rsidRPr="008F79F2">
              <w:rPr>
                <w:rFonts w:ascii="Times New Roman" w:eastAsia="Times New Roman" w:hAnsi="Times New Roman" w:cs="Times New Roman"/>
              </w:rPr>
              <w:t>8.Сприяння</w:t>
            </w:r>
            <w:r w:rsidR="00F97381">
              <w:rPr>
                <w:rFonts w:ascii="Times New Roman" w:eastAsia="Times New Roman" w:hAnsi="Times New Roman" w:cs="Times New Roman"/>
              </w:rPr>
              <w:t xml:space="preserve"> </w:t>
            </w:r>
            <w:r w:rsidRPr="008F79F2">
              <w:rPr>
                <w:rFonts w:ascii="Times New Roman" w:eastAsia="Times New Roman" w:hAnsi="Times New Roman" w:cs="Times New Roman"/>
              </w:rPr>
              <w:t>запровадженню освітніх </w:t>
            </w:r>
            <w:r w:rsidRPr="008F79F2">
              <w:rPr>
                <w:rFonts w:ascii="Times New Roman" w:eastAsia="Times New Roman" w:hAnsi="Times New Roman" w:cs="Times New Roman"/>
              </w:rPr>
              <w:t>теле</w:t>
            </w:r>
            <w:r w:rsidRPr="008F79F2">
              <w:rPr>
                <w:rFonts w:ascii="Times New Roman" w:eastAsia="Times New Roman" w:hAnsi="Times New Roman" w:cs="Times New Roman"/>
              </w:rPr>
              <w:t xml:space="preserve"> - та радіопрограм та інших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з української історії та культури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1902ED6D"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8.1. Створення різнопланових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у тому числі з української історії та культури та про видатних діячів української історії і культури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05B39D4"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F97381" w14:paraId="66C63B9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BE11CC" w:rsidRPr="008F79F2" w:rsidP="00F97381" w14:paraId="5DE87421"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39BC0E40"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7E7B752D" w14:textId="77777777">
            <w:pPr>
              <w:rPr>
                <w:rFonts w:ascii="Times New Roman" w:eastAsia="Times New Roman" w:hAnsi="Times New Roman" w:cs="Times New Roman"/>
              </w:rPr>
            </w:pPr>
            <w:r w:rsidRPr="008F79F2">
              <w:rPr>
                <w:rFonts w:ascii="Times New Roman" w:eastAsia="Times New Roman" w:hAnsi="Times New Roman" w:cs="Times New Roman"/>
              </w:rPr>
              <w:t>Поширення української мови через популяризацію контенту з української історії та культури засобами інформаційних технологій та візуалізації</w:t>
            </w:r>
          </w:p>
        </w:tc>
      </w:tr>
      <w:tr w14:paraId="57BDBA35" w14:textId="77777777" w:rsidTr="00F97381">
        <w:tblPrEx>
          <w:tblW w:w="15583" w:type="dxa"/>
          <w:tblInd w:w="-575" w:type="dxa"/>
          <w:tblLayout w:type="fixed"/>
          <w:tblCellMar>
            <w:top w:w="15" w:type="dxa"/>
            <w:left w:w="15" w:type="dxa"/>
            <w:bottom w:w="15" w:type="dxa"/>
            <w:right w:w="15" w:type="dxa"/>
          </w:tblCellMar>
          <w:tblLook w:val="04A0"/>
        </w:tblPrEx>
        <w:trPr>
          <w:trHeight w:val="3660"/>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0F9BD24" w14:textId="77777777">
            <w:pPr>
              <w:jc w:val="center"/>
              <w:rPr>
                <w:rFonts w:ascii="Times New Roman" w:eastAsia="Times New Roman" w:hAnsi="Times New Roman" w:cs="Times New Roman"/>
              </w:rPr>
            </w:pPr>
            <w:r w:rsidRPr="008F79F2">
              <w:rPr>
                <w:rFonts w:ascii="Times New Roman" w:eastAsia="Times New Roman" w:hAnsi="Times New Roman" w:cs="Times New Roman"/>
              </w:rPr>
              <w:t>9</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7D9D676" w14:textId="78F49D8B">
            <w:pPr>
              <w:jc w:val="both"/>
              <w:rPr>
                <w:rFonts w:ascii="Times New Roman" w:eastAsia="Times New Roman" w:hAnsi="Times New Roman" w:cs="Times New Roman"/>
              </w:rPr>
            </w:pPr>
            <w:r w:rsidRPr="008F79F2">
              <w:rPr>
                <w:rFonts w:ascii="Times New Roman" w:eastAsia="Times New Roman" w:hAnsi="Times New Roman" w:cs="Times New Roman"/>
              </w:rPr>
              <w:t>9.Створення</w:t>
            </w:r>
            <w:r>
              <w:rPr>
                <w:rFonts w:ascii="Times New Roman" w:eastAsia="Times New Roman" w:hAnsi="Times New Roman" w:cs="Times New Roman"/>
              </w:rPr>
              <w:t xml:space="preserve"> </w:t>
            </w:r>
            <w:r w:rsidRPr="008F79F2">
              <w:rPr>
                <w:rFonts w:ascii="Times New Roman" w:eastAsia="Times New Roman" w:hAnsi="Times New Roman" w:cs="Times New Roman"/>
              </w:rPr>
              <w:t>умов для підвищення обізнаності громадян</w:t>
            </w:r>
            <w:r>
              <w:rPr>
                <w:rFonts w:ascii="Times New Roman" w:eastAsia="Times New Roman" w:hAnsi="Times New Roman" w:cs="Times New Roman"/>
              </w:rPr>
              <w:t xml:space="preserve"> </w:t>
            </w:r>
            <w:r w:rsidRPr="008F79F2">
              <w:rPr>
                <w:rFonts w:ascii="Times New Roman" w:eastAsia="Times New Roman" w:hAnsi="Times New Roman" w:cs="Times New Roman"/>
              </w:rPr>
              <w:t>про порядок застосування норм законодавства про державну мову у відповідних сферах, забезпечення реалізації громадянами</w:t>
            </w:r>
            <w:r>
              <w:rPr>
                <w:rFonts w:ascii="Times New Roman" w:eastAsia="Times New Roman" w:hAnsi="Times New Roman" w:cs="Times New Roman"/>
              </w:rPr>
              <w:t xml:space="preserve"> </w:t>
            </w:r>
            <w:r w:rsidRPr="008F79F2">
              <w:rPr>
                <w:rFonts w:ascii="Times New Roman" w:eastAsia="Times New Roman" w:hAnsi="Times New Roman" w:cs="Times New Roman"/>
              </w:rPr>
              <w:t>права</w:t>
            </w:r>
            <w:r>
              <w:rPr>
                <w:rFonts w:ascii="Times New Roman" w:eastAsia="Times New Roman" w:hAnsi="Times New Roman" w:cs="Times New Roman"/>
              </w:rPr>
              <w:t xml:space="preserve"> </w:t>
            </w:r>
            <w:r w:rsidRPr="008F79F2">
              <w:rPr>
                <w:rFonts w:ascii="Times New Roman" w:eastAsia="Times New Roman" w:hAnsi="Times New Roman" w:cs="Times New Roman"/>
              </w:rPr>
              <w:t>на одержання інформації та послуг українською мовою, у т. ч. через ЗМІ, рекламу тощо</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B05322C" w14:textId="77777777">
            <w:pPr>
              <w:rPr>
                <w:rFonts w:ascii="Times New Roman" w:eastAsia="Times New Roman" w:hAnsi="Times New Roman" w:cs="Times New Roman"/>
              </w:rPr>
            </w:pPr>
            <w:r w:rsidRPr="008F79F2">
              <w:rPr>
                <w:rFonts w:ascii="Times New Roman" w:eastAsia="Times New Roman" w:hAnsi="Times New Roman" w:cs="Times New Roman"/>
              </w:rPr>
              <w:t>9.1. Висвітлення на офіційних ресурсах місцевих органів влади, органів місцевого самоврядування та регіональних ЗМІ інформації про порядок застосування норм законодавства про державну мову, право громадян отримувати інформацію та послуги українською мовою</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162C2DC"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4DA5BF3"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8062D94"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300F585D" w14:textId="77777777">
            <w:pPr>
              <w:rPr>
                <w:rFonts w:ascii="Times New Roman" w:eastAsia="Times New Roman" w:hAnsi="Times New Roman" w:cs="Times New Roman"/>
              </w:rPr>
            </w:pPr>
            <w:r w:rsidRPr="008F79F2">
              <w:rPr>
                <w:rFonts w:ascii="Times New Roman" w:eastAsia="Times New Roman" w:hAnsi="Times New Roman" w:cs="Times New Roman"/>
              </w:rPr>
              <w:t>Підвищення рівня інформованості населення з питань функціонування та розвитку української мови, забезпечення вимог чинного законодавства України про мову, формування сприйняття української мови серед населення України як елемента національної безпеки</w:t>
            </w:r>
          </w:p>
        </w:tc>
      </w:tr>
      <w:tr w14:paraId="7C73AC10" w14:textId="77777777" w:rsidTr="00BE11CC">
        <w:tblPrEx>
          <w:tblW w:w="15583" w:type="dxa"/>
          <w:tblInd w:w="-575" w:type="dxa"/>
          <w:tblLayout w:type="fixed"/>
          <w:tblCellMar>
            <w:top w:w="15" w:type="dxa"/>
            <w:left w:w="15" w:type="dxa"/>
            <w:bottom w:w="15" w:type="dxa"/>
            <w:right w:w="15" w:type="dxa"/>
          </w:tblCellMar>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49D559A"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42E9C053"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F97381" w:rsidP="006926EC" w14:paraId="4EEB3634"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9.2. Організація в закладах культури та закладах молодіжного спрямування інформаційно- просвітницьких заходів щодо нормативного врегулювання питання використання державної мови у відповідних сферах суспільного життя, </w:t>
            </w:r>
          </w:p>
          <w:p w:rsidR="00BE11CC" w:rsidRPr="008F79F2" w:rsidP="006926EC" w14:paraId="1C83FFA7" w14:textId="73CB077D">
            <w:pPr>
              <w:spacing w:after="0"/>
              <w:rPr>
                <w:rFonts w:ascii="Times New Roman" w:eastAsia="Times New Roman" w:hAnsi="Times New Roman" w:cs="Times New Roman"/>
              </w:rPr>
            </w:pPr>
            <w:r w:rsidRPr="008F79F2">
              <w:rPr>
                <w:rFonts w:ascii="Times New Roman" w:eastAsia="Times New Roman" w:hAnsi="Times New Roman" w:cs="Times New Roman"/>
              </w:rPr>
              <w:t>функціонування та розвитку української мови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0EF378CC"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92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2D6DD665"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BE11CC" w:rsidRPr="008F79F2" w:rsidP="00C434C8" w14:paraId="69C6A194"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BE11CC" w:rsidRPr="008F79F2" w:rsidP="00C434C8" w14:paraId="04319026" w14:textId="77777777">
            <w:pPr>
              <w:rPr>
                <w:rFonts w:ascii="Times New Roman" w:eastAsia="Times New Roman" w:hAnsi="Times New Roman" w:cs="Times New Roman"/>
              </w:rPr>
            </w:pPr>
            <w:r w:rsidRPr="008F79F2">
              <w:rPr>
                <w:rFonts w:ascii="Times New Roman" w:eastAsia="Times New Roman" w:hAnsi="Times New Roman" w:cs="Times New Roman"/>
              </w:rPr>
              <w:t>Підвищення рівня інформованості населення з питань функціонування та розвитку української мови, забезпечення вимог чинного законодавства України про мову</w:t>
            </w:r>
          </w:p>
        </w:tc>
      </w:tr>
    </w:tbl>
    <w:p w:rsidR="00617517" w:rsidRPr="00EA126F" w:rsidP="00BE2C50" w14:paraId="2ACD156C" w14:textId="18BBA162">
      <w:pPr>
        <w:spacing w:after="0"/>
        <w:rPr>
          <w:rFonts w:ascii="Times New Roman" w:hAnsi="Times New Roman" w:cs="Times New Roman"/>
          <w:sz w:val="28"/>
          <w:szCs w:val="28"/>
        </w:rPr>
      </w:pPr>
    </w:p>
    <w:p w:rsidR="00617517" w:rsidRPr="00EA126F" w:rsidP="00BE2C50" w14:paraId="59C24092" w14:textId="0C340705">
      <w:pPr>
        <w:spacing w:after="0"/>
        <w:rPr>
          <w:rFonts w:ascii="Times New Roman" w:hAnsi="Times New Roman" w:cs="Times New Roman"/>
          <w:sz w:val="28"/>
          <w:szCs w:val="28"/>
        </w:rPr>
      </w:pPr>
    </w:p>
    <w:p w:rsidR="00617517" w:rsidRPr="00EA126F" w:rsidP="00BE2C50" w14:paraId="18EEAAD8" w14:textId="77777777">
      <w:pPr>
        <w:spacing w:after="0"/>
        <w:rPr>
          <w:rFonts w:ascii="Times New Roman" w:hAnsi="Times New Roman" w:cs="Times New Roman"/>
          <w:i/>
          <w:iCs/>
          <w:sz w:val="28"/>
          <w:szCs w:val="28"/>
        </w:rPr>
      </w:pPr>
    </w:p>
    <w:p w:rsidR="00F1699F" w:rsidRPr="00EA126F" w:rsidP="00BE2C50" w14:paraId="18507996" w14:textId="03F6F40E">
      <w:pPr>
        <w:spacing w:after="0"/>
        <w:rPr>
          <w:rFonts w:ascii="Times New Roman" w:hAnsi="Times New Roman" w:cs="Times New Roman"/>
          <w:iCs/>
          <w:sz w:val="28"/>
          <w:szCs w:val="28"/>
        </w:rPr>
      </w:pPr>
      <w:r w:rsidRPr="00EA126F">
        <w:rPr>
          <w:rFonts w:ascii="Times New Roman" w:hAnsi="Times New Roman" w:cs="Times New Roman"/>
          <w:iCs/>
          <w:sz w:val="28"/>
          <w:szCs w:val="28"/>
        </w:rPr>
        <w:t xml:space="preserve">Міський голова            </w:t>
      </w:r>
      <w:r w:rsidRPr="00EA126F" w:rsidR="00617517">
        <w:rPr>
          <w:rFonts w:ascii="Times New Roman" w:hAnsi="Times New Roman" w:cs="Times New Roman"/>
          <w:iCs/>
          <w:sz w:val="28"/>
          <w:szCs w:val="28"/>
        </w:rPr>
        <w:t xml:space="preserve">                                                                             </w:t>
      </w:r>
      <w:r w:rsidRPr="00EA126F">
        <w:rPr>
          <w:rFonts w:ascii="Times New Roman" w:hAnsi="Times New Roman" w:cs="Times New Roman"/>
          <w:iCs/>
          <w:sz w:val="28"/>
          <w:szCs w:val="28"/>
        </w:rPr>
        <w:t xml:space="preserve">                                              І</w:t>
      </w:r>
      <w:r w:rsidR="00BE11CC">
        <w:rPr>
          <w:rFonts w:ascii="Times New Roman" w:hAnsi="Times New Roman" w:cs="Times New Roman"/>
          <w:iCs/>
          <w:sz w:val="28"/>
          <w:szCs w:val="28"/>
        </w:rPr>
        <w:t>гор</w:t>
      </w:r>
      <w:r w:rsidRPr="00EA126F">
        <w:rPr>
          <w:rFonts w:ascii="Times New Roman" w:hAnsi="Times New Roman" w:cs="Times New Roman"/>
          <w:iCs/>
          <w:sz w:val="28"/>
          <w:szCs w:val="28"/>
        </w:rPr>
        <w:t xml:space="preserve"> </w:t>
      </w:r>
      <w:r w:rsidR="00BE11CC">
        <w:rPr>
          <w:rFonts w:ascii="Times New Roman" w:hAnsi="Times New Roman" w:cs="Times New Roman"/>
          <w:iCs/>
          <w:sz w:val="28"/>
          <w:szCs w:val="28"/>
        </w:rPr>
        <w:t>САПОЖКО</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43CEA662">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B142DA" w:rsidR="00B142DA">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5+fgNZb7O3o007fjdryQ4rnAHBjMvX1pwFmmP00yJhhMgCUIPTAZVGOTi4QfYZgkfTVJA2o5n7d&#10;lzQP2EVt0w==&#10;" w:salt="6DAVzziH2UTsaI5zKuCKU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D5820"/>
    <w:rsid w:val="000E7AC9"/>
    <w:rsid w:val="0022588C"/>
    <w:rsid w:val="00246F5A"/>
    <w:rsid w:val="00252709"/>
    <w:rsid w:val="00252A9D"/>
    <w:rsid w:val="002A0001"/>
    <w:rsid w:val="002D569F"/>
    <w:rsid w:val="00303803"/>
    <w:rsid w:val="003735BC"/>
    <w:rsid w:val="003B2A39"/>
    <w:rsid w:val="003B43E1"/>
    <w:rsid w:val="00411E03"/>
    <w:rsid w:val="004208DA"/>
    <w:rsid w:val="00424AD7"/>
    <w:rsid w:val="00482D7B"/>
    <w:rsid w:val="00524AF7"/>
    <w:rsid w:val="0053012A"/>
    <w:rsid w:val="005C6C54"/>
    <w:rsid w:val="005E68BF"/>
    <w:rsid w:val="00602E8E"/>
    <w:rsid w:val="00617517"/>
    <w:rsid w:val="00643CA3"/>
    <w:rsid w:val="006926EC"/>
    <w:rsid w:val="006C38FA"/>
    <w:rsid w:val="006F7263"/>
    <w:rsid w:val="00713AF1"/>
    <w:rsid w:val="0082641C"/>
    <w:rsid w:val="00853C00"/>
    <w:rsid w:val="008A5D36"/>
    <w:rsid w:val="008F79F2"/>
    <w:rsid w:val="009857FB"/>
    <w:rsid w:val="00990B1E"/>
    <w:rsid w:val="009E4B16"/>
    <w:rsid w:val="00A84A56"/>
    <w:rsid w:val="00AF203F"/>
    <w:rsid w:val="00B142DA"/>
    <w:rsid w:val="00B20C04"/>
    <w:rsid w:val="00B81410"/>
    <w:rsid w:val="00B933FF"/>
    <w:rsid w:val="00B9422D"/>
    <w:rsid w:val="00B97A39"/>
    <w:rsid w:val="00BE11CC"/>
    <w:rsid w:val="00BE2C50"/>
    <w:rsid w:val="00C434C8"/>
    <w:rsid w:val="00CB633A"/>
    <w:rsid w:val="00CC4EDA"/>
    <w:rsid w:val="00CD4E7D"/>
    <w:rsid w:val="00D73925"/>
    <w:rsid w:val="00DC7B8C"/>
    <w:rsid w:val="00E97F96"/>
    <w:rsid w:val="00EA126F"/>
    <w:rsid w:val="00EA4FE1"/>
    <w:rsid w:val="00EB460A"/>
    <w:rsid w:val="00F04D2F"/>
    <w:rsid w:val="00F1699F"/>
    <w:rsid w:val="00F277F8"/>
    <w:rsid w:val="00F97381"/>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102D57"/>
    <w:rsid w:val="00391820"/>
    <w:rsid w:val="00427BD1"/>
    <w:rsid w:val="004A6BAA"/>
    <w:rsid w:val="004F07C9"/>
    <w:rsid w:val="00564DF9"/>
    <w:rsid w:val="00651CF5"/>
    <w:rsid w:val="008A5D36"/>
    <w:rsid w:val="00916EAC"/>
    <w:rsid w:val="00957CFF"/>
    <w:rsid w:val="00A24391"/>
    <w:rsid w:val="00A27E64"/>
    <w:rsid w:val="00B07965"/>
    <w:rsid w:val="00C2695E"/>
    <w:rsid w:val="00D73925"/>
    <w:rsid w:val="00FB6DFE"/>
    <w:rsid w:val="00FC5A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2807</Words>
  <Characters>16001</Characters>
  <Application>Microsoft Office Word</Application>
  <DocSecurity>8</DocSecurity>
  <Lines>133</Lines>
  <Paragraphs>37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21</cp:revision>
  <dcterms:created xsi:type="dcterms:W3CDTF">2023-03-27T06:25:00Z</dcterms:created>
  <dcterms:modified xsi:type="dcterms:W3CDTF">2025-12-04T14:16:00Z</dcterms:modified>
</cp:coreProperties>
</file>