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6"/>
          <w:szCs w:val="26"/>
          <w:lang w:val="uk-UA"/>
        </w:rPr>
      </w:pPr>
      <w:r>
        <w:rPr>
          <w:rFonts w:ascii="Times New Roman" w:hAnsi="Times New Roman"/>
          <w:b w:val="1"/>
          <w:sz w:val="26"/>
          <w:szCs w:val="26"/>
          <w:lang w:val="uk-UA"/>
        </w:rPr>
        <w:t>Пояснювальна записка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>
        <w:rPr>
          <w:rFonts w:ascii="Times New Roman" w:hAnsi="Times New Roman"/>
          <w:b w:val="1"/>
          <w:sz w:val="26"/>
          <w:szCs w:val="26"/>
          <w:lang w:val="uk-UA"/>
        </w:rPr>
        <w:t xml:space="preserve"> «</w:t>
      </w:r>
      <w:r>
        <w:rPr>
          <w:rFonts w:ascii="Times New Roman" w:hAnsi="Times New Roman"/>
          <w:b w:val="1"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>
        <w:rPr>
          <w:rFonts w:ascii="Times New Roman" w:hAnsi="Times New Roman"/>
          <w:b w:val="1"/>
          <w:sz w:val="26"/>
          <w:szCs w:val="26"/>
          <w:lang w:val="uk-UA"/>
        </w:rPr>
        <w:t>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6"/>
          <w:szCs w:val="26"/>
          <w:lang w:val="uk-UA"/>
        </w:rPr>
      </w:pP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b w:val="1"/>
          <w:sz w:val="16"/>
          <w:szCs w:val="16"/>
          <w:lang w:val="uk-UA"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after="0" w:beforeAutospacing="0" w:afterAutospacing="0"/>
        <w:ind w:firstLine="567" w:left="0"/>
        <w:outlineLvl w:val="1"/>
        <w:rPr>
          <w:rFonts w:ascii="Times New Roman" w:hAnsi="Times New Roman"/>
          <w:b w:val="1"/>
          <w:sz w:val="26"/>
          <w:szCs w:val="26"/>
          <w:lang w:val="uk-UA" w:eastAsia="zh-CN"/>
        </w:rPr>
      </w:pPr>
      <w:r>
        <w:rPr>
          <w:rFonts w:ascii="Times New Roman" w:hAnsi="Times New Roman"/>
          <w:b w:val="1"/>
          <w:sz w:val="26"/>
          <w:szCs w:val="26"/>
          <w:lang w:val="uk-UA" w:eastAsia="zh-CN"/>
        </w:rPr>
        <w:t>1. Обґрунтування необхідності прийняття рішення</w:t>
      </w:r>
    </w:p>
    <w:p>
      <w:pPr>
        <w:spacing w:after="0" w:beforeAutospacing="0" w:afterAutospacing="0"/>
        <w:ind w:firstLine="567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Передбачено забезпечити виконання комплексу робіт та низку першочергових заходів на 2026 рік, спрямованих на відновлення з подальшим поліпшенням експлуатаційних показників багатоквартирних будинків.</w:t>
      </w:r>
    </w:p>
    <w:p>
      <w:pPr>
        <w:spacing w:after="0" w:beforeAutospacing="0" w:afterAutospacing="0"/>
        <w:ind w:firstLine="567" w:right="-284"/>
        <w:jc w:val="both"/>
        <w:rPr>
          <w:rFonts w:ascii="Times New Roman" w:hAnsi="Times New Roman"/>
          <w:sz w:val="16"/>
          <w:szCs w:val="16"/>
          <w:lang w:val="uk-UA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  <w:t>2. Мета і шляхи її досягнення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Забезпечити реалізацію заходів Програми на 2026 рік, шляхом затвердження обсягів фінансування.</w:t>
      </w:r>
    </w:p>
    <w:p>
      <w:pPr>
        <w:tabs>
          <w:tab w:val="left" w:pos="1134" w:leader="none"/>
          <w:tab w:val="left" w:pos="1276" w:leader="none"/>
        </w:tabs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i w:val="1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  <w:t>3. Правові аспекти</w:t>
      </w: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послуг.</w:t>
      </w: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>
      <w:pPr>
        <w:tabs>
          <w:tab w:val="left" w:pos="0" w:leader="none"/>
        </w:tabs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Очікуваний обсяг фінансування Програми на 2026 рік становить «1</w:t>
      </w:r>
      <w:r>
        <w:rPr>
          <w:rFonts w:ascii="Times New Roman" w:hAnsi="Times New Roman"/>
          <w:smallCaps w:val="0"/>
          <w:sz w:val="26"/>
          <w:szCs w:val="22"/>
          <w:cs w:val="0"/>
          <w:spacing w:val="0"/>
          <w:w w:val="100"/>
          <w:position w:val="0"/>
          <w:snapToGrid w:val="1"/>
          <w:lang w:val="uk-UA" w:eastAsia="zh-CN"/>
        </w:rPr>
        <w:t>4</w:t>
      </w:r>
      <w:r>
        <w:rPr>
          <w:rFonts w:ascii="Times New Roman" w:hAnsi="Times New Roman"/>
          <w:sz w:val="26"/>
          <w:szCs w:val="26"/>
          <w:lang w:val="uk-UA" w:eastAsia="zh-CN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uk-UA" w:eastAsia="zh-CN"/>
        </w:rPr>
        <w:t>00</w:t>
      </w:r>
      <w:r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b w:val="1"/>
          <w:sz w:val="26"/>
          <w:szCs w:val="26"/>
          <w:lang w:val="uk-UA" w:eastAsia="zh-CN"/>
        </w:rPr>
        <w:t>»</w:t>
      </w:r>
      <w:r>
        <w:rPr>
          <w:rFonts w:ascii="Times New Roman" w:hAnsi="Times New Roman"/>
          <w:sz w:val="26"/>
          <w:szCs w:val="26"/>
          <w:lang w:val="uk-UA" w:eastAsia="zh-CN"/>
        </w:rPr>
        <w:t xml:space="preserve"> тис. грн. </w:t>
      </w:r>
    </w:p>
    <w:p>
      <w:pPr>
        <w:tabs>
          <w:tab w:val="left" w:pos="0" w:leader="none"/>
        </w:tabs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 w:val="1"/>
          <w:color w:val="000000"/>
          <w:sz w:val="26"/>
          <w:szCs w:val="26"/>
          <w:lang w:val="uk-UA" w:eastAsia="zh-CN"/>
        </w:rPr>
        <w:t>5. Прогноз результатів</w:t>
      </w:r>
    </w:p>
    <w:p>
      <w:pPr>
        <w:suppressAutoHyphens w:val="1"/>
        <w:spacing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Поліпшення стану житлового фонду шляхом виконання заходів Програми</w:t>
      </w: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b w:val="1"/>
          <w:sz w:val="16"/>
          <w:szCs w:val="16"/>
          <w:shd w:val="clear" w:color="auto" w:fill="FFFFFF"/>
          <w:lang w:val="uk-UA"/>
        </w:rPr>
      </w:pP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b w:val="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b w:val="1"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Відповідальна за підготовку проекту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16"/>
          <w:szCs w:val="16"/>
          <w:lang w:val="uk-UA"/>
        </w:rPr>
      </w:pPr>
    </w:p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b w:val="1"/>
          <w:sz w:val="26"/>
          <w:szCs w:val="26"/>
          <w:lang w:val="uk-UA"/>
        </w:rPr>
      </w:pPr>
      <w:r>
        <w:rPr>
          <w:rFonts w:ascii="Times New Roman" w:hAnsi="Times New Roman"/>
          <w:b w:val="1"/>
          <w:sz w:val="26"/>
          <w:szCs w:val="26"/>
          <w:lang w:val="uk-UA"/>
        </w:rPr>
        <w:t>7. Порівняльна таблиця</w:t>
      </w:r>
    </w:p>
    <w:tbl>
      <w:tblPr>
        <w:tblW w:w="9629" w:type="dxa"/>
        <w:tblInd w:w="118" w:type="dxa"/>
        <w:tblLayout w:type="fixed"/>
        <w:tblLook w:val="04A0"/>
      </w:tblPr>
      <w:tblGrid>
        <w:gridCol w:w="983"/>
        <w:gridCol w:w="6662"/>
        <w:gridCol w:w="1984"/>
      </w:tblGrid>
      <w:tr>
        <w:trPr>
          <w:trHeight w:hRule="atLeast" w:val="306"/>
        </w:trPr>
        <w:tc>
          <w:tcPr>
            <w:tcW w:w="983" w:type="dxa"/>
            <w:tcBorders>
              <w:top w:val="single" w:sz="8" w:space="0" w:shadow="0" w:frame="0"/>
              <w:left w:val="single" w:sz="8" w:space="0" w:shadow="0" w:frame="0"/>
              <w:bottom w:val="single" w:sz="8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6662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4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Заходи реалізації Програми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 xml:space="preserve">Обсяг фінансування Програми у 2026 році,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>
        <w:trPr>
          <w:trHeight w:hRule="atLeast" w:val="142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8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8646" w:type="dxa"/>
            <w:gridSpan w:val="2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Всього видатки</w:t>
            </w:r>
          </w:p>
        </w:tc>
      </w:tr>
      <w:tr>
        <w:trPr>
          <w:trHeight w:hRule="atLeast" w:val="173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8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Житлове господарство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 w:val="1"/>
                <w:bCs w:val="1"/>
                <w:color w:val="000000"/>
                <w:sz w:val="27"/>
                <w:szCs w:val="27"/>
                <w:lang w:val="uk-UA"/>
              </w:rPr>
              <w:t>14 000,0</w:t>
            </w:r>
          </w:p>
        </w:tc>
      </w:tr>
      <w:tr>
        <w:trPr>
          <w:trHeight w:hRule="atLeast" w:val="379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3 000,00</w:t>
            </w:r>
          </w:p>
        </w:tc>
      </w:tr>
      <w:tr>
        <w:trPr>
          <w:trHeight w:hRule="atLeast" w:val="507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внутрішньобудинкових інженерних мереж тепло, водопостачання та водовідведення багатоквартирного будинку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</w:p>
        </w:tc>
      </w:tr>
      <w:tr>
        <w:trPr>
          <w:trHeight w:hRule="atLeast" w:val="277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внутрішньобудинкових інженерних мереж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3 000,00</w:t>
            </w:r>
          </w:p>
        </w:tc>
      </w:tr>
      <w:tr>
        <w:trPr>
          <w:trHeight w:hRule="atLeast" w:val="274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Термосанація багатоквартирного будинку, з метою підвищення енергоефективності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</w:p>
        </w:tc>
      </w:tr>
      <w:tr>
        <w:trPr>
          <w:trHeight w:hRule="atLeast" w:val="263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</w:p>
        </w:tc>
      </w:tr>
      <w:tr>
        <w:trPr>
          <w:trHeight w:hRule="atLeast" w:val="220"/>
        </w:trPr>
        <w:tc>
          <w:tcPr>
            <w:tcW w:w="983" w:type="dxa"/>
            <w:tcBorders>
              <w:top w:val="single" w:sz="4" w:space="0" w:shadow="0" w:frame="0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noWrap/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br w:type="page"/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1.1.6.</w:t>
            </w:r>
          </w:p>
        </w:tc>
        <w:tc>
          <w:tcPr>
            <w:tcW w:w="6662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4 000,00</w:t>
            </w:r>
          </w:p>
        </w:tc>
      </w:tr>
      <w:tr>
        <w:trPr>
          <w:trHeight w:hRule="atLeast" w:val="657"/>
        </w:trPr>
        <w:tc>
          <w:tcPr>
            <w:tcW w:w="983" w:type="dxa"/>
            <w:tcBorders>
              <w:top w:val="single" w:sz="4" w:space="0" w:shadow="0" w:frame="0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1.1.7.</w:t>
            </w:r>
          </w:p>
        </w:tc>
        <w:tc>
          <w:tcPr>
            <w:tcW w:w="6662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>
        <w:trPr>
          <w:trHeight w:hRule="atLeast" w:val="276"/>
        </w:trPr>
        <w:tc>
          <w:tcPr>
            <w:tcW w:w="983" w:type="dxa"/>
            <w:tcBorders>
              <w:top w:val="nil"/>
              <w:left w:val="single" w:sz="8" w:space="0" w:shadow="0" w:frame="0"/>
              <w:bottom w:val="single" w:sz="4" w:space="0" w:shadow="0" w:frame="0"/>
              <w:right w:val="single" w:sz="8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1.1.8.</w:t>
            </w:r>
          </w:p>
        </w:tc>
        <w:tc>
          <w:tcPr>
            <w:tcW w:w="6662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98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4 000,00</w:t>
            </w:r>
          </w:p>
        </w:tc>
      </w:tr>
    </w:tbl>
    <w:p>
      <w:pPr>
        <w:spacing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6"/>
          <w:szCs w:val="26"/>
          <w:lang w:val="uk-UA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iCs w:val="1"/>
          <w:color w:val="000000"/>
          <w:sz w:val="26"/>
          <w:szCs w:val="26"/>
          <w:lang w:val="uk-UA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iCs w:val="1"/>
          <w:color w:val="000000"/>
          <w:sz w:val="26"/>
          <w:szCs w:val="26"/>
          <w:lang w:val="uk-UA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iCs w:val="1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 w:val="1"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>
      <w:pPr>
        <w:spacing w:after="0" w:beforeAutospacing="0" w:afterAutospacing="0"/>
        <w:jc w:val="both"/>
        <w:rPr>
          <w:rFonts w:ascii="Times New Roman" w:hAnsi="Times New Roman"/>
          <w:iCs w:val="1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 w:val="1"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>
      <w:pPr>
        <w:spacing w:after="0" w:beforeAutospacing="0" w:afterAutospacing="0"/>
        <w:jc w:val="both"/>
        <w:rPr>
          <w:rFonts w:ascii="Times New Roman" w:hAnsi="Times New Roman"/>
          <w:iCs w:val="1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 w:val="1"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 w:val="1"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  <w:tab/>
        <w:t xml:space="preserve">                 Світлана РЕШЕТОВА</w:t>
      </w:r>
    </w:p>
    <w:p>
      <w:pPr>
        <w:rPr>
          <w:lang w:val="uk-UA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cp:lastPrinted>2025-12-05T11:40:00Z</cp:lastPrinted>
  <dcterms:modified xsi:type="dcterms:W3CDTF">2025-12-07T12:20:24Z</dcterms:modified>
  <cp:revision>34</cp:revision>
</cp:coreProperties>
</file>