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6"/>
          <w:szCs w:val="26"/>
          <w:lang w:val="uk-UA"/>
        </w:rPr>
      </w:pPr>
      <w:r>
        <w:rPr>
          <w:rFonts w:ascii="Times New Roman" w:hAnsi="Times New Roman"/>
          <w:b w:val="1"/>
          <w:sz w:val="26"/>
          <w:szCs w:val="26"/>
          <w:lang w:val="uk-UA"/>
        </w:rPr>
        <w:t>Пояснювальна записка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6"/>
          <w:szCs w:val="26"/>
          <w:lang w:val="uk-UA"/>
        </w:rPr>
      </w:pP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 проекту рішення</w:t>
      </w:r>
      <w:r>
        <w:rPr>
          <w:rFonts w:ascii="Times New Roman" w:hAnsi="Times New Roman"/>
          <w:b w:val="1"/>
          <w:sz w:val="26"/>
          <w:szCs w:val="26"/>
          <w:lang w:val="uk-UA"/>
        </w:rPr>
        <w:t xml:space="preserve"> «</w:t>
      </w:r>
      <w:r>
        <w:rPr>
          <w:rFonts w:ascii="Times New Roman" w:hAnsi="Times New Roman"/>
          <w:b w:val="1"/>
          <w:sz w:val="28"/>
          <w:szCs w:val="28"/>
          <w:lang w:val="uk-UA"/>
        </w:rPr>
        <w:t>Про внесення змін до Програми капітального, поточного ремонту та реконструкції об’єктів житлового фонду Броварської міської територіальної громади на 2025-2029 роки</w:t>
      </w:r>
      <w:r>
        <w:rPr>
          <w:rFonts w:ascii="Times New Roman" w:hAnsi="Times New Roman"/>
          <w:b w:val="1"/>
          <w:sz w:val="26"/>
          <w:szCs w:val="26"/>
          <w:lang w:val="uk-UA"/>
        </w:rPr>
        <w:t>»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6"/>
          <w:szCs w:val="26"/>
          <w:lang w:val="uk-UA"/>
        </w:rPr>
      </w:pPr>
    </w:p>
    <w:p>
      <w:pPr>
        <w:suppressAutoHyphens w:val="1"/>
        <w:spacing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suppressAutoHyphens w:val="1"/>
        <w:spacing w:after="0" w:beforeAutospacing="0" w:afterAutospacing="0"/>
        <w:ind w:firstLine="567"/>
        <w:jc w:val="both"/>
        <w:rPr>
          <w:rFonts w:ascii="Times New Roman" w:hAnsi="Times New Roman"/>
          <w:b w:val="1"/>
          <w:sz w:val="16"/>
          <w:szCs w:val="16"/>
          <w:lang w:val="uk-UA" w:eastAsia="zh-CN"/>
        </w:rPr>
      </w:pPr>
    </w:p>
    <w:p>
      <w:pPr>
        <w:keepNext w:val="1"/>
        <w:numPr>
          <w:ilvl w:val="1"/>
          <w:numId w:val="1"/>
        </w:numPr>
        <w:suppressAutoHyphens w:val="1"/>
        <w:spacing w:after="0" w:beforeAutospacing="0" w:afterAutospacing="0"/>
        <w:ind w:firstLine="567" w:left="0"/>
        <w:outlineLvl w:val="1"/>
        <w:rPr>
          <w:rFonts w:ascii="Times New Roman" w:hAnsi="Times New Roman"/>
          <w:b w:val="1"/>
          <w:sz w:val="26"/>
          <w:szCs w:val="26"/>
          <w:lang w:val="uk-UA" w:eastAsia="zh-CN"/>
        </w:rPr>
      </w:pPr>
      <w:r>
        <w:rPr>
          <w:rFonts w:ascii="Times New Roman" w:hAnsi="Times New Roman"/>
          <w:b w:val="1"/>
          <w:sz w:val="26"/>
          <w:szCs w:val="26"/>
          <w:lang w:val="uk-UA" w:eastAsia="zh-CN"/>
        </w:rPr>
        <w:t>1. Обґрунтування необхідності прийняття рішення</w:t>
      </w:r>
    </w:p>
    <w:p>
      <w:pPr>
        <w:spacing w:after="0" w:beforeAutospacing="0" w:afterAutospacing="0"/>
        <w:ind w:firstLine="567"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Передбачено забезпечити виконання комплексу робіт та низку першочергових заходів на 2026 рік, спрямованих на відновлення з подальшим поліпшенням експлуатаційних показників багатоквартирних будинків.</w:t>
      </w:r>
    </w:p>
    <w:p>
      <w:pPr>
        <w:spacing w:after="0" w:beforeAutospacing="0" w:afterAutospacing="0"/>
        <w:ind w:firstLine="567" w:right="-284"/>
        <w:jc w:val="both"/>
        <w:rPr>
          <w:rFonts w:ascii="Times New Roman" w:hAnsi="Times New Roman"/>
          <w:sz w:val="16"/>
          <w:szCs w:val="16"/>
          <w:lang w:val="uk-UA"/>
        </w:rPr>
      </w:pPr>
    </w:p>
    <w:p>
      <w:pPr>
        <w:tabs>
          <w:tab w:val="left" w:pos="1134" w:leader="none"/>
          <w:tab w:val="left" w:pos="1276" w:leader="none"/>
        </w:tabs>
        <w:suppressAutoHyphens w:val="1"/>
        <w:spacing w:after="0" w:beforeAutospacing="0" w:afterAutospacing="0"/>
        <w:ind w:firstLine="567"/>
        <w:jc w:val="both"/>
        <w:rPr>
          <w:rFonts w:ascii="Times New Roman" w:hAnsi="Times New Roman"/>
          <w:b w:val="1"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b w:val="1"/>
          <w:color w:val="000000"/>
          <w:sz w:val="26"/>
          <w:szCs w:val="26"/>
          <w:lang w:val="uk-UA" w:eastAsia="zh-CN"/>
        </w:rPr>
        <w:t>2. Мета і шляхи її досягнення</w:t>
      </w:r>
    </w:p>
    <w:p>
      <w:pPr>
        <w:tabs>
          <w:tab w:val="left" w:pos="1134" w:leader="none"/>
          <w:tab w:val="left" w:pos="1276" w:leader="none"/>
        </w:tabs>
        <w:suppressAutoHyphens w:val="1"/>
        <w:spacing w:after="0" w:beforeAutospacing="0" w:afterAutospacing="0"/>
        <w:ind w:firstLine="567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color w:val="000000"/>
          <w:sz w:val="26"/>
          <w:szCs w:val="26"/>
          <w:lang w:val="uk-UA" w:eastAsia="zh-CN"/>
        </w:rPr>
        <w:t>Забезпечити реалізацію заходів Програми на 2026 рік, шляхом затвердження обсягів фінансування.</w:t>
      </w:r>
    </w:p>
    <w:p>
      <w:pPr>
        <w:tabs>
          <w:tab w:val="left" w:pos="1134" w:leader="none"/>
          <w:tab w:val="left" w:pos="1276" w:leader="none"/>
        </w:tabs>
        <w:suppressAutoHyphens w:val="1"/>
        <w:spacing w:after="0" w:beforeAutospacing="0" w:afterAutospacing="0"/>
        <w:ind w:firstLine="567"/>
        <w:jc w:val="both"/>
        <w:rPr>
          <w:rFonts w:ascii="Times New Roman" w:hAnsi="Times New Roman"/>
          <w:color w:val="000000"/>
          <w:sz w:val="16"/>
          <w:szCs w:val="16"/>
          <w:lang w:val="uk-UA" w:eastAsia="zh-CN"/>
        </w:rPr>
      </w:pPr>
    </w:p>
    <w:p>
      <w:pPr>
        <w:suppressAutoHyphens w:val="1"/>
        <w:spacing w:after="0" w:beforeAutospacing="0" w:afterAutospacing="0"/>
        <w:ind w:firstLine="567"/>
        <w:jc w:val="both"/>
        <w:rPr>
          <w:rFonts w:ascii="Times New Roman" w:hAnsi="Times New Roman"/>
          <w:i w:val="1"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b w:val="1"/>
          <w:color w:val="000000"/>
          <w:sz w:val="26"/>
          <w:szCs w:val="26"/>
          <w:lang w:val="uk-UA" w:eastAsia="zh-CN"/>
        </w:rPr>
        <w:t>3. Правові аспекти</w:t>
      </w:r>
    </w:p>
    <w:p>
      <w:pPr>
        <w:suppressAutoHyphens w:val="1"/>
        <w:spacing w:after="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Програму розроблено відповідно до законів України «Про житлово-комунальні послуги», «Про особливості здійснення права власності у багатоквартирному будинку», «Про місцеве самоврядування в Україні», ст. ст. 71, 91 Бюджетного Кодексу України, наказу Державного Комітету України з питань житлово-комунального господарства від 17.05.2005 № 76 «Про затвердження Правил утримання жилих будинків та прибудинкових територій», наказу Державного комітету України з промислової безпеки, охорони праці та гірничого нагляду від 01.09.2008 № 190 «Правила будови і безпечної експлуатації ліфтів», наказу Державного комітету України з питань житлово-комунального господарства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 та інших нормативно-правових актів у сфері житлово-комунальних послуг.</w:t>
      </w:r>
    </w:p>
    <w:p>
      <w:pPr>
        <w:suppressAutoHyphens w:val="1"/>
        <w:spacing w:after="0" w:beforeAutospacing="0" w:afterAutospacing="0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>
      <w:pPr>
        <w:suppressAutoHyphens w:val="1"/>
        <w:spacing w:after="0" w:beforeAutospacing="0" w:afterAutospacing="0"/>
        <w:ind w:firstLine="567"/>
        <w:jc w:val="both"/>
        <w:rPr>
          <w:rFonts w:ascii="Times New Roman" w:hAnsi="Times New Roman"/>
          <w:b w:val="1"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b w:val="1"/>
          <w:color w:val="000000"/>
          <w:sz w:val="26"/>
          <w:szCs w:val="26"/>
          <w:lang w:val="uk-UA" w:eastAsia="zh-CN"/>
        </w:rPr>
        <w:t>4. Фінансово-економічне обґрунтування</w:t>
      </w:r>
    </w:p>
    <w:p>
      <w:pPr>
        <w:tabs>
          <w:tab w:val="left" w:pos="0" w:leader="none"/>
        </w:tabs>
        <w:suppressAutoHyphens w:val="1"/>
        <w:spacing w:after="0" w:beforeAutospacing="0" w:afterAutospacing="0"/>
        <w:ind w:firstLine="567"/>
        <w:jc w:val="both"/>
        <w:rPr>
          <w:rFonts w:ascii="Times New Roman" w:hAnsi="Times New Roman"/>
          <w:sz w:val="26"/>
          <w:szCs w:val="26"/>
          <w:lang w:val="uk-UA" w:eastAsia="zh-CN"/>
        </w:rPr>
      </w:pPr>
      <w:r>
        <w:rPr>
          <w:rFonts w:ascii="Times New Roman" w:hAnsi="Times New Roman"/>
          <w:sz w:val="26"/>
          <w:szCs w:val="26"/>
          <w:lang w:val="uk-UA" w:eastAsia="zh-CN"/>
        </w:rPr>
        <w:t>Очікуваний обсяг фінансування Програми на 2026 рік становить «1</w:t>
      </w:r>
      <w:r>
        <w:rPr>
          <w:rFonts w:ascii="Times New Roman" w:hAnsi="Times New Roman"/>
          <w:smallCaps w:val="0"/>
          <w:sz w:val="26"/>
          <w:szCs w:val="22"/>
          <w:cs w:val="0"/>
          <w:spacing w:val="0"/>
          <w:w w:val="100"/>
          <w:position w:val="0"/>
          <w:snapToGrid w:val="1"/>
          <w:lang w:val="uk-UA" w:eastAsia="zh-CN"/>
        </w:rPr>
        <w:t>4</w:t>
      </w:r>
      <w:r>
        <w:rPr>
          <w:rFonts w:ascii="Times New Roman" w:hAnsi="Times New Roman"/>
          <w:sz w:val="26"/>
          <w:szCs w:val="26"/>
          <w:lang w:val="uk-UA" w:eastAsia="zh-CN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uk-UA" w:eastAsia="zh-CN"/>
        </w:rPr>
        <w:t>00</w:t>
      </w:r>
      <w:r>
        <w:rPr>
          <w:rFonts w:ascii="Times New Roman" w:hAnsi="Times New Roman"/>
          <w:sz w:val="28"/>
          <w:szCs w:val="28"/>
        </w:rPr>
        <w:t>0,00</w:t>
      </w:r>
      <w:r>
        <w:rPr>
          <w:rFonts w:ascii="Times New Roman" w:hAnsi="Times New Roman"/>
          <w:b w:val="1"/>
          <w:sz w:val="26"/>
          <w:szCs w:val="26"/>
          <w:lang w:val="uk-UA" w:eastAsia="zh-CN"/>
        </w:rPr>
        <w:t>»</w:t>
      </w:r>
      <w:r>
        <w:rPr>
          <w:rFonts w:ascii="Times New Roman" w:hAnsi="Times New Roman"/>
          <w:sz w:val="26"/>
          <w:szCs w:val="26"/>
          <w:lang w:val="uk-UA" w:eastAsia="zh-CN"/>
        </w:rPr>
        <w:t xml:space="preserve"> тис. грн. </w:t>
      </w:r>
    </w:p>
    <w:p>
      <w:pPr>
        <w:tabs>
          <w:tab w:val="left" w:pos="0" w:leader="none"/>
        </w:tabs>
        <w:suppressAutoHyphens w:val="1"/>
        <w:spacing w:after="0" w:beforeAutospacing="0" w:afterAutospacing="0"/>
        <w:ind w:firstLine="567"/>
        <w:jc w:val="both"/>
        <w:rPr>
          <w:rFonts w:ascii="Times New Roman" w:hAnsi="Times New Roman"/>
          <w:sz w:val="16"/>
          <w:szCs w:val="16"/>
          <w:lang w:val="uk-UA" w:eastAsia="zh-CN"/>
        </w:rPr>
      </w:pPr>
    </w:p>
    <w:p>
      <w:pPr>
        <w:suppressAutoHyphens w:val="1"/>
        <w:spacing w:after="0" w:beforeAutospacing="0" w:afterAutospacing="0"/>
        <w:ind w:firstLine="567"/>
        <w:jc w:val="both"/>
        <w:rPr>
          <w:rFonts w:ascii="Times New Roman" w:hAnsi="Times New Roman"/>
          <w:b w:val="1"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b w:val="1"/>
          <w:color w:val="000000"/>
          <w:sz w:val="26"/>
          <w:szCs w:val="26"/>
          <w:lang w:val="uk-UA" w:eastAsia="zh-CN"/>
        </w:rPr>
        <w:t>5. Прогноз результатів</w:t>
      </w:r>
    </w:p>
    <w:p>
      <w:pPr>
        <w:suppressAutoHyphens w:val="1"/>
        <w:spacing w:after="0" w:beforeAutospacing="0" w:afterAutospacing="0"/>
        <w:ind w:firstLine="567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Поліпшення стану житлового фонду шляхом виконання заходів Програми</w:t>
      </w:r>
    </w:p>
    <w:p>
      <w:pPr>
        <w:spacing w:after="0" w:beforeAutospacing="0" w:afterAutospacing="0"/>
        <w:ind w:firstLine="567"/>
        <w:contextualSpacing w:val="1"/>
        <w:jc w:val="both"/>
        <w:rPr>
          <w:rFonts w:ascii="Times New Roman" w:hAnsi="Times New Roman"/>
          <w:b w:val="1"/>
          <w:sz w:val="16"/>
          <w:szCs w:val="16"/>
          <w:shd w:val="clear" w:color="auto" w:fill="FFFFFF"/>
          <w:lang w:val="uk-UA"/>
        </w:rPr>
      </w:pPr>
    </w:p>
    <w:p>
      <w:pPr>
        <w:spacing w:after="0" w:beforeAutospacing="0" w:afterAutospacing="0"/>
        <w:ind w:firstLine="567"/>
        <w:contextualSpacing w:val="1"/>
        <w:jc w:val="both"/>
        <w:rPr>
          <w:rFonts w:ascii="Times New Roman" w:hAnsi="Times New Roman"/>
          <w:b w:val="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 w:val="1"/>
          <w:sz w:val="26"/>
          <w:szCs w:val="26"/>
          <w:shd w:val="clear" w:color="auto" w:fill="FFFFFF"/>
          <w:lang w:val="uk-UA"/>
        </w:rPr>
        <w:t>6. Суб’єкт подання проекту рішення</w:t>
      </w:r>
    </w:p>
    <w:p>
      <w:pPr>
        <w:spacing w:after="0" w:beforeAutospacing="0" w:afterAutospacing="0"/>
        <w:ind w:firstLine="567"/>
        <w:contextualSpacing w:val="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spacing w:after="0" w:beforeAutospacing="0" w:afterAutospacing="0"/>
        <w:ind w:firstLine="567"/>
        <w:contextualSpacing w:val="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spacing w:after="0" w:beforeAutospacing="0" w:afterAutospacing="0"/>
        <w:ind w:firstLine="567"/>
        <w:contextualSpacing w:val="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Відповідальна за підготовку проекту рішення: Федотьєва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spacing w:after="0" w:beforeAutospacing="0" w:afterAutospacing="0"/>
        <w:ind w:firstLine="567"/>
        <w:contextualSpacing w:val="1"/>
        <w:jc w:val="both"/>
        <w:rPr>
          <w:rFonts w:ascii="Times New Roman" w:hAnsi="Times New Roman"/>
          <w:sz w:val="16"/>
          <w:szCs w:val="16"/>
          <w:lang w:val="uk-UA"/>
        </w:rPr>
      </w:pPr>
    </w:p>
    <w:p>
      <w:pPr>
        <w:spacing w:after="0" w:beforeAutospacing="0" w:afterAutospacing="0"/>
        <w:ind w:firstLine="567"/>
        <w:contextualSpacing w:val="1"/>
        <w:jc w:val="both"/>
        <w:rPr>
          <w:rFonts w:ascii="Times New Roman" w:hAnsi="Times New Roman"/>
          <w:b w:val="1"/>
          <w:sz w:val="26"/>
          <w:szCs w:val="26"/>
          <w:lang w:val="uk-UA"/>
        </w:rPr>
      </w:pPr>
      <w:r>
        <w:rPr>
          <w:rFonts w:ascii="Times New Roman" w:hAnsi="Times New Roman"/>
          <w:b w:val="1"/>
          <w:sz w:val="26"/>
          <w:szCs w:val="26"/>
          <w:lang w:val="uk-UA"/>
        </w:rPr>
        <w:t>7. Порівняльна таблиця</w:t>
      </w:r>
    </w:p>
    <w:tbl>
      <w:tblPr>
        <w:tblW w:w="9629" w:type="dxa"/>
        <w:tblInd w:w="118" w:type="dxa"/>
        <w:tblLayout w:type="fixed"/>
        <w:tblLook w:val="04A0"/>
      </w:tblPr>
      <w:tblGrid>
        <w:gridCol w:w="983"/>
        <w:gridCol w:w="6662"/>
        <w:gridCol w:w="1984"/>
      </w:tblGrid>
      <w:tr>
        <w:trPr>
          <w:trHeight w:hRule="atLeast" w:val="306"/>
        </w:trPr>
        <w:tc>
          <w:tcPr>
            <w:tcW w:w="983" w:type="dxa"/>
            <w:tcBorders>
              <w:top w:val="single" w:sz="8" w:space="0" w:shadow="0" w:frame="0"/>
              <w:left w:val="single" w:sz="8" w:space="0" w:shadow="0" w:frame="0"/>
              <w:bottom w:val="single" w:sz="8" w:space="0" w:shadow="0" w:frame="0"/>
              <w:right w:val="single" w:sz="8" w:space="0" w:shadow="0" w:frame="0"/>
            </w:tcBorders>
            <w:noWrap/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bCs w:val="1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 w:val="1"/>
                <w:bCs w:val="1"/>
                <w:color w:val="000000"/>
                <w:sz w:val="27"/>
                <w:szCs w:val="27"/>
                <w:lang w:val="uk-UA"/>
              </w:rPr>
              <w:t> </w:t>
            </w:r>
          </w:p>
        </w:tc>
        <w:tc>
          <w:tcPr>
            <w:tcW w:w="6662" w:type="dxa"/>
            <w:tcBorders>
              <w:top w:val="single" w:sz="8" w:space="0" w:shadow="0" w:frame="0"/>
              <w:left w:val="nil"/>
              <w:bottom w:val="single" w:sz="8" w:space="0" w:shadow="0" w:frame="0"/>
              <w:right w:val="single" w:sz="4" w:space="0" w:shadow="0" w:frame="0"/>
            </w:tcBorders>
            <w:noWrap/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bCs w:val="1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 w:val="1"/>
                <w:bCs w:val="1"/>
                <w:color w:val="000000"/>
                <w:sz w:val="27"/>
                <w:szCs w:val="27"/>
                <w:lang w:val="uk-UA"/>
              </w:rPr>
              <w:t>Заходи реалізації Програми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bCs w:val="1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 w:val="1"/>
                <w:bCs w:val="1"/>
                <w:color w:val="000000"/>
                <w:sz w:val="27"/>
                <w:szCs w:val="27"/>
                <w:lang w:val="uk-UA"/>
              </w:rPr>
              <w:t xml:space="preserve">Обсяг фінансування Програми у 2026 році, 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bCs w:val="1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 w:val="1"/>
                <w:bCs w:val="1"/>
                <w:color w:val="000000"/>
                <w:sz w:val="27"/>
                <w:szCs w:val="27"/>
                <w:lang w:val="uk-UA"/>
              </w:rPr>
              <w:t>тис. грн.</w:t>
            </w:r>
          </w:p>
        </w:tc>
      </w:tr>
      <w:tr>
        <w:trPr>
          <w:trHeight w:hRule="atLeast" w:val="142"/>
        </w:trPr>
        <w:tc>
          <w:tcPr>
            <w:tcW w:w="983" w:type="dxa"/>
            <w:tcBorders>
              <w:top w:val="nil"/>
              <w:left w:val="single" w:sz="8" w:space="0" w:shadow="0" w:frame="0"/>
              <w:bottom w:val="single" w:sz="8" w:space="0" w:shadow="0" w:frame="0"/>
              <w:right w:val="single" w:sz="8" w:space="0" w:shadow="0" w:frame="0"/>
            </w:tcBorders>
            <w:noWrap/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bCs w:val="1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 w:val="1"/>
                <w:bCs w:val="1"/>
                <w:color w:val="000000"/>
                <w:sz w:val="27"/>
                <w:szCs w:val="27"/>
                <w:lang w:val="uk-UA"/>
              </w:rPr>
              <w:t> </w:t>
            </w:r>
          </w:p>
        </w:tc>
        <w:tc>
          <w:tcPr>
            <w:tcW w:w="8646" w:type="dxa"/>
            <w:gridSpan w:val="2"/>
            <w:tcBorders>
              <w:top w:val="nil"/>
              <w:left w:val="nil"/>
              <w:bottom w:val="single" w:sz="8" w:space="0" w:shadow="0" w:frame="0"/>
              <w:right w:val="single" w:sz="4" w:space="0" w:shadow="0" w:frame="0"/>
            </w:tcBorders>
            <w:noWrap/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bCs w:val="1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 w:val="1"/>
                <w:bCs w:val="1"/>
                <w:color w:val="000000"/>
                <w:sz w:val="27"/>
                <w:szCs w:val="27"/>
                <w:lang w:val="uk-UA"/>
              </w:rPr>
              <w:t>Всього видатки</w:t>
            </w:r>
          </w:p>
        </w:tc>
      </w:tr>
      <w:tr>
        <w:trPr>
          <w:trHeight w:hRule="atLeast" w:val="173"/>
        </w:trPr>
        <w:tc>
          <w:tcPr>
            <w:tcW w:w="983" w:type="dxa"/>
            <w:tcBorders>
              <w:top w:val="nil"/>
              <w:left w:val="single" w:sz="8" w:space="0" w:shadow="0" w:frame="0"/>
              <w:bottom w:val="single" w:sz="8" w:space="0" w:shadow="0" w:frame="0"/>
              <w:right w:val="single" w:sz="8" w:space="0" w:shadow="0" w:frame="0"/>
            </w:tcBorders>
            <w:noWrap/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bCs w:val="1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 w:val="1"/>
                <w:bCs w:val="1"/>
                <w:color w:val="000000"/>
                <w:sz w:val="27"/>
                <w:szCs w:val="27"/>
                <w:lang w:val="uk-UA"/>
              </w:rPr>
              <w:t>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shadow="0" w:frame="0"/>
              <w:right w:val="single" w:sz="4" w:space="0" w:shadow="0" w:frame="0"/>
            </w:tcBorders>
            <w:noWrap/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bCs w:val="1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 w:val="1"/>
                <w:bCs w:val="1"/>
                <w:color w:val="000000"/>
                <w:sz w:val="27"/>
                <w:szCs w:val="27"/>
                <w:lang w:val="uk-UA"/>
              </w:rPr>
              <w:t>Житлове господарство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bCs w:val="1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 w:val="1"/>
                <w:bCs w:val="1"/>
                <w:color w:val="000000"/>
                <w:sz w:val="27"/>
                <w:szCs w:val="27"/>
                <w:lang w:val="uk-UA"/>
              </w:rPr>
              <w:t>14 000,0</w:t>
            </w:r>
          </w:p>
        </w:tc>
      </w:tr>
      <w:tr>
        <w:trPr>
          <w:trHeight w:hRule="atLeast" w:val="379"/>
        </w:trPr>
        <w:tc>
          <w:tcPr>
            <w:tcW w:w="983" w:type="dxa"/>
            <w:tcBorders>
              <w:top w:val="nil"/>
              <w:left w:val="single" w:sz="8" w:space="0" w:shadow="0" w:frame="0"/>
              <w:bottom w:val="single" w:sz="4" w:space="0" w:shadow="0" w:frame="0"/>
              <w:right w:val="single" w:sz="8" w:space="0" w:shadow="0" w:frame="0"/>
            </w:tcBorders>
            <w:noWrap/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1.1.1.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 xml:space="preserve">Реконструкція, капітальний ремонт шатрових дахів та м’яких покрівель 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3 000,00</w:t>
            </w:r>
          </w:p>
        </w:tc>
      </w:tr>
      <w:tr>
        <w:trPr>
          <w:trHeight w:hRule="atLeast" w:val="507"/>
        </w:trPr>
        <w:tc>
          <w:tcPr>
            <w:tcW w:w="983" w:type="dxa"/>
            <w:tcBorders>
              <w:top w:val="nil"/>
              <w:left w:val="single" w:sz="8" w:space="0" w:shadow="0" w:frame="0"/>
              <w:bottom w:val="single" w:sz="4" w:space="0" w:shadow="0" w:frame="0"/>
              <w:right w:val="single" w:sz="8" w:space="0" w:shadow="0" w:frame="0"/>
            </w:tcBorders>
            <w:noWrap/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1.1.2.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Реконструкція, капітальний ремонт внутрішньобудинкових інженерних мереж тепло, водопостачання та водовідведення багатоквартирного будинку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</w:tr>
      <w:tr>
        <w:trPr>
          <w:trHeight w:hRule="atLeast" w:val="277"/>
        </w:trPr>
        <w:tc>
          <w:tcPr>
            <w:tcW w:w="983" w:type="dxa"/>
            <w:tcBorders>
              <w:top w:val="nil"/>
              <w:left w:val="single" w:sz="8" w:space="0" w:shadow="0" w:frame="0"/>
              <w:bottom w:val="single" w:sz="4" w:space="0" w:shadow="0" w:frame="0"/>
              <w:right w:val="single" w:sz="8" w:space="0" w:shadow="0" w:frame="0"/>
            </w:tcBorders>
            <w:noWrap/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1.1.3.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Реконструкція, капітальний ремонт внутрішньобудинкових інженерних мереж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3 000,00</w:t>
            </w:r>
          </w:p>
        </w:tc>
      </w:tr>
      <w:tr>
        <w:trPr>
          <w:trHeight w:hRule="atLeast" w:val="274"/>
        </w:trPr>
        <w:tc>
          <w:tcPr>
            <w:tcW w:w="983" w:type="dxa"/>
            <w:tcBorders>
              <w:top w:val="nil"/>
              <w:left w:val="single" w:sz="8" w:space="0" w:shadow="0" w:frame="0"/>
              <w:bottom w:val="single" w:sz="4" w:space="0" w:shadow="0" w:frame="0"/>
              <w:right w:val="single" w:sz="8" w:space="0" w:shadow="0" w:frame="0"/>
            </w:tcBorders>
            <w:noWrap/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1.1.4.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Термосанація багатоквартирного будинку, з метою підвищення енергоефективності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</w:tr>
      <w:tr>
        <w:trPr>
          <w:trHeight w:hRule="atLeast" w:val="263"/>
        </w:trPr>
        <w:tc>
          <w:tcPr>
            <w:tcW w:w="983" w:type="dxa"/>
            <w:tcBorders>
              <w:top w:val="nil"/>
              <w:left w:val="single" w:sz="8" w:space="0" w:shadow="0" w:frame="0"/>
              <w:bottom w:val="single" w:sz="4" w:space="0" w:shadow="0" w:frame="0"/>
              <w:right w:val="single" w:sz="8" w:space="0" w:shadow="0" w:frame="0"/>
            </w:tcBorders>
            <w:noWrap/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1.1.5.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Капітальний ремонт під'їздів, сходових клітин, вхідних груп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</w:tr>
      <w:tr>
        <w:trPr>
          <w:trHeight w:hRule="atLeast" w:val="220"/>
        </w:trPr>
        <w:tc>
          <w:tcPr>
            <w:tcW w:w="983" w:type="dxa"/>
            <w:tcBorders>
              <w:top w:val="single" w:sz="4" w:space="0" w:shadow="0" w:frame="0"/>
              <w:left w:val="single" w:sz="8" w:space="0" w:shadow="0" w:frame="0"/>
              <w:bottom w:val="single" w:sz="4" w:space="0" w:shadow="0" w:frame="0"/>
              <w:right w:val="single" w:sz="8" w:space="0" w:shadow="0" w:frame="0"/>
            </w:tcBorders>
            <w:noWrap/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br w:type="page"/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1.1.6.</w:t>
            </w:r>
          </w:p>
        </w:tc>
        <w:tc>
          <w:tcPr>
            <w:tcW w:w="6662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4 000,00</w:t>
            </w:r>
          </w:p>
        </w:tc>
      </w:tr>
      <w:tr>
        <w:trPr>
          <w:trHeight w:hRule="atLeast" w:val="657"/>
        </w:trPr>
        <w:tc>
          <w:tcPr>
            <w:tcW w:w="983" w:type="dxa"/>
            <w:tcBorders>
              <w:top w:val="single" w:sz="4" w:space="0" w:shadow="0" w:frame="0"/>
              <w:left w:val="single" w:sz="8" w:space="0" w:shadow="0" w:frame="0"/>
              <w:bottom w:val="single" w:sz="4" w:space="0" w:shadow="0" w:frame="0"/>
              <w:right w:val="single" w:sz="8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1.1.7.</w:t>
            </w:r>
          </w:p>
        </w:tc>
        <w:tc>
          <w:tcPr>
            <w:tcW w:w="6662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>
        <w:trPr>
          <w:trHeight w:hRule="atLeast" w:val="276"/>
        </w:trPr>
        <w:tc>
          <w:tcPr>
            <w:tcW w:w="983" w:type="dxa"/>
            <w:tcBorders>
              <w:top w:val="nil"/>
              <w:left w:val="single" w:sz="8" w:space="0" w:shadow="0" w:frame="0"/>
              <w:bottom w:val="single" w:sz="4" w:space="0" w:shadow="0" w:frame="0"/>
              <w:right w:val="single" w:sz="8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1.1.8.</w:t>
            </w:r>
          </w:p>
        </w:tc>
        <w:tc>
          <w:tcPr>
            <w:tcW w:w="6662" w:type="dxa"/>
            <w:tcBorders>
              <w:top w:val="single" w:sz="4" w:space="0" w:shadow="0" w:frame="0"/>
              <w:left w:val="nil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Капітальний ремонт, модернізація, заміна ліфтів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4 000,00</w:t>
            </w:r>
          </w:p>
        </w:tc>
      </w:tr>
    </w:tbl>
    <w:p>
      <w:pPr>
        <w:spacing w:after="0" w:beforeAutospacing="0" w:afterAutospacing="0"/>
        <w:ind w:firstLine="567"/>
        <w:contextualSpacing w:val="1"/>
        <w:jc w:val="both"/>
        <w:rPr>
          <w:rFonts w:ascii="Times New Roman" w:hAnsi="Times New Roman"/>
          <w:sz w:val="26"/>
          <w:szCs w:val="26"/>
          <w:lang w:val="uk-UA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iCs w:val="1"/>
          <w:color w:val="000000"/>
          <w:sz w:val="26"/>
          <w:szCs w:val="26"/>
          <w:lang w:val="uk-UA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iCs w:val="1"/>
          <w:color w:val="000000"/>
          <w:sz w:val="26"/>
          <w:szCs w:val="26"/>
          <w:lang w:val="uk-UA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iCs w:val="1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iCs w:val="1"/>
          <w:color w:val="000000"/>
          <w:sz w:val="26"/>
          <w:szCs w:val="26"/>
          <w:lang w:val="uk-UA"/>
        </w:rPr>
        <w:t>Начальник управління будівництва, житлово-</w:t>
      </w:r>
    </w:p>
    <w:p>
      <w:pPr>
        <w:spacing w:after="0" w:beforeAutospacing="0" w:afterAutospacing="0"/>
        <w:jc w:val="both"/>
        <w:rPr>
          <w:rFonts w:ascii="Times New Roman" w:hAnsi="Times New Roman"/>
          <w:iCs w:val="1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iCs w:val="1"/>
          <w:color w:val="000000"/>
          <w:sz w:val="26"/>
          <w:szCs w:val="26"/>
          <w:lang w:val="uk-UA"/>
        </w:rPr>
        <w:t xml:space="preserve">комунального господарства, інфраструктури та транспорту </w:t>
      </w:r>
    </w:p>
    <w:p>
      <w:pPr>
        <w:spacing w:after="0" w:beforeAutospacing="0" w:afterAutospacing="0"/>
        <w:jc w:val="both"/>
        <w:rPr>
          <w:rFonts w:ascii="Times New Roman" w:hAnsi="Times New Roman"/>
          <w:iCs w:val="1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iCs w:val="1"/>
          <w:color w:val="000000"/>
          <w:sz w:val="26"/>
          <w:szCs w:val="26"/>
          <w:lang w:val="uk-UA"/>
        </w:rPr>
        <w:t xml:space="preserve">Броварської міської ради Броварського 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iCs w:val="1"/>
          <w:color w:val="000000"/>
          <w:sz w:val="26"/>
          <w:szCs w:val="26"/>
          <w:lang w:val="uk-UA"/>
        </w:rPr>
        <w:t xml:space="preserve">району Київської області                                       </w:t>
        <w:tab/>
        <w:t xml:space="preserve">                 Світлана РЕШЕТОВА</w:t>
      </w:r>
    </w:p>
    <w:p>
      <w:pPr>
        <w:rPr>
          <w:lang w:val="uk-UA"/>
        </w:rPr>
      </w:pP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cp:lastPrinted>2025-12-05T11:40:00Z</cp:lastPrinted>
  <dcterms:modified xsi:type="dcterms:W3CDTF">2025-12-07T12:20:24Z</dcterms:modified>
  <cp:revision>34</cp:revision>
</cp:coreProperties>
</file>