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10BE" w14:textId="77777777" w:rsidR="005B1C08" w:rsidRDefault="00954A3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C4F48B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599F5F0" w14:textId="77777777" w:rsidR="00954A31" w:rsidRPr="00F417F8" w:rsidRDefault="00954A31" w:rsidP="00954A3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417F8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відзначення</w:t>
      </w:r>
    </w:p>
    <w:p w14:paraId="5E7CF205" w14:textId="77777777" w:rsidR="00954A31" w:rsidRPr="00F417F8" w:rsidRDefault="00954A31" w:rsidP="00954A3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державних та професійних свят, ювілейних дат та святкування Дня міста</w:t>
      </w:r>
    </w:p>
    <w:p w14:paraId="7A5D90FD" w14:textId="77777777" w:rsidR="00954A31" w:rsidRPr="00F417F8" w:rsidRDefault="00954A31" w:rsidP="00954A3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Бровари, заохочення за заслуги перед Броварською міською</w:t>
      </w:r>
    </w:p>
    <w:p w14:paraId="72903EAE" w14:textId="77777777" w:rsidR="00954A31" w:rsidRDefault="00954A31" w:rsidP="00954A3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територіальною громадою на 2022-2026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2C19452" w14:textId="77777777" w:rsidR="00954A31" w:rsidRPr="0074644B" w:rsidRDefault="00954A31" w:rsidP="00954A3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63D20C" w14:textId="77777777" w:rsidR="00954A31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B7E0268" w14:textId="77777777" w:rsidR="00954A31" w:rsidRPr="00827775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C2F26EC" w14:textId="77777777" w:rsidR="00954A31" w:rsidRPr="00827775" w:rsidRDefault="00954A31" w:rsidP="00954A3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1.Обґрунтування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77F50F16" w14:textId="77777777" w:rsidR="00954A31" w:rsidRDefault="00954A31" w:rsidP="00954A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Броварська міська рада, є органом місцевого самоврядування, який представляє Броварську міську територіальну громаду, дбає про зміцнення засад місцевого самоврядування як необхідної складової розвитку громадянського суспільства і як ефективного механізму забезпечення прав, свобод та потреб членів Броварської міської територіальної громади.</w:t>
      </w:r>
    </w:p>
    <w:p w14:paraId="0F50B9A7" w14:textId="77777777" w:rsidR="00954A31" w:rsidRDefault="00954A31" w:rsidP="00954A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Одним із напрямків роботи Броварської міської ради та її виконавчого комітету є забезпечення відзначення на міському рівні загальнодержавних свят та заходів, організація та прийом офіційних делегацій з метою зміцнення економічної, соціальної, культурної, громадської та інших сфер суспільного життя Броварської міської територіальної громади.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6EEFC7C" w14:textId="77777777" w:rsidR="00954A31" w:rsidRPr="007C6616" w:rsidRDefault="00954A31" w:rsidP="00954A31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Необхідність прийняття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даного рішення обумовлена</w:t>
      </w:r>
      <w:r>
        <w:rPr>
          <w:lang w:val="uk-UA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здійсненням своєчасної закупівлі </w:t>
      </w:r>
      <w:r w:rsidRPr="007C6616">
        <w:rPr>
          <w:rFonts w:ascii="Times New Roman" w:hAnsi="Times New Roman"/>
          <w:sz w:val="28"/>
          <w:szCs w:val="28"/>
          <w:lang w:val="uk-UA"/>
        </w:rPr>
        <w:t>бланків відзнак Броварської міської ради, її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7C6616">
        <w:rPr>
          <w:rFonts w:ascii="Times New Roman" w:hAnsi="Times New Roman"/>
          <w:sz w:val="28"/>
          <w:szCs w:val="28"/>
          <w:lang w:val="uk-UA"/>
        </w:rPr>
        <w:t>комплектів Почесних відзнак Броварського міського голови «За заслуги перед містом» (знак нагрудний на стрічці, футляр, посвідчення).</w:t>
      </w:r>
    </w:p>
    <w:p w14:paraId="3958D918" w14:textId="77777777" w:rsidR="00954A31" w:rsidRPr="0032453D" w:rsidRDefault="00954A31" w:rsidP="00954A31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2453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08D4277" w14:textId="77777777" w:rsidR="00954A31" w:rsidRPr="00F417F8" w:rsidRDefault="00954A31" w:rsidP="00954A31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proofErr w:type="spellStart"/>
      <w:r w:rsidRPr="0032453D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245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</w:t>
      </w:r>
      <w:r w:rsidRPr="003245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2453D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 «</w:t>
      </w:r>
      <w:r w:rsidRPr="0032453D">
        <w:rPr>
          <w:rFonts w:ascii="Times New Roman" w:eastAsia="Times New Roman" w:hAnsi="Times New Roman" w:cs="Times New Roman"/>
          <w:sz w:val="28"/>
          <w:lang w:val="uk-UA"/>
        </w:rPr>
        <w:t>Про внесення змін до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роки»</w:t>
      </w:r>
      <w:r w:rsidRPr="0032453D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32453D">
        <w:rPr>
          <w:rFonts w:ascii="Times New Roman" w:eastAsia="Times New Roman" w:hAnsi="Times New Roman" w:cs="Times New Roman"/>
          <w:sz w:val="28"/>
          <w:lang w:val="uk-UA"/>
        </w:rPr>
        <w:t xml:space="preserve">(далі – </w:t>
      </w:r>
      <w:proofErr w:type="spellStart"/>
      <w:r w:rsidRPr="0032453D">
        <w:rPr>
          <w:rFonts w:ascii="Times New Roman" w:eastAsia="Times New Roman" w:hAnsi="Times New Roman" w:cs="Times New Roman"/>
          <w:sz w:val="28"/>
          <w:lang w:val="uk-UA"/>
        </w:rPr>
        <w:t>проєкт</w:t>
      </w:r>
      <w:proofErr w:type="spellEnd"/>
      <w:r w:rsidRPr="0032453D">
        <w:rPr>
          <w:rFonts w:ascii="Times New Roman" w:eastAsia="Times New Roman" w:hAnsi="Times New Roman" w:cs="Times New Roman"/>
          <w:sz w:val="28"/>
          <w:lang w:val="uk-UA"/>
        </w:rPr>
        <w:t xml:space="preserve"> рішення)</w:t>
      </w:r>
      <w:r w:rsidRPr="0032453D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32453D">
        <w:rPr>
          <w:rFonts w:ascii="Times New Roman" w:eastAsia="Times New Roman" w:hAnsi="Times New Roman" w:cs="Times New Roman"/>
          <w:sz w:val="28"/>
          <w:lang w:val="uk-UA"/>
        </w:rPr>
        <w:t xml:space="preserve">розроблений з метою </w:t>
      </w:r>
      <w:r w:rsidRPr="0032453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забезпечення підготовки та проведення урочистих заходів у Броварської міській територіальній громаді з нагоди відзначення свят державного, обласного, місцевого значення, належної </w:t>
      </w:r>
      <w:proofErr w:type="spellStart"/>
      <w:r w:rsidRPr="0032453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організаціїї</w:t>
      </w:r>
      <w:proofErr w:type="spellEnd"/>
      <w:r w:rsidRPr="0032453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прийому офіційних делегацій, урочистих заходів до пам’ятних дат та історичних подій, професійних свят та інших знаменних дат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 з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етою ефективн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ого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використання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бюджетних коштів у період дії воєнного стану та складання розрахунків до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проекту місцевого бюджету на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6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рік.</w:t>
      </w:r>
    </w:p>
    <w:p w14:paraId="663B936A" w14:textId="77777777" w:rsidR="00954A31" w:rsidRPr="00827775" w:rsidRDefault="00954A31" w:rsidP="00954A31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6932E97" w14:textId="77777777" w:rsidR="00954A31" w:rsidRPr="00F417F8" w:rsidRDefault="00954A31" w:rsidP="00954A31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 рішення розроблений на підставі Закону України «Про місцеве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самоврядування в Україні», Бюджетного кодексу України, Указів Президента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 «Про впорядкування відзначення пам'ятних дат і ювілеїв», «Про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додаткові заходи щодо впорядкування відзначення пам'ятних дат і ювілеїв»,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lastRenderedPageBreak/>
        <w:t>Указів Президента України щодо встановлення професійних свят і пам’ятних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дат та інших нормативно-правових актів України.</w:t>
      </w:r>
    </w:p>
    <w:p w14:paraId="276F0B9B" w14:textId="77777777" w:rsidR="00954A31" w:rsidRPr="00FC33D9" w:rsidRDefault="00954A31" w:rsidP="00954A31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4.Фінансово-економічне обґрунтування</w:t>
      </w:r>
    </w:p>
    <w:p w14:paraId="6A1D0E5A" w14:textId="77777777" w:rsidR="00954A31" w:rsidRPr="00F417F8" w:rsidRDefault="00954A31" w:rsidP="00954A31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Фінансування заходів Програми в процесі їх реалізації здійснюється за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рахунок коштів бюджету Броварської міської територіальної громади (в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межах коштів, передбачених на відповідний бюджетний період) та інших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джерел фінансування, не заборонених чинним законодавством України.</w:t>
      </w:r>
    </w:p>
    <w:p w14:paraId="77BC72C0" w14:textId="77777777" w:rsidR="00954A31" w:rsidRDefault="00954A31" w:rsidP="00954A31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.Прогноз результатів</w:t>
      </w:r>
    </w:p>
    <w:p w14:paraId="138B2AB6" w14:textId="77777777" w:rsidR="00954A31" w:rsidRPr="00422C30" w:rsidRDefault="00954A31" w:rsidP="00954A31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Реалізація цієї Програми сприятиме удосконаленню нагородної справи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на території Броварської міської територіальної громади, забезпеченню її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розвитку на засадах демократичності, відкритості, гласності та прозорості,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підвищенню соціального значення міських нагород, комплексного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розв'язання правових, організаційних та інших проблем у цій сфері.</w:t>
      </w:r>
    </w:p>
    <w:p w14:paraId="5CF23E70" w14:textId="77777777" w:rsidR="00954A31" w:rsidRDefault="00954A31" w:rsidP="00954A31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6.Суб’єкт подання проекту рішення </w:t>
      </w:r>
    </w:p>
    <w:p w14:paraId="545242FA" w14:textId="77777777" w:rsidR="00954A31" w:rsidRPr="00422C30" w:rsidRDefault="00954A31" w:rsidP="00954A3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Суб’єкт подання проекту рішення:</w:t>
      </w:r>
    </w:p>
    <w:p w14:paraId="72E0470F" w14:textId="77777777" w:rsidR="00954A31" w:rsidRPr="00FF217F" w:rsidRDefault="00954A31" w:rsidP="00954A3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Управління забезпечення діяльності виконавчого комітету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та її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виконавчих органів.</w:t>
      </w:r>
    </w:p>
    <w:p w14:paraId="21130D47" w14:textId="77777777" w:rsidR="00954A31" w:rsidRPr="00422C30" w:rsidRDefault="00954A31" w:rsidP="00954A3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Доповідач по проекту рішення:</w:t>
      </w:r>
    </w:p>
    <w:p w14:paraId="72F115F6" w14:textId="77777777" w:rsidR="00954A31" w:rsidRPr="00FF217F" w:rsidRDefault="00954A31" w:rsidP="00954A3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217F">
        <w:rPr>
          <w:rFonts w:ascii="Times New Roman" w:hAnsi="Times New Roman"/>
          <w:bCs/>
          <w:sz w:val="28"/>
          <w:szCs w:val="28"/>
          <w:lang w:val="uk-UA"/>
        </w:rPr>
        <w:t>Кузнєцов Костянтин Валентинович, начальник управління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Броварського району Київської області та її виконавчих органів.</w:t>
      </w:r>
    </w:p>
    <w:p w14:paraId="25E46EE9" w14:textId="77777777" w:rsidR="00954A31" w:rsidRPr="00422C30" w:rsidRDefault="00954A31" w:rsidP="00954A3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Відповідальна особа за підготовку проекту рішення:</w:t>
      </w:r>
    </w:p>
    <w:p w14:paraId="477FB3E4" w14:textId="77777777" w:rsidR="00954A31" w:rsidRPr="00FF217F" w:rsidRDefault="00954A31" w:rsidP="00954A31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217F">
        <w:rPr>
          <w:rFonts w:ascii="Times New Roman" w:hAnsi="Times New Roman"/>
          <w:bCs/>
          <w:sz w:val="28"/>
          <w:szCs w:val="28"/>
          <w:lang w:val="uk-UA"/>
        </w:rPr>
        <w:t>Кузнєцов Костянтин Валентинович, начальник управління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Броварського району Київської області та її виконавчих органів.</w:t>
      </w:r>
    </w:p>
    <w:p w14:paraId="0925041A" w14:textId="77777777" w:rsidR="00954A31" w:rsidRPr="00827775" w:rsidRDefault="00954A31" w:rsidP="00954A31">
      <w:pPr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</w:p>
    <w:p w14:paraId="6C1B1DDA" w14:textId="77777777" w:rsidR="00954A31" w:rsidRPr="00FF217F" w:rsidRDefault="00954A31" w:rsidP="00954A3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color w:val="000000"/>
          <w:sz w:val="28"/>
          <w:szCs w:val="28"/>
          <w:lang w:val="uk-UA" w:eastAsia="zh-CN"/>
        </w:rPr>
        <w:t>7.1.</w:t>
      </w:r>
    </w:p>
    <w:p w14:paraId="67552E2D" w14:textId="77777777" w:rsidR="00954A31" w:rsidRPr="00FF217F" w:rsidRDefault="00954A31" w:rsidP="00954A3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ПАСПОРТ</w:t>
      </w:r>
    </w:p>
    <w:p w14:paraId="49D96976" w14:textId="77777777" w:rsidR="00954A31" w:rsidRPr="00FF217F" w:rsidRDefault="00954A31" w:rsidP="00954A3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Програми відзначення державних та професійних свят, ювілейних дат</w:t>
      </w:r>
    </w:p>
    <w:p w14:paraId="34AFAA09" w14:textId="77777777" w:rsidR="00954A31" w:rsidRPr="00FF217F" w:rsidRDefault="00954A31" w:rsidP="00954A3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та святкування Дня міста Бровари, заохочення за заслуги перед</w:t>
      </w:r>
    </w:p>
    <w:p w14:paraId="521AF0C3" w14:textId="77777777" w:rsidR="00954A31" w:rsidRPr="00FF217F" w:rsidRDefault="00954A31" w:rsidP="00954A3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Броварською міською територіальною громадою на 2022-2026 роки</w:t>
      </w:r>
    </w:p>
    <w:p w14:paraId="6E934C58" w14:textId="77777777" w:rsidR="00954A31" w:rsidRPr="00633B95" w:rsidRDefault="00954A31" w:rsidP="00954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65"/>
        <w:gridCol w:w="3271"/>
        <w:gridCol w:w="2835"/>
        <w:gridCol w:w="2835"/>
      </w:tblGrid>
      <w:tr w:rsidR="00954A31" w14:paraId="5FC07F39" w14:textId="77777777" w:rsidTr="001C513E">
        <w:tc>
          <w:tcPr>
            <w:tcW w:w="665" w:type="dxa"/>
          </w:tcPr>
          <w:p w14:paraId="23E4AE34" w14:textId="77777777" w:rsidR="00954A31" w:rsidRDefault="00954A31" w:rsidP="001C513E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271" w:type="dxa"/>
          </w:tcPr>
          <w:p w14:paraId="16FBB977" w14:textId="77777777" w:rsidR="00954A31" w:rsidRDefault="00954A31" w:rsidP="001C513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5206C306" w14:textId="77777777" w:rsidR="00954A31" w:rsidRPr="00E15ED5" w:rsidRDefault="00954A31" w:rsidP="001C51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2835" w:type="dxa"/>
          </w:tcPr>
          <w:p w14:paraId="6874B13E" w14:textId="77777777" w:rsidR="00954A31" w:rsidRPr="00633B95" w:rsidRDefault="00954A31" w:rsidP="001C513E">
            <w:pPr>
              <w:spacing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:rsidR="00954A31" w14:paraId="2C242B7F" w14:textId="77777777" w:rsidTr="001C513E">
        <w:tc>
          <w:tcPr>
            <w:tcW w:w="665" w:type="dxa"/>
          </w:tcPr>
          <w:p w14:paraId="76DD9687" w14:textId="77777777" w:rsidR="00954A31" w:rsidRDefault="00954A31" w:rsidP="001C513E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3271" w:type="dxa"/>
          </w:tcPr>
          <w:p w14:paraId="2DE4BDAB" w14:textId="77777777" w:rsidR="00954A31" w:rsidRPr="00FF117C" w:rsidRDefault="00954A31" w:rsidP="001C513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Загальний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фінансових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ресурсів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необхідних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для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реалізації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протягом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усього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терміну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proofErr w:type="spellEnd"/>
          </w:p>
        </w:tc>
        <w:tc>
          <w:tcPr>
            <w:tcW w:w="2835" w:type="dxa"/>
          </w:tcPr>
          <w:p w14:paraId="3B4D1014" w14:textId="77777777" w:rsidR="00954A31" w:rsidRPr="00FF117C" w:rsidRDefault="00954A31" w:rsidP="001C513E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буде 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здійснюватись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шляхом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фінансування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рахунок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коштів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бюджету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Броварської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територіальної</w:t>
            </w:r>
            <w:proofErr w:type="spellEnd"/>
            <w:proofErr w:type="gram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166EA9A2" w14:textId="77777777" w:rsidR="00954A31" w:rsidRPr="00FF117C" w:rsidRDefault="00954A31" w:rsidP="001C513E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Потреба 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фінансуванні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2E6E6194" w14:textId="77777777" w:rsidR="00954A31" w:rsidRPr="00FF117C" w:rsidRDefault="00954A31" w:rsidP="001C513E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р.-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666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080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  <w:proofErr w:type="spellEnd"/>
          </w:p>
        </w:tc>
        <w:tc>
          <w:tcPr>
            <w:tcW w:w="2835" w:type="dxa"/>
          </w:tcPr>
          <w:p w14:paraId="5BA2274E" w14:textId="77777777" w:rsidR="00954A31" w:rsidRPr="00FF117C" w:rsidRDefault="00954A31" w:rsidP="001C513E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Виконання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заходів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буде 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здійснюватись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шляхом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фінансування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за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рахунок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коштів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бюджету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Броварської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міської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територіальної</w:t>
            </w:r>
            <w:proofErr w:type="spellEnd"/>
            <w:proofErr w:type="gram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громади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76CAD28B" w14:textId="77777777" w:rsidR="00954A31" w:rsidRPr="00FF117C" w:rsidRDefault="00954A31" w:rsidP="001C513E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Потреба у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lastRenderedPageBreak/>
              <w:t>фінансуванні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Програми</w:t>
            </w:r>
            <w:proofErr w:type="spellEnd"/>
            <w:r w:rsidRPr="00FF117C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5DFC1E53" w14:textId="77777777" w:rsidR="00954A31" w:rsidRPr="00FF117C" w:rsidRDefault="00954A31" w:rsidP="001C513E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р.-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100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000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proofErr w:type="spellStart"/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  <w:proofErr w:type="spellEnd"/>
          </w:p>
        </w:tc>
      </w:tr>
    </w:tbl>
    <w:p w14:paraId="02A57CB5" w14:textId="77777777" w:rsidR="00954A31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1ADEFDE" w14:textId="77777777" w:rsidR="00954A31" w:rsidRDefault="00954A31" w:rsidP="00954A3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7.2.</w:t>
      </w:r>
    </w:p>
    <w:p w14:paraId="28D7CF66" w14:textId="77777777" w:rsidR="00954A31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A3C4BED" w14:textId="77777777" w:rsidR="00954A31" w:rsidRPr="00A4357A" w:rsidRDefault="00954A31" w:rsidP="00954A31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Орієнтовний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обсяг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видатків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відзначення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державних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професійних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свят,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ювілейних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дат та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святкування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Дня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міста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заохочення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заслуги перед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Броварською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міською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територіальною</w:t>
      </w:r>
      <w:proofErr w:type="spellEnd"/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громадою на 2022-2026 роки</w:t>
      </w:r>
    </w:p>
    <w:p w14:paraId="7639B510" w14:textId="77777777" w:rsidR="00954A31" w:rsidRPr="00A4357A" w:rsidRDefault="00954A31" w:rsidP="00954A3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1"/>
        <w:gridCol w:w="2977"/>
        <w:gridCol w:w="1752"/>
        <w:gridCol w:w="6"/>
      </w:tblGrid>
      <w:tr w:rsidR="00954A31" w14:paraId="55FEF757" w14:textId="77777777" w:rsidTr="001C513E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EE40B4B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4735" w:type="dxa"/>
            <w:gridSpan w:val="3"/>
          </w:tcPr>
          <w:p w14:paraId="2D92060D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:rsidR="00954A31" w14:paraId="6F1E6F56" w14:textId="77777777" w:rsidTr="001C513E">
        <w:trPr>
          <w:gridAfter w:val="1"/>
          <w:wAfter w:w="6" w:type="dxa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39D8C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701" w:type="dxa"/>
          </w:tcPr>
          <w:p w14:paraId="559FCEA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vMerge w:val="restart"/>
          </w:tcPr>
          <w:p w14:paraId="6EC727B1" w14:textId="77777777" w:rsidR="00954A31" w:rsidRPr="00633B95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752" w:type="dxa"/>
          </w:tcPr>
          <w:p w14:paraId="694AA164" w14:textId="77777777" w:rsidR="00954A31" w:rsidRPr="00633B95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:rsidR="00954A31" w14:paraId="3ECDD6EE" w14:textId="77777777" w:rsidTr="001C513E">
        <w:trPr>
          <w:gridAfter w:val="1"/>
          <w:wAfter w:w="6" w:type="dxa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9AA" w14:textId="77777777" w:rsidR="00954A31" w:rsidRPr="00A4357A" w:rsidRDefault="00954A31" w:rsidP="001C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38B1FAD" w14:textId="77777777" w:rsidR="00954A31" w:rsidRPr="007755A8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1B4AFF80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8833" w14:textId="77777777" w:rsidR="00954A31" w:rsidRPr="00D63A76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54A31" w14:paraId="67EEC653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075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нагородження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20A9D34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1BF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54C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нагородження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07D53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7D0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A31" w14:paraId="40FF0D5B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E18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1.Виготовлення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2FD6CB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0F0D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F60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1.Виготовлення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4C64EB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6CB4" w14:textId="77777777" w:rsidR="00954A31" w:rsidRPr="00D63A76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20.0</w:t>
            </w:r>
          </w:p>
        </w:tc>
      </w:tr>
      <w:tr w:rsidR="00954A31" w14:paraId="23D40F5F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F57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2.Придбання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плівки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ламінування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7AB9EE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CAAF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72B7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2.Придбання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плівки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ламінування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CCB9D7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1B0A" w14:textId="77777777" w:rsidR="00954A31" w:rsidRPr="00D63A76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4.600</w:t>
            </w:r>
          </w:p>
        </w:tc>
      </w:tr>
      <w:tr w:rsidR="00954A31" w14:paraId="26D18D18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6F5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3.Придбання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квіткової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6C1781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9A08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3DF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3.Придбання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квіткової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EABB5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D85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0D436894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A53" w14:textId="77777777" w:rsidR="00954A31" w:rsidRPr="00D63A76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C5E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04D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1.4.Придбання рамок для відзнак;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EC3" w14:textId="77777777" w:rsidR="00954A31" w:rsidRPr="00D63A76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52.000</w:t>
            </w:r>
          </w:p>
        </w:tc>
      </w:tr>
      <w:tr w:rsidR="00954A31" w14:paraId="3AD86E71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AFE9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сувенірної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DC612F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4116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400,000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F4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сувенірної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8EE1F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736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5050DF72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C317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1.Повербанк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FB41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BC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1.Повербанк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17B" w14:textId="77777777" w:rsidR="00954A31" w:rsidRPr="00D63A76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54A31" w14:paraId="311C7F35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0AAE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2.Футболка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напису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8F2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74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2.Футболка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напису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0F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3AE11F36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EA6C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3.Ліхтар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06BA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F11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3.Ліхтар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82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6D5061D6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32F5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4.Плед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C0C4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7EC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4.Плед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5D4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4CCF03FA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744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знаків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нагрудних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стрічці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Почесної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заслуги перед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32431487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D4D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28,500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025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7D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A31" w14:paraId="60090B13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FFA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футлярів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Почесної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заслуги перед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564CA1B6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F6E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9,500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068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50A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A31" w14:paraId="018CCBFF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8E5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посвідчень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Почесної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заслуги перед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14:paraId="10F9CFBD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3144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2F7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D1D6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A31" w14:paraId="623078EB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388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D3C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7F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proofErr w:type="gram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комплектів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Почесних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відзнак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заслуги перед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містом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(знак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нагрудний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стрічці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футляр, </w:t>
            </w:r>
            <w:proofErr w:type="spellStart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посвідчення</w:t>
            </w:r>
            <w:proofErr w:type="spellEnd"/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98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23,400</w:t>
            </w:r>
          </w:p>
        </w:tc>
      </w:tr>
      <w:tr w:rsidR="00954A31" w14:paraId="39BD22D1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BE8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71EC9A3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2A7C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0B2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694AD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4D0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4A31" w14:paraId="2579AD3D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FE2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1.Проживання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закордонних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делегацій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B5906A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1F01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49,990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3CD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1.Проживання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закордонних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делегацій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61F287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03D4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447FFF37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D31A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2.Послуги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делегацій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6A7367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D98F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49,990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40E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2.Послуги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делегацій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801683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68D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54A31" w14:paraId="71585170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07A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3.Транспортні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752DCF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30D9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5B8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3.Транспортні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713938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1055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13E4B2A2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73E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4.Придбання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канцелярських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3D928A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C35A" w14:textId="77777777" w:rsidR="00954A31" w:rsidRPr="00B86714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A0E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4.Придбання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канцелярських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DE5410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E6D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6813B66C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BE8D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EED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C8F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836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A31" w14:paraId="0CAF0017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4006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3.Придбання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подарунків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делегацій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тому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0A82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F6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3.Придбання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подарунків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офіційних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делегацій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тому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2A7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086008F4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D71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1.Сумка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напису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CAD3C88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2E5C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A1F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1.Сумка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напису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0838B2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B9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14081C67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32DC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2.Вишиванка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довгий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рукав)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00E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098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2.Вишиванка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довгий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рукав)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A70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59A9921C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5A5C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3.Вишиванка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(короткий рукав)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514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8F3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3.Вишиванка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(короткий рукав)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D18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4071E71A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27B1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4.Ручка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A43D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A6C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4.Ручка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195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085BD026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A197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5.Поло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1331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A06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5.Поло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зображення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напису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F52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4D5A452C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EFBC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6.Термочашки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E666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E80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6.Термочашки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700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60E3BDA6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9196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7.Пам’ятний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подарунок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футлярі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F0D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801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7.Пам’ятний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подарунок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футлярі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9AA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292CD75C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2EA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8.Парасолі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1D47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791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8.Парасолі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94C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34415F51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BA97" w14:textId="77777777" w:rsidR="00954A31" w:rsidRPr="00A4357A" w:rsidRDefault="00954A31" w:rsidP="001C51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9.Повербанк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85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1D6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9.Повербанк</w:t>
            </w:r>
            <w:proofErr w:type="gram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нанесенням</w:t>
            </w:r>
            <w:proofErr w:type="spellEnd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символіки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0F9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4A31" w14:paraId="5A97E018" w14:textId="77777777" w:rsidTr="001C513E">
        <w:trPr>
          <w:gridAfter w:val="1"/>
          <w:wAfter w:w="6" w:type="dxa"/>
          <w:trHeight w:val="3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7E9E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4538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CAC" w14:textId="77777777" w:rsidR="00954A31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F877" w14:textId="77777777" w:rsidR="00954A31" w:rsidRPr="00A4357A" w:rsidRDefault="00954A31" w:rsidP="001C513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,000</w:t>
            </w:r>
          </w:p>
        </w:tc>
      </w:tr>
    </w:tbl>
    <w:p w14:paraId="0F7CE405" w14:textId="77777777" w:rsidR="00954A31" w:rsidRPr="00A4357A" w:rsidRDefault="00954A31" w:rsidP="00954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444B7D" w14:textId="77777777" w:rsidR="00954A31" w:rsidRPr="00A4357A" w:rsidRDefault="00954A31" w:rsidP="00954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10D2AC" w14:textId="77777777" w:rsidR="00954A31" w:rsidRPr="00B86714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 забезпечення</w:t>
      </w:r>
    </w:p>
    <w:p w14:paraId="686F0FA3" w14:textId="77777777" w:rsidR="00954A31" w:rsidRPr="00B86714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</w:p>
    <w:p w14:paraId="07B7C36C" w14:textId="77777777" w:rsidR="00954A31" w:rsidRPr="00B86714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</w:p>
    <w:p w14:paraId="2FD0CC98" w14:textId="77777777" w:rsidR="00954A31" w:rsidRPr="00B86714" w:rsidRDefault="00954A31" w:rsidP="00954A3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</w:p>
    <w:p w14:paraId="252E7EAF" w14:textId="016640B5" w:rsidR="009B7D79" w:rsidRPr="00244FF9" w:rsidRDefault="00954A31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області та її виконавчих органів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F52D88"/>
    <w:multiLevelType w:val="hybridMultilevel"/>
    <w:tmpl w:val="1CAC4AA2"/>
    <w:lvl w:ilvl="0" w:tplc="449A5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64B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E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67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B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8D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43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7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C6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54A31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2CEE"/>
  <w15:docId w15:val="{B82BCCC8-832A-4EF9-870A-3FFE49D9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54A31"/>
    <w:pPr>
      <w:ind w:left="720"/>
      <w:contextualSpacing/>
    </w:pPr>
  </w:style>
  <w:style w:type="table" w:styleId="a6">
    <w:name w:val="Table Grid"/>
    <w:basedOn w:val="a1"/>
    <w:uiPriority w:val="59"/>
    <w:rsid w:val="009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5432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vnakonechna@gmail.com</cp:lastModifiedBy>
  <cp:revision>15</cp:revision>
  <dcterms:created xsi:type="dcterms:W3CDTF">2021-03-03T14:03:00Z</dcterms:created>
  <dcterms:modified xsi:type="dcterms:W3CDTF">2025-12-08T14:12:00Z</dcterms:modified>
</cp:coreProperties>
</file>