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571D5" w14:textId="77777777" w:rsidR="005B1C08" w:rsidRDefault="00E64B72"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272CF729" w14:textId="77777777" w:rsidR="005B1C08" w:rsidRPr="005B1C08" w:rsidRDefault="005B1C08" w:rsidP="009B7D79">
      <w:pPr>
        <w:spacing w:after="0"/>
        <w:ind w:right="-284"/>
        <w:jc w:val="center"/>
        <w:rPr>
          <w:rFonts w:ascii="Times New Roman" w:hAnsi="Times New Roman"/>
          <w:sz w:val="28"/>
          <w:szCs w:val="28"/>
          <w:lang w:val="uk-UA"/>
        </w:rPr>
      </w:pPr>
    </w:p>
    <w:p w14:paraId="0312A043" w14:textId="77777777" w:rsidR="00E64B72" w:rsidRPr="005313DC" w:rsidRDefault="00E64B72" w:rsidP="00E64B72">
      <w:pPr>
        <w:spacing w:after="0" w:line="240" w:lineRule="auto"/>
        <w:ind w:right="-1"/>
        <w:jc w:val="center"/>
        <w:rPr>
          <w:rFonts w:ascii="Times New Roman" w:eastAsia="Calibri" w:hAnsi="Times New Roman" w:cs="Times New Roman"/>
          <w:b/>
          <w:color w:val="000000"/>
          <w:sz w:val="28"/>
          <w:szCs w:val="28"/>
          <w:lang w:val="uk-UA" w:eastAsia="en-US"/>
        </w:rPr>
      </w:pPr>
      <w:r w:rsidRPr="005B1C08">
        <w:rPr>
          <w:rFonts w:ascii="Times New Roman" w:hAnsi="Times New Roman"/>
          <w:sz w:val="28"/>
          <w:szCs w:val="28"/>
          <w:lang w:val="uk-UA"/>
        </w:rPr>
        <w:t>до проекту рішення</w:t>
      </w:r>
      <w:r>
        <w:rPr>
          <w:rFonts w:ascii="Times New Roman" w:hAnsi="Times New Roman"/>
          <w:b/>
          <w:sz w:val="28"/>
          <w:szCs w:val="28"/>
          <w:lang w:val="uk-UA"/>
        </w:rPr>
        <w:t xml:space="preserve"> </w:t>
      </w:r>
      <w:r w:rsidRPr="005313DC">
        <w:rPr>
          <w:rFonts w:ascii="Times New Roman" w:eastAsia="Calibri" w:hAnsi="Times New Roman" w:cs="Times New Roman"/>
          <w:b/>
          <w:bCs/>
          <w:color w:val="000000"/>
          <w:sz w:val="28"/>
          <w:szCs w:val="28"/>
          <w:lang w:val="uk-UA" w:eastAsia="en-US"/>
        </w:rPr>
        <w:t xml:space="preserve">«Про внесення змін до </w:t>
      </w:r>
      <w:r w:rsidRPr="005313DC">
        <w:rPr>
          <w:rFonts w:ascii="Times New Roman" w:eastAsia="Calibri" w:hAnsi="Times New Roman" w:cs="Times New Roman"/>
          <w:b/>
          <w:color w:val="000000"/>
          <w:sz w:val="28"/>
          <w:szCs w:val="28"/>
          <w:lang w:val="uk-UA" w:eastAsia="en-US"/>
        </w:rPr>
        <w:t xml:space="preserve">Програми підтримки </w:t>
      </w:r>
    </w:p>
    <w:p w14:paraId="7C9ADEF0" w14:textId="77777777" w:rsidR="00E64B72" w:rsidRPr="005313DC" w:rsidRDefault="00E64B72" w:rsidP="00E64B72">
      <w:pPr>
        <w:tabs>
          <w:tab w:val="left" w:pos="9356"/>
        </w:tabs>
        <w:spacing w:after="0" w:line="240" w:lineRule="auto"/>
        <w:ind w:left="-284" w:right="-1"/>
        <w:jc w:val="center"/>
        <w:rPr>
          <w:rFonts w:ascii="Times New Roman" w:eastAsia="Calibri" w:hAnsi="Times New Roman" w:cs="Times New Roman"/>
          <w:b/>
          <w:color w:val="000000"/>
          <w:sz w:val="28"/>
          <w:szCs w:val="28"/>
          <w:lang w:val="uk-UA" w:eastAsia="en-US"/>
        </w:rPr>
      </w:pPr>
      <w:r w:rsidRPr="005313DC">
        <w:rPr>
          <w:rFonts w:ascii="Times New Roman" w:eastAsia="Calibri" w:hAnsi="Times New Roman" w:cs="Times New Roman"/>
          <w:b/>
          <w:color w:val="000000"/>
          <w:sz w:val="28"/>
          <w:szCs w:val="28"/>
          <w:lang w:val="uk-UA" w:eastAsia="en-US"/>
        </w:rPr>
        <w:t xml:space="preserve">Захисників і Захисниць України, членів сімей </w:t>
      </w:r>
    </w:p>
    <w:p w14:paraId="5C678AA9" w14:textId="77777777" w:rsidR="00E64B72" w:rsidRPr="005A7B7C" w:rsidRDefault="00E64B72" w:rsidP="00E64B72">
      <w:pPr>
        <w:tabs>
          <w:tab w:val="left" w:pos="9356"/>
        </w:tabs>
        <w:spacing w:after="0" w:line="240" w:lineRule="auto"/>
        <w:ind w:left="-284" w:right="-1"/>
        <w:jc w:val="center"/>
        <w:rPr>
          <w:rFonts w:ascii="Times New Roman" w:eastAsia="Calibri" w:hAnsi="Times New Roman" w:cs="Times New Roman"/>
          <w:b/>
          <w:color w:val="000000"/>
          <w:sz w:val="28"/>
          <w:szCs w:val="28"/>
          <w:lang w:val="uk-UA" w:eastAsia="en-US"/>
        </w:rPr>
      </w:pPr>
      <w:r w:rsidRPr="005313DC">
        <w:rPr>
          <w:rFonts w:ascii="Times New Roman" w:eastAsia="Calibri" w:hAnsi="Times New Roman" w:cs="Times New Roman"/>
          <w:b/>
          <w:color w:val="000000"/>
          <w:sz w:val="28"/>
          <w:szCs w:val="28"/>
          <w:lang w:val="uk-UA" w:eastAsia="en-US"/>
        </w:rPr>
        <w:t>загиблих на 2024- 2026 роки»</w:t>
      </w:r>
    </w:p>
    <w:p w14:paraId="0B3F4E57" w14:textId="77777777" w:rsidR="00E64B72" w:rsidRPr="00C60748" w:rsidRDefault="00E64B72" w:rsidP="00E64B72">
      <w:pPr>
        <w:spacing w:after="0" w:line="240" w:lineRule="auto"/>
        <w:ind w:right="-1"/>
        <w:jc w:val="both"/>
        <w:rPr>
          <w:rFonts w:ascii="Times New Roman" w:eastAsia="Times New Roman" w:hAnsi="Times New Roman" w:cs="Times New Roman"/>
          <w:bCs/>
          <w:color w:val="000000"/>
          <w:sz w:val="28"/>
          <w:szCs w:val="28"/>
          <w:lang w:val="uk-UA"/>
        </w:rPr>
      </w:pPr>
      <w:r w:rsidRPr="00C60748">
        <w:rPr>
          <w:rFonts w:ascii="Times New Roman" w:eastAsia="Times New Roman" w:hAnsi="Times New Roman" w:cs="Times New Roman"/>
          <w:bCs/>
          <w:color w:val="000000"/>
          <w:sz w:val="28"/>
          <w:szCs w:val="28"/>
          <w:lang w:val="uk-UA"/>
        </w:rPr>
        <w:t>Пояснювальна записка підготовлена  відповідно до ст. 20 Регламенту Броварської  міської ради Броварського району Київської області VIII скликання.</w:t>
      </w:r>
    </w:p>
    <w:p w14:paraId="16AD0406" w14:textId="7B90B509" w:rsidR="00E64B72" w:rsidRPr="00C60748" w:rsidRDefault="00D67648" w:rsidP="00E64B72">
      <w:pPr>
        <w:tabs>
          <w:tab w:val="left" w:pos="851"/>
          <w:tab w:val="left" w:pos="9356"/>
        </w:tabs>
        <w:spacing w:line="240" w:lineRule="auto"/>
        <w:ind w:right="-1"/>
        <w:contextualSpacing/>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 xml:space="preserve">       </w:t>
      </w:r>
      <w:r w:rsidR="00E64B72" w:rsidRPr="00C60748">
        <w:rPr>
          <w:rFonts w:ascii="Times New Roman" w:eastAsia="Calibri" w:hAnsi="Times New Roman" w:cs="Times New Roman"/>
          <w:b/>
          <w:sz w:val="28"/>
          <w:szCs w:val="28"/>
          <w:lang w:val="uk-UA" w:eastAsia="en-US"/>
        </w:rPr>
        <w:t>1. Обґрунтування необхідності прийняття рішення.</w:t>
      </w:r>
    </w:p>
    <w:p w14:paraId="0680184D" w14:textId="77777777" w:rsidR="00E64B72" w:rsidRPr="00C60748" w:rsidRDefault="00E64B72" w:rsidP="00E64B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З </w:t>
      </w:r>
      <w:r w:rsidRPr="00C60748">
        <w:rPr>
          <w:rFonts w:ascii="Times New Roman" w:hAnsi="Times New Roman" w:cs="Times New Roman"/>
          <w:sz w:val="28"/>
          <w:szCs w:val="28"/>
          <w:lang w:val="uk-UA"/>
        </w:rPr>
        <w:t xml:space="preserve">моменту повномасштабного вторгнення російської федерації на територію </w:t>
      </w:r>
      <w:r>
        <w:rPr>
          <w:rFonts w:ascii="Times New Roman" w:hAnsi="Times New Roman" w:cs="Times New Roman"/>
          <w:sz w:val="28"/>
          <w:szCs w:val="28"/>
        </w:rPr>
        <w:t>України, значно збільш</w:t>
      </w:r>
      <w:r>
        <w:rPr>
          <w:rFonts w:ascii="Times New Roman" w:hAnsi="Times New Roman" w:cs="Times New Roman"/>
          <w:sz w:val="28"/>
          <w:szCs w:val="28"/>
          <w:lang w:val="uk-UA"/>
        </w:rPr>
        <w:t xml:space="preserve">илась </w:t>
      </w:r>
      <w:r w:rsidRPr="00C60748">
        <w:rPr>
          <w:rFonts w:ascii="Times New Roman" w:hAnsi="Times New Roman" w:cs="Times New Roman"/>
          <w:sz w:val="28"/>
          <w:szCs w:val="28"/>
        </w:rPr>
        <w:t xml:space="preserve">чисельність осіб, які брали (беруть) участь у заходах, необхідних для забезпечення оборони України, захисту безпеки населення та інтересів держави. </w:t>
      </w:r>
    </w:p>
    <w:p w14:paraId="7B30E556" w14:textId="77777777" w:rsidR="00E64B72" w:rsidRPr="00C60748" w:rsidRDefault="00E64B72" w:rsidP="00E64B72">
      <w:pPr>
        <w:widowControl w:val="0"/>
        <w:spacing w:after="0" w:line="240" w:lineRule="auto"/>
        <w:ind w:firstLine="567"/>
        <w:jc w:val="both"/>
        <w:rPr>
          <w:rFonts w:ascii="Times New Roman" w:hAnsi="Times New Roman" w:cs="Times New Roman"/>
          <w:sz w:val="28"/>
          <w:szCs w:val="28"/>
          <w:lang w:val="uk-UA"/>
        </w:rPr>
      </w:pPr>
      <w:r w:rsidRPr="00C60748">
        <w:rPr>
          <w:rFonts w:ascii="Times New Roman" w:hAnsi="Times New Roman" w:cs="Times New Roman"/>
          <w:sz w:val="28"/>
          <w:szCs w:val="28"/>
        </w:rPr>
        <w:t>Кожен громадянин України повинен усвідомлювати, якою високою ціною виборюється незалежність нашої держави.</w:t>
      </w:r>
    </w:p>
    <w:p w14:paraId="1DDB0A42" w14:textId="77777777" w:rsidR="00E64B72" w:rsidRPr="00C60748" w:rsidRDefault="00E64B72" w:rsidP="00E64B72">
      <w:pPr>
        <w:widowControl w:val="0"/>
        <w:spacing w:after="0" w:line="240" w:lineRule="auto"/>
        <w:ind w:firstLine="567"/>
        <w:jc w:val="both"/>
        <w:rPr>
          <w:rFonts w:ascii="Times New Roman" w:hAnsi="Times New Roman" w:cs="Times New Roman"/>
          <w:sz w:val="28"/>
          <w:szCs w:val="28"/>
          <w:lang w:val="uk-UA"/>
        </w:rPr>
      </w:pPr>
      <w:r w:rsidRPr="00C60748">
        <w:rPr>
          <w:rFonts w:ascii="Times New Roman" w:hAnsi="Times New Roman" w:cs="Times New Roman"/>
          <w:sz w:val="28"/>
          <w:szCs w:val="28"/>
          <w:lang w:val="uk-UA"/>
        </w:rPr>
        <w:t xml:space="preserve">Обов’язок кожної громади – </w:t>
      </w:r>
      <w:r>
        <w:rPr>
          <w:rFonts w:ascii="Times New Roman" w:hAnsi="Times New Roman" w:cs="Times New Roman"/>
          <w:sz w:val="28"/>
          <w:szCs w:val="28"/>
          <w:lang w:val="uk-UA"/>
        </w:rPr>
        <w:t>підтримувати</w:t>
      </w:r>
      <w:r w:rsidRPr="00C60748">
        <w:rPr>
          <w:rFonts w:ascii="Times New Roman" w:hAnsi="Times New Roman" w:cs="Times New Roman"/>
          <w:sz w:val="28"/>
          <w:szCs w:val="28"/>
          <w:lang w:val="uk-UA"/>
        </w:rPr>
        <w:t xml:space="preserve"> Захисник</w:t>
      </w:r>
      <w:r>
        <w:rPr>
          <w:rFonts w:ascii="Times New Roman" w:hAnsi="Times New Roman" w:cs="Times New Roman"/>
          <w:sz w:val="28"/>
          <w:szCs w:val="28"/>
          <w:lang w:val="uk-UA"/>
        </w:rPr>
        <w:t>ів і Захисниць України, їх сім’ї, родин загиблих Г</w:t>
      </w:r>
      <w:r w:rsidRPr="00C60748">
        <w:rPr>
          <w:rFonts w:ascii="Times New Roman" w:hAnsi="Times New Roman" w:cs="Times New Roman"/>
          <w:sz w:val="28"/>
          <w:szCs w:val="28"/>
          <w:lang w:val="uk-UA"/>
        </w:rPr>
        <w:t>ероїв, підтримки у вирішенні ряду питань соціально-побутового та матеріального характеру.</w:t>
      </w:r>
    </w:p>
    <w:p w14:paraId="77253CBF" w14:textId="77777777" w:rsidR="00E64B72" w:rsidRPr="00C60748" w:rsidRDefault="00E64B72" w:rsidP="00E64B72">
      <w:pPr>
        <w:widowControl w:val="0"/>
        <w:spacing w:after="0" w:line="240" w:lineRule="auto"/>
        <w:ind w:firstLine="567"/>
        <w:jc w:val="both"/>
        <w:rPr>
          <w:rFonts w:ascii="Times New Roman" w:hAnsi="Times New Roman" w:cs="Times New Roman"/>
          <w:sz w:val="28"/>
          <w:szCs w:val="28"/>
          <w:lang w:val="uk-UA"/>
        </w:rPr>
      </w:pPr>
      <w:r w:rsidRPr="00C60748">
        <w:rPr>
          <w:rFonts w:ascii="Times New Roman" w:hAnsi="Times New Roman" w:cs="Times New Roman"/>
          <w:sz w:val="28"/>
          <w:szCs w:val="28"/>
          <w:lang w:val="uk-UA"/>
        </w:rPr>
        <w:t>Тому</w:t>
      </w:r>
      <w:r>
        <w:rPr>
          <w:rFonts w:ascii="Times New Roman" w:hAnsi="Times New Roman" w:cs="Times New Roman"/>
          <w:sz w:val="28"/>
          <w:szCs w:val="28"/>
          <w:lang w:val="uk-UA"/>
        </w:rPr>
        <w:t>,</w:t>
      </w:r>
      <w:r w:rsidRPr="00C60748">
        <w:rPr>
          <w:rFonts w:ascii="Times New Roman" w:hAnsi="Times New Roman" w:cs="Times New Roman"/>
          <w:sz w:val="28"/>
          <w:szCs w:val="28"/>
          <w:lang w:val="uk-UA"/>
        </w:rPr>
        <w:t xml:space="preserve"> рішенням сесії Броварської міської ради Броварського району Київської області від 27.02.2025 року № </w:t>
      </w:r>
      <w:r w:rsidRPr="00C60748">
        <w:rPr>
          <w:rFonts w:ascii="Times New Roman" w:eastAsia="Calibri" w:hAnsi="Times New Roman" w:cs="Times New Roman"/>
          <w:sz w:val="28"/>
          <w:szCs w:val="28"/>
          <w:lang w:val="uk-UA" w:eastAsia="en-US"/>
        </w:rPr>
        <w:t xml:space="preserve">2002-88-08 </w:t>
      </w:r>
      <w:r w:rsidRPr="00C60748">
        <w:rPr>
          <w:rFonts w:ascii="Times New Roman" w:hAnsi="Times New Roman" w:cs="Times New Roman"/>
          <w:sz w:val="28"/>
          <w:szCs w:val="28"/>
          <w:lang w:val="uk-UA"/>
        </w:rPr>
        <w:t>була затверджена Програма підтримки Захисників і Захисниць України, членів сімей загиблих на 2024-2026 роки.</w:t>
      </w:r>
    </w:p>
    <w:p w14:paraId="6A98631F" w14:textId="77777777" w:rsidR="00E64B72" w:rsidRPr="00C60748" w:rsidRDefault="00E64B72" w:rsidP="00E64B72">
      <w:pPr>
        <w:shd w:val="clear" w:color="auto" w:fill="FFFFFF"/>
        <w:spacing w:after="0" w:line="240" w:lineRule="auto"/>
        <w:ind w:firstLine="567"/>
        <w:jc w:val="both"/>
        <w:rPr>
          <w:rFonts w:ascii="Times New Roman" w:hAnsi="Times New Roman" w:cs="Times New Roman"/>
          <w:sz w:val="28"/>
          <w:szCs w:val="28"/>
        </w:rPr>
      </w:pPr>
      <w:r w:rsidRPr="00C60748">
        <w:rPr>
          <w:rFonts w:ascii="Times New Roman" w:hAnsi="Times New Roman" w:cs="Times New Roman"/>
          <w:sz w:val="28"/>
          <w:szCs w:val="28"/>
        </w:rPr>
        <w:t>Програма спрямована на підтримку:</w:t>
      </w:r>
    </w:p>
    <w:p w14:paraId="731F804A" w14:textId="77777777" w:rsidR="00E64B72" w:rsidRPr="00C60748" w:rsidRDefault="00E64B72" w:rsidP="00E64B72">
      <w:pPr>
        <w:numPr>
          <w:ilvl w:val="0"/>
          <w:numId w:val="2"/>
        </w:numPr>
        <w:shd w:val="clear" w:color="auto" w:fill="FFFFFF"/>
        <w:spacing w:after="0" w:line="240" w:lineRule="auto"/>
        <w:ind w:left="0" w:firstLine="567"/>
        <w:jc w:val="both"/>
        <w:rPr>
          <w:rFonts w:ascii="Times New Roman" w:hAnsi="Times New Roman" w:cs="Times New Roman"/>
          <w:sz w:val="28"/>
          <w:szCs w:val="28"/>
        </w:rPr>
      </w:pPr>
      <w:r w:rsidRPr="00C60748">
        <w:rPr>
          <w:rFonts w:ascii="Times New Roman" w:hAnsi="Times New Roman" w:cs="Times New Roman"/>
          <w:sz w:val="28"/>
          <w:szCs w:val="28"/>
        </w:rPr>
        <w:t>Захисників / Захисниць України, які беруть (брали) участь у заходах, необхідних для забезпечення відсічі збройної агресії російської федерації, які мають або матимуть статус ветеранів війни;</w:t>
      </w:r>
    </w:p>
    <w:p w14:paraId="1A898388" w14:textId="77777777" w:rsidR="00E64B72" w:rsidRPr="00C60748" w:rsidRDefault="00E64B72" w:rsidP="00E64B72">
      <w:pPr>
        <w:numPr>
          <w:ilvl w:val="0"/>
          <w:numId w:val="2"/>
        </w:numPr>
        <w:shd w:val="clear" w:color="auto" w:fill="FFFFFF"/>
        <w:spacing w:after="0" w:line="240" w:lineRule="auto"/>
        <w:ind w:left="0" w:firstLine="567"/>
        <w:jc w:val="both"/>
        <w:rPr>
          <w:rFonts w:ascii="Times New Roman" w:hAnsi="Times New Roman" w:cs="Times New Roman"/>
          <w:sz w:val="28"/>
          <w:szCs w:val="28"/>
        </w:rPr>
      </w:pPr>
      <w:r w:rsidRPr="00C60748">
        <w:rPr>
          <w:rFonts w:ascii="Times New Roman" w:hAnsi="Times New Roman" w:cs="Times New Roman"/>
          <w:color w:val="000000"/>
          <w:sz w:val="28"/>
          <w:szCs w:val="28"/>
        </w:rPr>
        <w:t>родин загиблих (померлих) Захисників чи Захисниць України;</w:t>
      </w:r>
    </w:p>
    <w:p w14:paraId="2887BA92" w14:textId="77777777" w:rsidR="00E64B72" w:rsidRPr="00C60748" w:rsidRDefault="00E64B72" w:rsidP="00E64B72">
      <w:pPr>
        <w:numPr>
          <w:ilvl w:val="0"/>
          <w:numId w:val="2"/>
        </w:numPr>
        <w:shd w:val="clear" w:color="auto" w:fill="FFFFFF"/>
        <w:spacing w:after="0" w:line="240" w:lineRule="auto"/>
        <w:ind w:left="0" w:firstLine="567"/>
        <w:jc w:val="both"/>
        <w:rPr>
          <w:rFonts w:ascii="Times New Roman" w:hAnsi="Times New Roman" w:cs="Times New Roman"/>
          <w:sz w:val="28"/>
          <w:szCs w:val="28"/>
        </w:rPr>
      </w:pPr>
      <w:r w:rsidRPr="00C60748">
        <w:rPr>
          <w:rFonts w:ascii="Times New Roman" w:hAnsi="Times New Roman" w:cs="Times New Roman"/>
          <w:sz w:val="28"/>
          <w:szCs w:val="28"/>
        </w:rPr>
        <w:t xml:space="preserve">членів сімей, які знаходяться в пошуку безвісти </w:t>
      </w:r>
      <w:r>
        <w:rPr>
          <w:rFonts w:ascii="Times New Roman" w:hAnsi="Times New Roman" w:cs="Times New Roman"/>
          <w:sz w:val="28"/>
          <w:szCs w:val="28"/>
          <w:lang w:val="uk-UA"/>
        </w:rPr>
        <w:t xml:space="preserve">зниклих </w:t>
      </w:r>
      <w:r w:rsidRPr="00C60748">
        <w:rPr>
          <w:rFonts w:ascii="Times New Roman" w:hAnsi="Times New Roman" w:cs="Times New Roman"/>
          <w:sz w:val="28"/>
          <w:szCs w:val="28"/>
        </w:rPr>
        <w:t>Захисників та Захисниць України .</w:t>
      </w:r>
    </w:p>
    <w:p w14:paraId="7A0D356C" w14:textId="77777777" w:rsidR="00E64B72" w:rsidRPr="00C60748" w:rsidRDefault="00E64B72" w:rsidP="00E64B72">
      <w:pPr>
        <w:widowControl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реалізацію заходів Програми на 2025 рік </w:t>
      </w:r>
      <w:r w:rsidRPr="00C60748">
        <w:rPr>
          <w:rFonts w:ascii="Times New Roman" w:hAnsi="Times New Roman" w:cs="Times New Roman"/>
          <w:sz w:val="28"/>
          <w:szCs w:val="28"/>
          <w:lang w:val="uk-UA"/>
        </w:rPr>
        <w:t>з місцевого бюджету було виділено</w:t>
      </w:r>
      <w:r>
        <w:rPr>
          <w:rFonts w:ascii="Times New Roman" w:hAnsi="Times New Roman" w:cs="Times New Roman"/>
          <w:sz w:val="28"/>
          <w:szCs w:val="28"/>
          <w:lang w:val="uk-UA"/>
        </w:rPr>
        <w:t xml:space="preserve"> </w:t>
      </w:r>
      <w:r w:rsidRPr="00C60748">
        <w:rPr>
          <w:rFonts w:ascii="Times New Roman" w:hAnsi="Times New Roman" w:cs="Times New Roman"/>
          <w:sz w:val="28"/>
          <w:szCs w:val="28"/>
          <w:lang w:val="uk-UA"/>
        </w:rPr>
        <w:t>– 33373,634 тис. грн.</w:t>
      </w:r>
      <w:r>
        <w:rPr>
          <w:rFonts w:ascii="Times New Roman" w:hAnsi="Times New Roman" w:cs="Times New Roman"/>
          <w:sz w:val="28"/>
          <w:szCs w:val="28"/>
          <w:lang w:val="uk-UA"/>
        </w:rPr>
        <w:t>, та д</w:t>
      </w:r>
      <w:r w:rsidRPr="00C60748">
        <w:rPr>
          <w:rFonts w:ascii="Times New Roman" w:hAnsi="Times New Roman" w:cs="Times New Roman"/>
          <w:sz w:val="28"/>
          <w:szCs w:val="28"/>
          <w:lang w:val="uk-UA"/>
        </w:rPr>
        <w:t>о фінансовано</w:t>
      </w:r>
      <w:r>
        <w:rPr>
          <w:rFonts w:ascii="Times New Roman" w:hAnsi="Times New Roman" w:cs="Times New Roman"/>
          <w:sz w:val="28"/>
          <w:szCs w:val="28"/>
          <w:lang w:val="uk-UA"/>
        </w:rPr>
        <w:t xml:space="preserve"> </w:t>
      </w:r>
      <w:r w:rsidRPr="00C60748">
        <w:rPr>
          <w:rFonts w:ascii="Times New Roman" w:hAnsi="Times New Roman" w:cs="Times New Roman"/>
          <w:sz w:val="28"/>
          <w:szCs w:val="28"/>
          <w:lang w:val="uk-UA"/>
        </w:rPr>
        <w:t>–</w:t>
      </w:r>
      <w:r w:rsidRPr="00C60748">
        <w:rPr>
          <w:rFonts w:ascii="Times New Roman" w:hAnsi="Times New Roman" w:cs="Times New Roman"/>
          <w:sz w:val="28"/>
          <w:szCs w:val="28"/>
        </w:rPr>
        <w:t xml:space="preserve"> </w:t>
      </w:r>
      <w:r w:rsidRPr="00C60748">
        <w:rPr>
          <w:rFonts w:ascii="Times New Roman" w:hAnsi="Times New Roman" w:cs="Times New Roman"/>
          <w:sz w:val="28"/>
          <w:szCs w:val="28"/>
          <w:lang w:val="uk-UA"/>
        </w:rPr>
        <w:t>15190,834 тис. грн.</w:t>
      </w:r>
    </w:p>
    <w:p w14:paraId="67C76DE3" w14:textId="77777777" w:rsidR="00E64B72" w:rsidRPr="00C60748" w:rsidRDefault="00E64B72" w:rsidP="00E64B72">
      <w:pPr>
        <w:widowControl w:val="0"/>
        <w:spacing w:after="0" w:line="240" w:lineRule="auto"/>
        <w:ind w:firstLine="567"/>
        <w:jc w:val="both"/>
        <w:rPr>
          <w:rFonts w:ascii="Times New Roman" w:hAnsi="Times New Roman" w:cs="Times New Roman"/>
          <w:sz w:val="28"/>
          <w:szCs w:val="28"/>
          <w:lang w:val="uk-UA"/>
        </w:rPr>
      </w:pPr>
      <w:r w:rsidRPr="00C60748">
        <w:rPr>
          <w:rFonts w:ascii="Times New Roman" w:hAnsi="Times New Roman" w:cs="Times New Roman"/>
          <w:sz w:val="28"/>
          <w:szCs w:val="28"/>
          <w:lang w:val="uk-UA"/>
        </w:rPr>
        <w:t xml:space="preserve">Загальний обсяг фінансування Програми на 2025 рік складає – 3373,634 тис. грн. </w:t>
      </w:r>
    </w:p>
    <w:p w14:paraId="68CF8ED4" w14:textId="77777777" w:rsidR="00E64B72" w:rsidRPr="00C60748" w:rsidRDefault="00E64B72" w:rsidP="00E64B72">
      <w:pPr>
        <w:widowControl w:val="0"/>
        <w:spacing w:after="0" w:line="240" w:lineRule="auto"/>
        <w:ind w:firstLine="567"/>
        <w:jc w:val="both"/>
        <w:rPr>
          <w:rFonts w:ascii="Times New Roman" w:hAnsi="Times New Roman" w:cs="Times New Roman"/>
          <w:sz w:val="28"/>
          <w:szCs w:val="28"/>
        </w:rPr>
      </w:pPr>
      <w:r w:rsidRPr="00C60748">
        <w:rPr>
          <w:rFonts w:ascii="Times New Roman" w:hAnsi="Times New Roman" w:cs="Times New Roman"/>
          <w:sz w:val="28"/>
          <w:szCs w:val="28"/>
          <w:lang w:val="uk-UA"/>
        </w:rPr>
        <w:t xml:space="preserve">Охоплено заходами Програми </w:t>
      </w:r>
      <w:r>
        <w:rPr>
          <w:rFonts w:ascii="Times New Roman" w:hAnsi="Times New Roman" w:cs="Times New Roman"/>
          <w:sz w:val="28"/>
          <w:szCs w:val="28"/>
          <w:lang w:val="uk-UA"/>
        </w:rPr>
        <w:t xml:space="preserve">- </w:t>
      </w:r>
      <w:r w:rsidRPr="00C60748">
        <w:rPr>
          <w:rFonts w:ascii="Times New Roman" w:hAnsi="Times New Roman" w:cs="Times New Roman"/>
          <w:sz w:val="28"/>
          <w:szCs w:val="28"/>
          <w:lang w:val="uk-UA"/>
        </w:rPr>
        <w:t>6209 осіб.</w:t>
      </w:r>
    </w:p>
    <w:p w14:paraId="7DA75465" w14:textId="77777777" w:rsidR="00E64B72" w:rsidRPr="00C60748" w:rsidRDefault="00E64B72" w:rsidP="00E64B72">
      <w:pPr>
        <w:widowControl w:val="0"/>
        <w:spacing w:after="0" w:line="240" w:lineRule="auto"/>
        <w:ind w:firstLine="567"/>
        <w:jc w:val="both"/>
        <w:rPr>
          <w:rFonts w:ascii="Times New Roman" w:hAnsi="Times New Roman" w:cs="Times New Roman"/>
          <w:sz w:val="28"/>
          <w:szCs w:val="28"/>
          <w:lang w:val="uk-UA"/>
        </w:rPr>
      </w:pPr>
      <w:r w:rsidRPr="00C60748">
        <w:rPr>
          <w:rFonts w:ascii="Times New Roman" w:hAnsi="Times New Roman" w:cs="Times New Roman"/>
          <w:sz w:val="28"/>
          <w:szCs w:val="28"/>
          <w:lang w:val="uk-UA"/>
        </w:rPr>
        <w:t xml:space="preserve">На фінансування заходів Програми у 2026 році пропонується виділити з місцевого бюджету 13060,0 тис. грн </w:t>
      </w:r>
    </w:p>
    <w:p w14:paraId="175DB0C9" w14:textId="6148EF39" w:rsidR="00E64B72" w:rsidRPr="00C60748" w:rsidRDefault="00D67648" w:rsidP="00E64B72">
      <w:pPr>
        <w:tabs>
          <w:tab w:val="num" w:pos="0"/>
        </w:tabs>
        <w:spacing w:after="0" w:line="240" w:lineRule="auto"/>
        <w:ind w:right="-1"/>
        <w:contextualSpacing/>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 xml:space="preserve">        </w:t>
      </w:r>
      <w:r w:rsidR="00E64B72" w:rsidRPr="00C60748">
        <w:rPr>
          <w:rFonts w:ascii="Times New Roman" w:eastAsia="Calibri" w:hAnsi="Times New Roman" w:cs="Times New Roman"/>
          <w:b/>
          <w:sz w:val="28"/>
          <w:szCs w:val="28"/>
          <w:lang w:val="uk-UA" w:eastAsia="en-US"/>
        </w:rPr>
        <w:t>2. Мета і шляхи її досягнення.</w:t>
      </w:r>
    </w:p>
    <w:p w14:paraId="0053DFDF" w14:textId="77777777" w:rsidR="00E64B72" w:rsidRPr="00C60748" w:rsidRDefault="00E64B72" w:rsidP="00E64B72">
      <w:pPr>
        <w:spacing w:after="0" w:line="240" w:lineRule="auto"/>
        <w:ind w:firstLine="567"/>
        <w:jc w:val="both"/>
        <w:rPr>
          <w:rFonts w:ascii="Times New Roman" w:hAnsi="Times New Roman" w:cs="Times New Roman"/>
          <w:sz w:val="28"/>
          <w:szCs w:val="28"/>
          <w:lang w:val="uk-UA"/>
        </w:rPr>
      </w:pPr>
      <w:r w:rsidRPr="00C60748">
        <w:rPr>
          <w:rFonts w:ascii="Times New Roman" w:hAnsi="Times New Roman" w:cs="Times New Roman"/>
          <w:sz w:val="28"/>
          <w:szCs w:val="28"/>
          <w:lang w:val="uk-UA"/>
        </w:rPr>
        <w:t xml:space="preserve">Мета Програми полягає у сприянні реабілітації, інтеграції та соціального захисту Захисників та Захисниць України, їх сімей, родин загиблих Захисників та Захисниць України  шляхом підвищення ефективності функціонування системи соціальної допомоги, включення додаткових заходів соціальної підтримки, вирішення проблем матеріально-технічного, медичного спрямування, надання послуг професійної адаптації, залучення до активного цивільного життя, а також посилення співпраці з інститутами громадянського суспільства. </w:t>
      </w:r>
    </w:p>
    <w:p w14:paraId="2CC0211D" w14:textId="34900F5D" w:rsidR="00E64B72" w:rsidRPr="00C60748" w:rsidRDefault="00D67648" w:rsidP="00E64B72">
      <w:pPr>
        <w:tabs>
          <w:tab w:val="left" w:pos="426"/>
        </w:tabs>
        <w:spacing w:after="0" w:line="240" w:lineRule="auto"/>
        <w:ind w:right="-1"/>
        <w:jc w:val="both"/>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 xml:space="preserve">        </w:t>
      </w:r>
      <w:r w:rsidR="00E64B72" w:rsidRPr="00C60748">
        <w:rPr>
          <w:rFonts w:ascii="Times New Roman" w:eastAsia="Times New Roman" w:hAnsi="Times New Roman" w:cs="Times New Roman"/>
          <w:b/>
          <w:bCs/>
          <w:color w:val="000000"/>
          <w:sz w:val="28"/>
          <w:szCs w:val="28"/>
          <w:lang w:val="uk-UA"/>
        </w:rPr>
        <w:t>3. Правові аспекти.</w:t>
      </w:r>
    </w:p>
    <w:p w14:paraId="61C32ABA" w14:textId="77777777" w:rsidR="00E64B72" w:rsidRPr="00C60748" w:rsidRDefault="00E64B72" w:rsidP="00E64B72">
      <w:pPr>
        <w:spacing w:after="0" w:line="240" w:lineRule="auto"/>
        <w:ind w:right="-284" w:firstLine="567"/>
        <w:jc w:val="both"/>
        <w:rPr>
          <w:rFonts w:ascii="Times New Roman" w:eastAsia="Calibri" w:hAnsi="Times New Roman" w:cs="Times New Roman"/>
          <w:b/>
          <w:sz w:val="28"/>
          <w:szCs w:val="28"/>
          <w:lang w:val="uk-UA" w:eastAsia="en-US"/>
        </w:rPr>
      </w:pPr>
      <w:r w:rsidRPr="00C60748">
        <w:rPr>
          <w:rFonts w:ascii="Times New Roman" w:eastAsia="Calibri" w:hAnsi="Times New Roman" w:cs="Times New Roman"/>
          <w:sz w:val="28"/>
          <w:szCs w:val="28"/>
          <w:lang w:val="uk-UA" w:eastAsia="en-US"/>
        </w:rPr>
        <w:t xml:space="preserve">Пункт 22 статті 26 Закону України «Про місцеве самоврядування в Україні», рішення Броварської міської ради Броварського району Київської </w:t>
      </w:r>
      <w:r w:rsidRPr="00C60748">
        <w:rPr>
          <w:rFonts w:ascii="Times New Roman" w:eastAsia="Calibri" w:hAnsi="Times New Roman" w:cs="Times New Roman"/>
          <w:sz w:val="28"/>
          <w:szCs w:val="28"/>
          <w:lang w:val="uk-UA" w:eastAsia="en-US"/>
        </w:rPr>
        <w:lastRenderedPageBreak/>
        <w:t>області від 27.02.2025 р. № 2002-88-08 «Про затвердження Програми підтримки Захисників і Захисниць України, членів сімей загиблих на 2024- 2026 роки в новій редакції»</w:t>
      </w:r>
    </w:p>
    <w:p w14:paraId="174B1DF4" w14:textId="4FF0B22C" w:rsidR="00E64B72" w:rsidRPr="00C60748" w:rsidRDefault="00D67648" w:rsidP="00E64B72">
      <w:pPr>
        <w:spacing w:after="0" w:line="240" w:lineRule="auto"/>
        <w:ind w:right="-284"/>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 xml:space="preserve">       </w:t>
      </w:r>
      <w:r w:rsidR="00E64B72" w:rsidRPr="00C60748">
        <w:rPr>
          <w:rFonts w:ascii="Times New Roman" w:eastAsia="Calibri" w:hAnsi="Times New Roman" w:cs="Times New Roman"/>
          <w:b/>
          <w:sz w:val="28"/>
          <w:szCs w:val="28"/>
          <w:lang w:val="uk-UA" w:eastAsia="en-US"/>
        </w:rPr>
        <w:t>4. Фінансово-економічне обґрунтування.</w:t>
      </w:r>
    </w:p>
    <w:p w14:paraId="37C8E133" w14:textId="77777777" w:rsidR="00E64B72" w:rsidRPr="00C60748" w:rsidRDefault="00E64B72" w:rsidP="00E64B72">
      <w:pPr>
        <w:spacing w:after="0" w:line="240" w:lineRule="auto"/>
        <w:ind w:right="-284" w:firstLine="567"/>
        <w:jc w:val="both"/>
        <w:rPr>
          <w:rFonts w:ascii="Times New Roman" w:eastAsia="Calibri" w:hAnsi="Times New Roman" w:cs="Times New Roman"/>
          <w:sz w:val="28"/>
          <w:szCs w:val="28"/>
          <w:lang w:val="uk-UA" w:eastAsia="en-US"/>
        </w:rPr>
      </w:pPr>
      <w:r w:rsidRPr="00C60748">
        <w:rPr>
          <w:rFonts w:ascii="Times New Roman" w:eastAsia="Calibri" w:hAnsi="Times New Roman" w:cs="Times New Roman"/>
          <w:sz w:val="28"/>
          <w:szCs w:val="28"/>
          <w:lang w:val="uk-UA" w:eastAsia="en-US"/>
        </w:rPr>
        <w:t xml:space="preserve">З метою підтримки Захисників і Захисниць України, які потребують надання терапевтичних та хірургічних стоматологічних послуг та послуг із зубопротезування, через відшкодування вартості отриманих послуг, а також відшкодування вартості обстеження проведеного методом КТ та МРТ є необхідність у збільшенні фінансування заходів Програми шляхом виділення додаткових коштів з місцевого бюджету у розмірі </w:t>
      </w:r>
      <w:r w:rsidRPr="00C60748">
        <w:rPr>
          <w:rFonts w:ascii="Times New Roman" w:eastAsia="Calibri" w:hAnsi="Times New Roman" w:cs="Times New Roman"/>
          <w:b/>
          <w:sz w:val="28"/>
          <w:szCs w:val="28"/>
          <w:lang w:val="uk-UA" w:eastAsia="en-US"/>
        </w:rPr>
        <w:t>325,562 тис. грн.,</w:t>
      </w:r>
      <w:r w:rsidRPr="00C60748">
        <w:rPr>
          <w:rFonts w:ascii="Times New Roman" w:eastAsia="Calibri" w:hAnsi="Times New Roman" w:cs="Times New Roman"/>
          <w:sz w:val="28"/>
          <w:szCs w:val="28"/>
          <w:lang w:val="uk-UA" w:eastAsia="en-US"/>
        </w:rPr>
        <w:t xml:space="preserve"> та  перерозподіл наявних залишків між заходами Програми, реалізованих в поточному році, у тому числі:</w:t>
      </w:r>
    </w:p>
    <w:p w14:paraId="307426EA" w14:textId="77777777" w:rsidR="00E64B72" w:rsidRPr="00C60748" w:rsidRDefault="00E64B72" w:rsidP="00E64B72">
      <w:pPr>
        <w:pStyle w:val="a6"/>
        <w:numPr>
          <w:ilvl w:val="0"/>
          <w:numId w:val="2"/>
        </w:numPr>
        <w:spacing w:after="0" w:line="240" w:lineRule="auto"/>
        <w:ind w:left="0" w:right="-284" w:firstLine="426"/>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у </w:t>
      </w:r>
      <w:r w:rsidRPr="00C60748">
        <w:rPr>
          <w:rFonts w:ascii="Times New Roman" w:eastAsia="Calibri" w:hAnsi="Times New Roman" w:cs="Times New Roman"/>
          <w:sz w:val="28"/>
          <w:szCs w:val="28"/>
          <w:lang w:val="uk-UA" w:eastAsia="en-US"/>
        </w:rPr>
        <w:t>пункт</w:t>
      </w:r>
      <w:r>
        <w:rPr>
          <w:rFonts w:ascii="Times New Roman" w:eastAsia="Calibri" w:hAnsi="Times New Roman" w:cs="Times New Roman"/>
          <w:sz w:val="28"/>
          <w:szCs w:val="28"/>
          <w:lang w:val="uk-UA" w:eastAsia="en-US"/>
        </w:rPr>
        <w:t>і</w:t>
      </w:r>
      <w:r w:rsidRPr="00C60748">
        <w:rPr>
          <w:rFonts w:ascii="Times New Roman" w:eastAsia="Calibri" w:hAnsi="Times New Roman" w:cs="Times New Roman"/>
          <w:sz w:val="28"/>
          <w:szCs w:val="28"/>
          <w:lang w:val="uk-UA" w:eastAsia="en-US"/>
        </w:rPr>
        <w:t xml:space="preserve"> 6.22 заходу Програми «Часткове відшкодування вартості обстеження, проведеного методом комп’ютерної томографії (КТ) та магнітнорезонансної томографії (МРТ) Захисникам та З</w:t>
      </w:r>
      <w:r>
        <w:rPr>
          <w:rFonts w:ascii="Times New Roman" w:eastAsia="Calibri" w:hAnsi="Times New Roman" w:cs="Times New Roman"/>
          <w:sz w:val="28"/>
          <w:szCs w:val="28"/>
          <w:lang w:val="uk-UA" w:eastAsia="en-US"/>
        </w:rPr>
        <w:t>ахисницям України, в розмірі 50</w:t>
      </w:r>
      <w:r w:rsidRPr="00C60748">
        <w:rPr>
          <w:rFonts w:ascii="Times New Roman" w:eastAsia="Calibri" w:hAnsi="Times New Roman" w:cs="Times New Roman"/>
          <w:sz w:val="28"/>
          <w:szCs w:val="28"/>
          <w:lang w:val="uk-UA" w:eastAsia="en-US"/>
        </w:rPr>
        <w:t>% вартості послуги згідно положення, що затверджується в установленому порядку», - збільшити обсяг фінансування на 12,9 тис. грн. шляхом перерозподілу вільних залишків з</w:t>
      </w:r>
      <w:r>
        <w:rPr>
          <w:rFonts w:ascii="Times New Roman" w:eastAsia="Calibri" w:hAnsi="Times New Roman" w:cs="Times New Roman"/>
          <w:sz w:val="28"/>
          <w:szCs w:val="28"/>
          <w:lang w:val="uk-UA" w:eastAsia="en-US"/>
        </w:rPr>
        <w:t xml:space="preserve"> інших</w:t>
      </w:r>
      <w:r w:rsidRPr="00C60748">
        <w:rPr>
          <w:rFonts w:ascii="Times New Roman" w:eastAsia="Calibri" w:hAnsi="Times New Roman" w:cs="Times New Roman"/>
          <w:sz w:val="28"/>
          <w:szCs w:val="28"/>
          <w:lang w:val="uk-UA" w:eastAsia="en-US"/>
        </w:rPr>
        <w:t xml:space="preserve"> заходів Програми </w:t>
      </w:r>
      <w:r>
        <w:rPr>
          <w:rFonts w:ascii="Times New Roman" w:eastAsia="Calibri" w:hAnsi="Times New Roman" w:cs="Times New Roman"/>
          <w:sz w:val="28"/>
          <w:szCs w:val="28"/>
          <w:lang w:val="uk-UA" w:eastAsia="en-US"/>
        </w:rPr>
        <w:t>( з п.</w:t>
      </w:r>
      <w:r w:rsidRPr="00C60748">
        <w:rPr>
          <w:rFonts w:ascii="Times New Roman" w:eastAsia="Calibri" w:hAnsi="Times New Roman" w:cs="Times New Roman"/>
          <w:sz w:val="28"/>
          <w:szCs w:val="28"/>
          <w:lang w:val="uk-UA" w:eastAsia="en-US"/>
        </w:rPr>
        <w:t xml:space="preserve">6.18 та </w:t>
      </w:r>
      <w:r>
        <w:rPr>
          <w:rFonts w:ascii="Times New Roman" w:eastAsia="Calibri" w:hAnsi="Times New Roman" w:cs="Times New Roman"/>
          <w:sz w:val="28"/>
          <w:szCs w:val="28"/>
          <w:lang w:val="uk-UA" w:eastAsia="en-US"/>
        </w:rPr>
        <w:t>п.</w:t>
      </w:r>
      <w:r w:rsidRPr="00C60748">
        <w:rPr>
          <w:rFonts w:ascii="Times New Roman" w:eastAsia="Calibri" w:hAnsi="Times New Roman" w:cs="Times New Roman"/>
          <w:sz w:val="28"/>
          <w:szCs w:val="28"/>
          <w:lang w:val="uk-UA" w:eastAsia="en-US"/>
        </w:rPr>
        <w:t>6.31</w:t>
      </w:r>
      <w:r>
        <w:rPr>
          <w:rFonts w:ascii="Times New Roman" w:eastAsia="Calibri" w:hAnsi="Times New Roman" w:cs="Times New Roman"/>
          <w:sz w:val="28"/>
          <w:szCs w:val="28"/>
          <w:lang w:val="uk-UA" w:eastAsia="en-US"/>
        </w:rPr>
        <w:t>)</w:t>
      </w:r>
      <w:r w:rsidRPr="00C60748">
        <w:rPr>
          <w:rFonts w:ascii="Times New Roman" w:eastAsia="Calibri" w:hAnsi="Times New Roman" w:cs="Times New Roman"/>
          <w:sz w:val="28"/>
          <w:szCs w:val="28"/>
          <w:lang w:val="uk-UA" w:eastAsia="en-US"/>
        </w:rPr>
        <w:t>;</w:t>
      </w:r>
    </w:p>
    <w:p w14:paraId="73059A20" w14:textId="77777777" w:rsidR="00E64B72" w:rsidRPr="00C60748" w:rsidRDefault="00E64B72" w:rsidP="00E64B72">
      <w:pPr>
        <w:pStyle w:val="a6"/>
        <w:numPr>
          <w:ilvl w:val="0"/>
          <w:numId w:val="2"/>
        </w:numPr>
        <w:spacing w:after="0" w:line="240" w:lineRule="auto"/>
        <w:ind w:left="0" w:right="-284" w:firstLine="426"/>
        <w:jc w:val="both"/>
        <w:rPr>
          <w:rFonts w:ascii="Times New Roman" w:eastAsia="Calibri" w:hAnsi="Times New Roman" w:cs="Times New Roman"/>
          <w:sz w:val="28"/>
          <w:szCs w:val="28"/>
          <w:lang w:val="uk-UA" w:eastAsia="en-US"/>
        </w:rPr>
      </w:pPr>
      <w:r w:rsidRPr="00C60748">
        <w:rPr>
          <w:rFonts w:ascii="Times New Roman" w:eastAsia="Calibri" w:hAnsi="Times New Roman" w:cs="Times New Roman"/>
          <w:sz w:val="28"/>
          <w:szCs w:val="28"/>
          <w:lang w:val="uk-UA" w:eastAsia="en-US"/>
        </w:rPr>
        <w:t>у пункті 6.25 заходу Програми «Забезпечення надання терапевтичних та хірургічних стоматологічних послуг та послуг із зубопротезування Захисникам та Захисницям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 збільшити обсяг фінансування на 447,062 тис. грн.</w:t>
      </w:r>
      <w:r>
        <w:rPr>
          <w:rFonts w:ascii="Times New Roman" w:eastAsia="Calibri" w:hAnsi="Times New Roman" w:cs="Times New Roman"/>
          <w:sz w:val="28"/>
          <w:szCs w:val="28"/>
          <w:lang w:val="uk-UA" w:eastAsia="en-US"/>
        </w:rPr>
        <w:t xml:space="preserve">, з них: 121,5 тис. грн. </w:t>
      </w:r>
      <w:r w:rsidRPr="00C60748">
        <w:rPr>
          <w:rFonts w:ascii="Times New Roman" w:eastAsia="Calibri" w:hAnsi="Times New Roman" w:cs="Times New Roman"/>
          <w:sz w:val="28"/>
          <w:szCs w:val="28"/>
          <w:lang w:val="uk-UA" w:eastAsia="en-US"/>
        </w:rPr>
        <w:t xml:space="preserve">шляхом перерозподілу вільних залишків з заходів Програми зазначених </w:t>
      </w:r>
      <w:r>
        <w:rPr>
          <w:rFonts w:ascii="Times New Roman" w:eastAsia="Calibri" w:hAnsi="Times New Roman" w:cs="Times New Roman"/>
          <w:sz w:val="28"/>
          <w:szCs w:val="28"/>
          <w:lang w:val="uk-UA" w:eastAsia="en-US"/>
        </w:rPr>
        <w:t>у пунктах 6.27 та 6.32</w:t>
      </w:r>
      <w:r w:rsidRPr="00C60748">
        <w:rPr>
          <w:rFonts w:ascii="Times New Roman" w:eastAsia="Calibri" w:hAnsi="Times New Roman" w:cs="Times New Roman"/>
          <w:sz w:val="28"/>
          <w:szCs w:val="28"/>
          <w:lang w:val="uk-UA" w:eastAsia="en-US"/>
        </w:rPr>
        <w:t xml:space="preserve"> та 325,562 тис. грн. шляхом виділення додаткових коштів з місцевого бюджету.</w:t>
      </w:r>
    </w:p>
    <w:p w14:paraId="38F6A387" w14:textId="77777777" w:rsidR="00E64B72" w:rsidRPr="00C60748" w:rsidRDefault="00E64B72" w:rsidP="00E64B72">
      <w:pPr>
        <w:pStyle w:val="a6"/>
        <w:spacing w:after="0" w:line="240" w:lineRule="auto"/>
        <w:ind w:left="0" w:right="-284" w:firstLine="567"/>
        <w:jc w:val="both"/>
        <w:rPr>
          <w:rFonts w:ascii="Times New Roman" w:eastAsia="Calibri" w:hAnsi="Times New Roman" w:cs="Times New Roman"/>
          <w:sz w:val="28"/>
          <w:szCs w:val="28"/>
          <w:lang w:val="uk-UA" w:eastAsia="en-US"/>
        </w:rPr>
      </w:pPr>
      <w:r w:rsidRPr="00C60748">
        <w:rPr>
          <w:rFonts w:ascii="Times New Roman" w:eastAsia="Calibri" w:hAnsi="Times New Roman" w:cs="Times New Roman"/>
          <w:sz w:val="28"/>
          <w:szCs w:val="28"/>
          <w:lang w:val="uk-UA" w:eastAsia="en-US"/>
        </w:rPr>
        <w:t>За період роботи з січня по листопад 2025 року лікарями комунального некомерційного підприємства Броварської міської ради Броварського району Київської області «Броварська стоматологічна поліклініка» було прийнято 1414 осіб Захисників та Захисниць України з них:</w:t>
      </w:r>
    </w:p>
    <w:tbl>
      <w:tblPr>
        <w:tblW w:w="9371" w:type="dxa"/>
        <w:tblInd w:w="93" w:type="dxa"/>
        <w:tblLayout w:type="fixed"/>
        <w:tblLook w:val="04A0" w:firstRow="1" w:lastRow="0" w:firstColumn="1" w:lastColumn="0" w:noHBand="0" w:noVBand="1"/>
      </w:tblPr>
      <w:tblGrid>
        <w:gridCol w:w="1643"/>
        <w:gridCol w:w="1066"/>
        <w:gridCol w:w="1559"/>
        <w:gridCol w:w="992"/>
        <w:gridCol w:w="1559"/>
        <w:gridCol w:w="851"/>
        <w:gridCol w:w="1701"/>
      </w:tblGrid>
      <w:tr w:rsidR="00E64B72" w:rsidRPr="00C60748" w14:paraId="6313A61C" w14:textId="77777777" w:rsidTr="00242CD2">
        <w:trPr>
          <w:trHeight w:hRule="exact" w:val="930"/>
        </w:trPr>
        <w:tc>
          <w:tcPr>
            <w:tcW w:w="16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EC4D14" w14:textId="77777777" w:rsidR="00E64B72" w:rsidRPr="00D319EC" w:rsidRDefault="00E64B72" w:rsidP="00242CD2">
            <w:pPr>
              <w:spacing w:after="0" w:line="240" w:lineRule="auto"/>
              <w:rPr>
                <w:rFonts w:ascii="Times New Roman" w:eastAsia="Times New Roman" w:hAnsi="Times New Roman" w:cs="Times New Roman"/>
                <w:color w:val="000000"/>
                <w:sz w:val="28"/>
                <w:szCs w:val="28"/>
                <w:lang w:val="uk-UA" w:eastAsia="uk-UA"/>
              </w:rPr>
            </w:pPr>
            <w:r w:rsidRPr="00D319EC">
              <w:rPr>
                <w:rFonts w:ascii="Times New Roman" w:eastAsia="Calibri" w:hAnsi="Times New Roman" w:cs="Times New Roman"/>
                <w:color w:val="000000"/>
                <w:sz w:val="28"/>
                <w:szCs w:val="28"/>
                <w:lang w:val="uk-UA" w:eastAsia="en-US"/>
              </w:rPr>
              <w:t> </w:t>
            </w:r>
          </w:p>
        </w:tc>
        <w:tc>
          <w:tcPr>
            <w:tcW w:w="2625" w:type="dxa"/>
            <w:gridSpan w:val="2"/>
            <w:tcBorders>
              <w:top w:val="single" w:sz="8" w:space="0" w:color="auto"/>
              <w:left w:val="nil"/>
              <w:bottom w:val="nil"/>
              <w:right w:val="single" w:sz="8" w:space="0" w:color="000000"/>
            </w:tcBorders>
            <w:shd w:val="clear" w:color="auto" w:fill="auto"/>
            <w:vAlign w:val="center"/>
            <w:hideMark/>
          </w:tcPr>
          <w:p w14:paraId="4C55ECB4"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eastAsia="uk-UA"/>
              </w:rPr>
              <w:t xml:space="preserve">Надано стоматологічних </w:t>
            </w:r>
          </w:p>
        </w:tc>
        <w:tc>
          <w:tcPr>
            <w:tcW w:w="255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7669993"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eastAsia="uk-UA"/>
              </w:rPr>
              <w:t xml:space="preserve">Відшкодовано за надані стоматологічні послуги </w:t>
            </w:r>
          </w:p>
        </w:tc>
        <w:tc>
          <w:tcPr>
            <w:tcW w:w="2552" w:type="dxa"/>
            <w:gridSpan w:val="2"/>
            <w:tcBorders>
              <w:top w:val="single" w:sz="8" w:space="0" w:color="auto"/>
              <w:left w:val="nil"/>
              <w:bottom w:val="nil"/>
              <w:right w:val="single" w:sz="8" w:space="0" w:color="000000"/>
            </w:tcBorders>
            <w:shd w:val="clear" w:color="auto" w:fill="auto"/>
            <w:vAlign w:val="center"/>
            <w:hideMark/>
          </w:tcPr>
          <w:p w14:paraId="561E4A42"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eastAsia="uk-UA"/>
              </w:rPr>
              <w:t>Стоматологічні</w:t>
            </w:r>
          </w:p>
        </w:tc>
      </w:tr>
      <w:tr w:rsidR="00E64B72" w:rsidRPr="00C60748" w14:paraId="728059A2" w14:textId="77777777" w:rsidTr="00242CD2">
        <w:trPr>
          <w:trHeight w:val="630"/>
        </w:trPr>
        <w:tc>
          <w:tcPr>
            <w:tcW w:w="1643" w:type="dxa"/>
            <w:vMerge/>
            <w:tcBorders>
              <w:top w:val="single" w:sz="8" w:space="0" w:color="auto"/>
              <w:left w:val="single" w:sz="8" w:space="0" w:color="auto"/>
              <w:bottom w:val="single" w:sz="8" w:space="0" w:color="000000"/>
              <w:right w:val="single" w:sz="8" w:space="0" w:color="auto"/>
            </w:tcBorders>
            <w:vAlign w:val="center"/>
            <w:hideMark/>
          </w:tcPr>
          <w:p w14:paraId="03D85BBD" w14:textId="77777777" w:rsidR="00E64B72" w:rsidRPr="00D319EC" w:rsidRDefault="00E64B72" w:rsidP="00242CD2">
            <w:pPr>
              <w:spacing w:after="0" w:line="240" w:lineRule="auto"/>
              <w:rPr>
                <w:rFonts w:ascii="Times New Roman" w:eastAsia="Times New Roman" w:hAnsi="Times New Roman" w:cs="Times New Roman"/>
                <w:color w:val="000000"/>
                <w:sz w:val="28"/>
                <w:szCs w:val="28"/>
                <w:lang w:val="uk-UA" w:eastAsia="uk-UA"/>
              </w:rPr>
            </w:pPr>
          </w:p>
        </w:tc>
        <w:tc>
          <w:tcPr>
            <w:tcW w:w="2625" w:type="dxa"/>
            <w:gridSpan w:val="2"/>
            <w:tcBorders>
              <w:top w:val="nil"/>
              <w:left w:val="nil"/>
              <w:bottom w:val="single" w:sz="8" w:space="0" w:color="auto"/>
              <w:right w:val="single" w:sz="8" w:space="0" w:color="000000"/>
            </w:tcBorders>
            <w:shd w:val="clear" w:color="auto" w:fill="auto"/>
            <w:vAlign w:val="center"/>
            <w:hideMark/>
          </w:tcPr>
          <w:p w14:paraId="1E4413CA"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eastAsia="uk-UA"/>
              </w:rPr>
              <w:t xml:space="preserve">послуг </w:t>
            </w:r>
          </w:p>
        </w:tc>
        <w:tc>
          <w:tcPr>
            <w:tcW w:w="2551" w:type="dxa"/>
            <w:gridSpan w:val="2"/>
            <w:vMerge/>
            <w:tcBorders>
              <w:top w:val="single" w:sz="8" w:space="0" w:color="auto"/>
              <w:left w:val="single" w:sz="8" w:space="0" w:color="auto"/>
              <w:bottom w:val="single" w:sz="8" w:space="0" w:color="000000"/>
              <w:right w:val="single" w:sz="8" w:space="0" w:color="000000"/>
            </w:tcBorders>
            <w:vAlign w:val="center"/>
            <w:hideMark/>
          </w:tcPr>
          <w:p w14:paraId="34B7F3B7" w14:textId="77777777" w:rsidR="00E64B72" w:rsidRPr="00D319EC" w:rsidRDefault="00E64B72" w:rsidP="00242CD2">
            <w:pPr>
              <w:spacing w:after="0" w:line="240" w:lineRule="auto"/>
              <w:rPr>
                <w:rFonts w:ascii="Times New Roman" w:eastAsia="Times New Roman" w:hAnsi="Times New Roman" w:cs="Times New Roman"/>
                <w:color w:val="000000"/>
                <w:sz w:val="28"/>
                <w:szCs w:val="28"/>
                <w:lang w:val="uk-UA" w:eastAsia="uk-UA"/>
              </w:rPr>
            </w:pPr>
          </w:p>
        </w:tc>
        <w:tc>
          <w:tcPr>
            <w:tcW w:w="2552" w:type="dxa"/>
            <w:gridSpan w:val="2"/>
            <w:tcBorders>
              <w:top w:val="nil"/>
              <w:left w:val="nil"/>
              <w:bottom w:val="single" w:sz="8" w:space="0" w:color="auto"/>
              <w:right w:val="single" w:sz="8" w:space="0" w:color="000000"/>
            </w:tcBorders>
            <w:shd w:val="clear" w:color="auto" w:fill="auto"/>
            <w:vAlign w:val="center"/>
            <w:hideMark/>
          </w:tcPr>
          <w:p w14:paraId="100D8A53"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eastAsia="uk-UA"/>
              </w:rPr>
              <w:t xml:space="preserve">послуги, які не відшкодовані </w:t>
            </w:r>
          </w:p>
        </w:tc>
      </w:tr>
      <w:tr w:rsidR="00E64B72" w:rsidRPr="00C60748" w14:paraId="4367D2DA" w14:textId="77777777" w:rsidTr="00242CD2">
        <w:trPr>
          <w:trHeight w:hRule="exact" w:val="330"/>
        </w:trPr>
        <w:tc>
          <w:tcPr>
            <w:tcW w:w="1643" w:type="dxa"/>
            <w:tcBorders>
              <w:top w:val="nil"/>
              <w:left w:val="single" w:sz="8" w:space="0" w:color="auto"/>
              <w:bottom w:val="single" w:sz="8" w:space="0" w:color="auto"/>
              <w:right w:val="single" w:sz="8" w:space="0" w:color="auto"/>
            </w:tcBorders>
            <w:shd w:val="clear" w:color="auto" w:fill="auto"/>
            <w:vAlign w:val="center"/>
            <w:hideMark/>
          </w:tcPr>
          <w:p w14:paraId="40FB80A1" w14:textId="77777777" w:rsidR="00E64B72" w:rsidRPr="00D319EC" w:rsidRDefault="00E64B72" w:rsidP="00242CD2">
            <w:pPr>
              <w:spacing w:after="0" w:line="240" w:lineRule="auto"/>
              <w:rPr>
                <w:rFonts w:ascii="Times New Roman" w:eastAsia="Times New Roman" w:hAnsi="Times New Roman" w:cs="Times New Roman"/>
                <w:color w:val="000000"/>
                <w:sz w:val="28"/>
                <w:szCs w:val="28"/>
                <w:lang w:val="uk-UA" w:eastAsia="uk-UA"/>
              </w:rPr>
            </w:pPr>
            <w:r w:rsidRPr="00D319EC">
              <w:rPr>
                <w:rFonts w:ascii="Times New Roman" w:eastAsia="Calibri" w:hAnsi="Times New Roman" w:cs="Times New Roman"/>
                <w:color w:val="000000"/>
                <w:sz w:val="28"/>
                <w:szCs w:val="28"/>
                <w:lang w:eastAsia="en-US"/>
              </w:rPr>
              <w:t> </w:t>
            </w:r>
          </w:p>
        </w:tc>
        <w:tc>
          <w:tcPr>
            <w:tcW w:w="1066" w:type="dxa"/>
            <w:tcBorders>
              <w:top w:val="nil"/>
              <w:left w:val="nil"/>
              <w:bottom w:val="single" w:sz="8" w:space="0" w:color="auto"/>
              <w:right w:val="single" w:sz="8" w:space="0" w:color="auto"/>
            </w:tcBorders>
            <w:shd w:val="clear" w:color="auto" w:fill="auto"/>
            <w:vAlign w:val="center"/>
            <w:hideMark/>
          </w:tcPr>
          <w:p w14:paraId="0B82862B"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uk-UA" w:eastAsia="uk-UA"/>
              </w:rPr>
              <w:t>к- т</w:t>
            </w:r>
          </w:p>
        </w:tc>
        <w:tc>
          <w:tcPr>
            <w:tcW w:w="1559" w:type="dxa"/>
            <w:tcBorders>
              <w:top w:val="nil"/>
              <w:left w:val="nil"/>
              <w:bottom w:val="single" w:sz="8" w:space="0" w:color="auto"/>
              <w:right w:val="single" w:sz="8" w:space="0" w:color="auto"/>
            </w:tcBorders>
            <w:shd w:val="clear" w:color="auto" w:fill="auto"/>
            <w:vAlign w:val="center"/>
            <w:hideMark/>
          </w:tcPr>
          <w:p w14:paraId="2961E5C1"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en-US" w:eastAsia="uk-UA"/>
              </w:rPr>
              <w:t>грн</w:t>
            </w:r>
          </w:p>
        </w:tc>
        <w:tc>
          <w:tcPr>
            <w:tcW w:w="992" w:type="dxa"/>
            <w:tcBorders>
              <w:top w:val="nil"/>
              <w:left w:val="nil"/>
              <w:bottom w:val="single" w:sz="8" w:space="0" w:color="auto"/>
              <w:right w:val="single" w:sz="8" w:space="0" w:color="auto"/>
            </w:tcBorders>
            <w:shd w:val="clear" w:color="auto" w:fill="auto"/>
            <w:vAlign w:val="center"/>
            <w:hideMark/>
          </w:tcPr>
          <w:p w14:paraId="2BB7F78E"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uk-UA" w:eastAsia="uk-UA"/>
              </w:rPr>
              <w:t>к-т</w:t>
            </w:r>
          </w:p>
        </w:tc>
        <w:tc>
          <w:tcPr>
            <w:tcW w:w="1559" w:type="dxa"/>
            <w:tcBorders>
              <w:top w:val="nil"/>
              <w:left w:val="nil"/>
              <w:bottom w:val="single" w:sz="8" w:space="0" w:color="auto"/>
              <w:right w:val="single" w:sz="8" w:space="0" w:color="auto"/>
            </w:tcBorders>
            <w:shd w:val="clear" w:color="auto" w:fill="auto"/>
            <w:vAlign w:val="center"/>
            <w:hideMark/>
          </w:tcPr>
          <w:p w14:paraId="4BA0BF47"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en-US" w:eastAsia="uk-UA"/>
              </w:rPr>
              <w:t>грн</w:t>
            </w:r>
          </w:p>
        </w:tc>
        <w:tc>
          <w:tcPr>
            <w:tcW w:w="851" w:type="dxa"/>
            <w:tcBorders>
              <w:top w:val="nil"/>
              <w:left w:val="nil"/>
              <w:bottom w:val="single" w:sz="8" w:space="0" w:color="auto"/>
              <w:right w:val="single" w:sz="8" w:space="0" w:color="auto"/>
            </w:tcBorders>
            <w:shd w:val="clear" w:color="auto" w:fill="auto"/>
            <w:vAlign w:val="center"/>
            <w:hideMark/>
          </w:tcPr>
          <w:p w14:paraId="70D6E593"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en-US" w:eastAsia="uk-UA"/>
              </w:rPr>
              <w:t>к-т</w:t>
            </w:r>
          </w:p>
        </w:tc>
        <w:tc>
          <w:tcPr>
            <w:tcW w:w="1701" w:type="dxa"/>
            <w:tcBorders>
              <w:top w:val="nil"/>
              <w:left w:val="nil"/>
              <w:bottom w:val="single" w:sz="8" w:space="0" w:color="auto"/>
              <w:right w:val="single" w:sz="8" w:space="0" w:color="auto"/>
            </w:tcBorders>
            <w:shd w:val="clear" w:color="auto" w:fill="auto"/>
            <w:vAlign w:val="center"/>
            <w:hideMark/>
          </w:tcPr>
          <w:p w14:paraId="7F322FFC"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en-US" w:eastAsia="uk-UA"/>
              </w:rPr>
              <w:t>грн.</w:t>
            </w:r>
          </w:p>
        </w:tc>
      </w:tr>
      <w:tr w:rsidR="00E64B72" w:rsidRPr="00C60748" w14:paraId="33DE38CE" w14:textId="77777777" w:rsidTr="00242CD2">
        <w:trPr>
          <w:trHeight w:hRule="exact" w:val="960"/>
        </w:trPr>
        <w:tc>
          <w:tcPr>
            <w:tcW w:w="1643" w:type="dxa"/>
            <w:tcBorders>
              <w:top w:val="nil"/>
              <w:left w:val="single" w:sz="8" w:space="0" w:color="auto"/>
              <w:bottom w:val="single" w:sz="8" w:space="0" w:color="auto"/>
              <w:right w:val="single" w:sz="8" w:space="0" w:color="auto"/>
            </w:tcBorders>
            <w:shd w:val="clear" w:color="auto" w:fill="auto"/>
            <w:vAlign w:val="center"/>
            <w:hideMark/>
          </w:tcPr>
          <w:p w14:paraId="0110DC3A" w14:textId="77777777" w:rsidR="00E64B72" w:rsidRPr="00D319EC" w:rsidRDefault="00E64B72" w:rsidP="00242CD2">
            <w:pPr>
              <w:spacing w:after="0" w:line="240" w:lineRule="auto"/>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en-US" w:eastAsia="uk-UA"/>
              </w:rPr>
              <w:t>Терапевтичні послуги</w:t>
            </w:r>
          </w:p>
        </w:tc>
        <w:tc>
          <w:tcPr>
            <w:tcW w:w="1066" w:type="dxa"/>
            <w:tcBorders>
              <w:top w:val="nil"/>
              <w:left w:val="nil"/>
              <w:bottom w:val="single" w:sz="8" w:space="0" w:color="auto"/>
              <w:right w:val="single" w:sz="8" w:space="0" w:color="auto"/>
            </w:tcBorders>
            <w:shd w:val="clear" w:color="auto" w:fill="auto"/>
            <w:vAlign w:val="center"/>
            <w:hideMark/>
          </w:tcPr>
          <w:p w14:paraId="7EDD472D"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uk-UA" w:eastAsia="uk-UA"/>
              </w:rPr>
              <w:t>793</w:t>
            </w:r>
          </w:p>
        </w:tc>
        <w:tc>
          <w:tcPr>
            <w:tcW w:w="1559" w:type="dxa"/>
            <w:tcBorders>
              <w:top w:val="nil"/>
              <w:left w:val="nil"/>
              <w:bottom w:val="single" w:sz="8" w:space="0" w:color="auto"/>
              <w:right w:val="single" w:sz="8" w:space="0" w:color="auto"/>
            </w:tcBorders>
            <w:shd w:val="clear" w:color="auto" w:fill="auto"/>
            <w:vAlign w:val="center"/>
            <w:hideMark/>
          </w:tcPr>
          <w:p w14:paraId="0A008CB4"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uk-UA" w:eastAsia="uk-UA"/>
              </w:rPr>
              <w:t>1022020</w:t>
            </w:r>
            <w:r>
              <w:rPr>
                <w:rFonts w:ascii="Times New Roman" w:eastAsia="Times New Roman" w:hAnsi="Times New Roman" w:cs="Times New Roman"/>
                <w:color w:val="000000"/>
                <w:sz w:val="28"/>
                <w:szCs w:val="28"/>
                <w:lang w:val="uk-UA" w:eastAsia="uk-UA"/>
              </w:rPr>
              <w:t>,0</w:t>
            </w:r>
          </w:p>
        </w:tc>
        <w:tc>
          <w:tcPr>
            <w:tcW w:w="992" w:type="dxa"/>
            <w:tcBorders>
              <w:top w:val="nil"/>
              <w:left w:val="nil"/>
              <w:bottom w:val="single" w:sz="8" w:space="0" w:color="auto"/>
              <w:right w:val="single" w:sz="8" w:space="0" w:color="auto"/>
            </w:tcBorders>
            <w:shd w:val="clear" w:color="auto" w:fill="auto"/>
            <w:vAlign w:val="center"/>
            <w:hideMark/>
          </w:tcPr>
          <w:p w14:paraId="52227E13"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uk-UA" w:eastAsia="uk-UA"/>
              </w:rPr>
              <w:t>712</w:t>
            </w:r>
          </w:p>
        </w:tc>
        <w:tc>
          <w:tcPr>
            <w:tcW w:w="1559" w:type="dxa"/>
            <w:tcBorders>
              <w:top w:val="nil"/>
              <w:left w:val="nil"/>
              <w:bottom w:val="single" w:sz="8" w:space="0" w:color="auto"/>
              <w:right w:val="single" w:sz="8" w:space="0" w:color="auto"/>
            </w:tcBorders>
            <w:shd w:val="clear" w:color="auto" w:fill="auto"/>
            <w:vAlign w:val="center"/>
            <w:hideMark/>
          </w:tcPr>
          <w:p w14:paraId="104B90F2"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uk-UA" w:eastAsia="uk-UA"/>
              </w:rPr>
              <w:t>913366</w:t>
            </w:r>
            <w:r>
              <w:rPr>
                <w:rFonts w:ascii="Times New Roman" w:eastAsia="Times New Roman" w:hAnsi="Times New Roman" w:cs="Times New Roman"/>
                <w:color w:val="000000"/>
                <w:sz w:val="28"/>
                <w:szCs w:val="28"/>
                <w:lang w:val="uk-UA" w:eastAsia="uk-UA"/>
              </w:rPr>
              <w:t>,0</w:t>
            </w:r>
          </w:p>
        </w:tc>
        <w:tc>
          <w:tcPr>
            <w:tcW w:w="851" w:type="dxa"/>
            <w:tcBorders>
              <w:top w:val="nil"/>
              <w:left w:val="nil"/>
              <w:bottom w:val="single" w:sz="8" w:space="0" w:color="auto"/>
              <w:right w:val="single" w:sz="8" w:space="0" w:color="auto"/>
            </w:tcBorders>
            <w:shd w:val="clear" w:color="auto" w:fill="auto"/>
            <w:vAlign w:val="center"/>
            <w:hideMark/>
          </w:tcPr>
          <w:p w14:paraId="3E0458EC"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uk-UA" w:eastAsia="uk-UA"/>
              </w:rPr>
              <w:t>81</w:t>
            </w:r>
          </w:p>
        </w:tc>
        <w:tc>
          <w:tcPr>
            <w:tcW w:w="1701" w:type="dxa"/>
            <w:tcBorders>
              <w:top w:val="nil"/>
              <w:left w:val="nil"/>
              <w:bottom w:val="single" w:sz="8" w:space="0" w:color="auto"/>
              <w:right w:val="single" w:sz="8" w:space="0" w:color="auto"/>
            </w:tcBorders>
            <w:shd w:val="clear" w:color="auto" w:fill="auto"/>
            <w:vAlign w:val="center"/>
            <w:hideMark/>
          </w:tcPr>
          <w:p w14:paraId="47D43ABD"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uk-UA" w:eastAsia="uk-UA"/>
              </w:rPr>
              <w:t>108654</w:t>
            </w:r>
            <w:r>
              <w:rPr>
                <w:rFonts w:ascii="Times New Roman" w:eastAsia="Times New Roman" w:hAnsi="Times New Roman" w:cs="Times New Roman"/>
                <w:color w:val="000000"/>
                <w:sz w:val="28"/>
                <w:szCs w:val="28"/>
                <w:lang w:val="uk-UA" w:eastAsia="uk-UA"/>
              </w:rPr>
              <w:t>,0</w:t>
            </w:r>
          </w:p>
        </w:tc>
      </w:tr>
      <w:tr w:rsidR="00E64B72" w:rsidRPr="00C60748" w14:paraId="174F30A3" w14:textId="77777777" w:rsidTr="00242CD2">
        <w:trPr>
          <w:trHeight w:hRule="exact" w:val="960"/>
        </w:trPr>
        <w:tc>
          <w:tcPr>
            <w:tcW w:w="1643" w:type="dxa"/>
            <w:tcBorders>
              <w:top w:val="nil"/>
              <w:left w:val="single" w:sz="8" w:space="0" w:color="auto"/>
              <w:bottom w:val="single" w:sz="8" w:space="0" w:color="auto"/>
              <w:right w:val="single" w:sz="8" w:space="0" w:color="auto"/>
            </w:tcBorders>
            <w:shd w:val="clear" w:color="auto" w:fill="auto"/>
            <w:vAlign w:val="center"/>
            <w:hideMark/>
          </w:tcPr>
          <w:p w14:paraId="6F361000" w14:textId="77777777" w:rsidR="00E64B72" w:rsidRPr="00D319EC" w:rsidRDefault="00E64B72" w:rsidP="00242CD2">
            <w:pPr>
              <w:spacing w:after="0" w:line="240" w:lineRule="auto"/>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en-US" w:eastAsia="uk-UA"/>
              </w:rPr>
              <w:t>Хірургічні послуги</w:t>
            </w:r>
          </w:p>
        </w:tc>
        <w:tc>
          <w:tcPr>
            <w:tcW w:w="1066" w:type="dxa"/>
            <w:tcBorders>
              <w:top w:val="nil"/>
              <w:left w:val="nil"/>
              <w:bottom w:val="single" w:sz="8" w:space="0" w:color="auto"/>
              <w:right w:val="single" w:sz="8" w:space="0" w:color="auto"/>
            </w:tcBorders>
            <w:shd w:val="clear" w:color="auto" w:fill="auto"/>
            <w:vAlign w:val="center"/>
            <w:hideMark/>
          </w:tcPr>
          <w:p w14:paraId="0810AFB0"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uk-UA" w:eastAsia="uk-UA"/>
              </w:rPr>
              <w:t>468</w:t>
            </w:r>
          </w:p>
        </w:tc>
        <w:tc>
          <w:tcPr>
            <w:tcW w:w="1559" w:type="dxa"/>
            <w:tcBorders>
              <w:top w:val="nil"/>
              <w:left w:val="nil"/>
              <w:bottom w:val="single" w:sz="8" w:space="0" w:color="auto"/>
              <w:right w:val="single" w:sz="8" w:space="0" w:color="auto"/>
            </w:tcBorders>
            <w:shd w:val="clear" w:color="auto" w:fill="auto"/>
            <w:vAlign w:val="center"/>
            <w:hideMark/>
          </w:tcPr>
          <w:p w14:paraId="0330A4C5"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uk-UA" w:eastAsia="uk-UA"/>
              </w:rPr>
              <w:t>327208</w:t>
            </w:r>
            <w:r>
              <w:rPr>
                <w:rFonts w:ascii="Times New Roman" w:eastAsia="Times New Roman" w:hAnsi="Times New Roman" w:cs="Times New Roman"/>
                <w:color w:val="000000"/>
                <w:sz w:val="28"/>
                <w:szCs w:val="28"/>
                <w:lang w:val="uk-UA" w:eastAsia="uk-UA"/>
              </w:rPr>
              <w:t>,0</w:t>
            </w:r>
          </w:p>
        </w:tc>
        <w:tc>
          <w:tcPr>
            <w:tcW w:w="992" w:type="dxa"/>
            <w:tcBorders>
              <w:top w:val="nil"/>
              <w:left w:val="nil"/>
              <w:bottom w:val="single" w:sz="8" w:space="0" w:color="auto"/>
              <w:right w:val="single" w:sz="8" w:space="0" w:color="auto"/>
            </w:tcBorders>
            <w:shd w:val="clear" w:color="auto" w:fill="auto"/>
            <w:vAlign w:val="center"/>
            <w:hideMark/>
          </w:tcPr>
          <w:p w14:paraId="7C2DC505"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uk-UA" w:eastAsia="uk-UA"/>
              </w:rPr>
              <w:t>425</w:t>
            </w:r>
          </w:p>
        </w:tc>
        <w:tc>
          <w:tcPr>
            <w:tcW w:w="1559" w:type="dxa"/>
            <w:tcBorders>
              <w:top w:val="nil"/>
              <w:left w:val="nil"/>
              <w:bottom w:val="single" w:sz="8" w:space="0" w:color="auto"/>
              <w:right w:val="single" w:sz="8" w:space="0" w:color="auto"/>
            </w:tcBorders>
            <w:shd w:val="clear" w:color="auto" w:fill="auto"/>
            <w:vAlign w:val="center"/>
            <w:hideMark/>
          </w:tcPr>
          <w:p w14:paraId="02EC5E83"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uk-UA" w:eastAsia="uk-UA"/>
              </w:rPr>
              <w:t>304846</w:t>
            </w:r>
            <w:r>
              <w:rPr>
                <w:rFonts w:ascii="Times New Roman" w:eastAsia="Times New Roman" w:hAnsi="Times New Roman" w:cs="Times New Roman"/>
                <w:color w:val="000000"/>
                <w:sz w:val="28"/>
                <w:szCs w:val="28"/>
                <w:lang w:val="uk-UA" w:eastAsia="uk-UA"/>
              </w:rPr>
              <w:t>,0</w:t>
            </w:r>
          </w:p>
        </w:tc>
        <w:tc>
          <w:tcPr>
            <w:tcW w:w="851" w:type="dxa"/>
            <w:tcBorders>
              <w:top w:val="nil"/>
              <w:left w:val="nil"/>
              <w:bottom w:val="single" w:sz="8" w:space="0" w:color="auto"/>
              <w:right w:val="single" w:sz="8" w:space="0" w:color="auto"/>
            </w:tcBorders>
            <w:shd w:val="clear" w:color="auto" w:fill="auto"/>
            <w:vAlign w:val="center"/>
            <w:hideMark/>
          </w:tcPr>
          <w:p w14:paraId="40F27E36"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uk-UA" w:eastAsia="uk-UA"/>
              </w:rPr>
              <w:t>43</w:t>
            </w:r>
          </w:p>
        </w:tc>
        <w:tc>
          <w:tcPr>
            <w:tcW w:w="1701" w:type="dxa"/>
            <w:tcBorders>
              <w:top w:val="nil"/>
              <w:left w:val="nil"/>
              <w:bottom w:val="single" w:sz="8" w:space="0" w:color="auto"/>
              <w:right w:val="single" w:sz="8" w:space="0" w:color="auto"/>
            </w:tcBorders>
            <w:shd w:val="clear" w:color="auto" w:fill="auto"/>
            <w:vAlign w:val="center"/>
            <w:hideMark/>
          </w:tcPr>
          <w:p w14:paraId="31E0C76B"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uk-UA" w:eastAsia="uk-UA"/>
              </w:rPr>
              <w:t>22362</w:t>
            </w:r>
            <w:r>
              <w:rPr>
                <w:rFonts w:ascii="Times New Roman" w:eastAsia="Times New Roman" w:hAnsi="Times New Roman" w:cs="Times New Roman"/>
                <w:color w:val="000000"/>
                <w:sz w:val="28"/>
                <w:szCs w:val="28"/>
                <w:lang w:val="uk-UA" w:eastAsia="uk-UA"/>
              </w:rPr>
              <w:t>,0</w:t>
            </w:r>
          </w:p>
        </w:tc>
      </w:tr>
      <w:tr w:rsidR="00E64B72" w:rsidRPr="00C60748" w14:paraId="09D51601" w14:textId="77777777" w:rsidTr="00242CD2">
        <w:trPr>
          <w:trHeight w:hRule="exact" w:val="645"/>
        </w:trPr>
        <w:tc>
          <w:tcPr>
            <w:tcW w:w="1643" w:type="dxa"/>
            <w:tcBorders>
              <w:top w:val="nil"/>
              <w:left w:val="single" w:sz="8" w:space="0" w:color="auto"/>
              <w:bottom w:val="single" w:sz="8" w:space="0" w:color="auto"/>
              <w:right w:val="single" w:sz="8" w:space="0" w:color="auto"/>
            </w:tcBorders>
            <w:shd w:val="clear" w:color="auto" w:fill="auto"/>
            <w:vAlign w:val="center"/>
            <w:hideMark/>
          </w:tcPr>
          <w:p w14:paraId="54098BBF" w14:textId="77777777" w:rsidR="00E64B72" w:rsidRPr="00D319EC" w:rsidRDefault="00E64B72" w:rsidP="00242CD2">
            <w:pPr>
              <w:spacing w:after="0" w:line="240" w:lineRule="auto"/>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en-US" w:eastAsia="uk-UA"/>
              </w:rPr>
              <w:t>Протезування</w:t>
            </w:r>
          </w:p>
        </w:tc>
        <w:tc>
          <w:tcPr>
            <w:tcW w:w="1066" w:type="dxa"/>
            <w:tcBorders>
              <w:top w:val="nil"/>
              <w:left w:val="nil"/>
              <w:bottom w:val="single" w:sz="8" w:space="0" w:color="auto"/>
              <w:right w:val="single" w:sz="8" w:space="0" w:color="auto"/>
            </w:tcBorders>
            <w:shd w:val="clear" w:color="auto" w:fill="auto"/>
            <w:vAlign w:val="center"/>
            <w:hideMark/>
          </w:tcPr>
          <w:p w14:paraId="0D42F083"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uk-UA" w:eastAsia="uk-UA"/>
              </w:rPr>
              <w:t>153</w:t>
            </w:r>
          </w:p>
        </w:tc>
        <w:tc>
          <w:tcPr>
            <w:tcW w:w="1559" w:type="dxa"/>
            <w:tcBorders>
              <w:top w:val="nil"/>
              <w:left w:val="nil"/>
              <w:bottom w:val="single" w:sz="8" w:space="0" w:color="auto"/>
              <w:right w:val="single" w:sz="8" w:space="0" w:color="auto"/>
            </w:tcBorders>
            <w:shd w:val="clear" w:color="auto" w:fill="auto"/>
            <w:vAlign w:val="center"/>
            <w:hideMark/>
          </w:tcPr>
          <w:p w14:paraId="5C118810"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uk-UA" w:eastAsia="uk-UA"/>
              </w:rPr>
              <w:t>1323508</w:t>
            </w:r>
            <w:r>
              <w:rPr>
                <w:rFonts w:ascii="Times New Roman" w:eastAsia="Times New Roman" w:hAnsi="Times New Roman" w:cs="Times New Roman"/>
                <w:color w:val="000000"/>
                <w:sz w:val="28"/>
                <w:szCs w:val="28"/>
                <w:lang w:val="uk-UA" w:eastAsia="uk-UA"/>
              </w:rPr>
              <w:t>,0</w:t>
            </w:r>
          </w:p>
        </w:tc>
        <w:tc>
          <w:tcPr>
            <w:tcW w:w="992" w:type="dxa"/>
            <w:tcBorders>
              <w:top w:val="nil"/>
              <w:left w:val="nil"/>
              <w:bottom w:val="single" w:sz="8" w:space="0" w:color="auto"/>
              <w:right w:val="single" w:sz="8" w:space="0" w:color="auto"/>
            </w:tcBorders>
            <w:shd w:val="clear" w:color="auto" w:fill="auto"/>
            <w:vAlign w:val="center"/>
            <w:hideMark/>
          </w:tcPr>
          <w:p w14:paraId="279DA9AD"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uk-UA" w:eastAsia="uk-UA"/>
              </w:rPr>
              <w:t>138</w:t>
            </w:r>
          </w:p>
        </w:tc>
        <w:tc>
          <w:tcPr>
            <w:tcW w:w="1559" w:type="dxa"/>
            <w:tcBorders>
              <w:top w:val="nil"/>
              <w:left w:val="nil"/>
              <w:bottom w:val="single" w:sz="8" w:space="0" w:color="auto"/>
              <w:right w:val="single" w:sz="8" w:space="0" w:color="auto"/>
            </w:tcBorders>
            <w:shd w:val="clear" w:color="auto" w:fill="auto"/>
            <w:vAlign w:val="center"/>
            <w:hideMark/>
          </w:tcPr>
          <w:p w14:paraId="66831FD9"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1199060,0</w:t>
            </w:r>
          </w:p>
        </w:tc>
        <w:tc>
          <w:tcPr>
            <w:tcW w:w="851" w:type="dxa"/>
            <w:tcBorders>
              <w:top w:val="nil"/>
              <w:left w:val="nil"/>
              <w:bottom w:val="single" w:sz="8" w:space="0" w:color="auto"/>
              <w:right w:val="single" w:sz="8" w:space="0" w:color="auto"/>
            </w:tcBorders>
            <w:shd w:val="clear" w:color="auto" w:fill="auto"/>
            <w:vAlign w:val="center"/>
            <w:hideMark/>
          </w:tcPr>
          <w:p w14:paraId="4F69A50B"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uk-UA" w:eastAsia="uk-UA"/>
              </w:rPr>
              <w:t>15</w:t>
            </w:r>
          </w:p>
        </w:tc>
        <w:tc>
          <w:tcPr>
            <w:tcW w:w="1701" w:type="dxa"/>
            <w:tcBorders>
              <w:top w:val="nil"/>
              <w:left w:val="nil"/>
              <w:bottom w:val="single" w:sz="8" w:space="0" w:color="auto"/>
              <w:right w:val="single" w:sz="8" w:space="0" w:color="auto"/>
            </w:tcBorders>
            <w:shd w:val="clear" w:color="auto" w:fill="auto"/>
            <w:vAlign w:val="center"/>
            <w:hideMark/>
          </w:tcPr>
          <w:p w14:paraId="22ED6F57"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uk-UA" w:eastAsia="uk-UA"/>
              </w:rPr>
              <w:t>124448</w:t>
            </w:r>
            <w:r>
              <w:rPr>
                <w:rFonts w:ascii="Times New Roman" w:eastAsia="Times New Roman" w:hAnsi="Times New Roman" w:cs="Times New Roman"/>
                <w:color w:val="000000"/>
                <w:sz w:val="28"/>
                <w:szCs w:val="28"/>
                <w:lang w:val="uk-UA" w:eastAsia="uk-UA"/>
              </w:rPr>
              <w:t>,0</w:t>
            </w:r>
          </w:p>
        </w:tc>
      </w:tr>
      <w:tr w:rsidR="00E64B72" w:rsidRPr="00C60748" w14:paraId="77D9ED8C" w14:textId="77777777" w:rsidTr="00242CD2">
        <w:trPr>
          <w:trHeight w:hRule="exact" w:val="510"/>
        </w:trPr>
        <w:tc>
          <w:tcPr>
            <w:tcW w:w="1643" w:type="dxa"/>
            <w:tcBorders>
              <w:top w:val="nil"/>
              <w:left w:val="single" w:sz="8" w:space="0" w:color="auto"/>
              <w:bottom w:val="single" w:sz="8" w:space="0" w:color="auto"/>
              <w:right w:val="single" w:sz="8" w:space="0" w:color="auto"/>
            </w:tcBorders>
            <w:shd w:val="clear" w:color="auto" w:fill="auto"/>
            <w:vAlign w:val="center"/>
            <w:hideMark/>
          </w:tcPr>
          <w:p w14:paraId="4EB9DD15" w14:textId="77777777" w:rsidR="00E64B72" w:rsidRPr="00D319EC" w:rsidRDefault="00E64B72" w:rsidP="00242CD2">
            <w:pPr>
              <w:spacing w:after="0" w:line="240" w:lineRule="auto"/>
              <w:rPr>
                <w:rFonts w:ascii="Times New Roman" w:eastAsia="Times New Roman" w:hAnsi="Times New Roman" w:cs="Times New Roman"/>
                <w:color w:val="000000"/>
                <w:sz w:val="28"/>
                <w:szCs w:val="28"/>
                <w:lang w:val="uk-UA" w:eastAsia="uk-UA"/>
              </w:rPr>
            </w:pPr>
            <w:r w:rsidRPr="00D319EC">
              <w:rPr>
                <w:rFonts w:ascii="Times New Roman" w:eastAsia="Calibri" w:hAnsi="Times New Roman" w:cs="Times New Roman"/>
                <w:color w:val="000000"/>
                <w:sz w:val="28"/>
                <w:szCs w:val="28"/>
                <w:lang w:val="uk-UA" w:eastAsia="en-US"/>
              </w:rPr>
              <w:t>Всього</w:t>
            </w:r>
          </w:p>
        </w:tc>
        <w:tc>
          <w:tcPr>
            <w:tcW w:w="1066" w:type="dxa"/>
            <w:tcBorders>
              <w:top w:val="nil"/>
              <w:left w:val="nil"/>
              <w:bottom w:val="single" w:sz="8" w:space="0" w:color="auto"/>
              <w:right w:val="single" w:sz="8" w:space="0" w:color="auto"/>
            </w:tcBorders>
            <w:shd w:val="clear" w:color="auto" w:fill="auto"/>
            <w:vAlign w:val="center"/>
            <w:hideMark/>
          </w:tcPr>
          <w:p w14:paraId="4B635BB9"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uk-UA" w:eastAsia="uk-UA"/>
              </w:rPr>
              <w:t>1414</w:t>
            </w:r>
          </w:p>
        </w:tc>
        <w:tc>
          <w:tcPr>
            <w:tcW w:w="1559" w:type="dxa"/>
            <w:tcBorders>
              <w:top w:val="nil"/>
              <w:left w:val="nil"/>
              <w:bottom w:val="single" w:sz="8" w:space="0" w:color="auto"/>
              <w:right w:val="single" w:sz="8" w:space="0" w:color="auto"/>
            </w:tcBorders>
            <w:shd w:val="clear" w:color="auto" w:fill="auto"/>
            <w:vAlign w:val="center"/>
            <w:hideMark/>
          </w:tcPr>
          <w:p w14:paraId="3DC2B408"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uk-UA" w:eastAsia="uk-UA"/>
              </w:rPr>
              <w:t>2672736</w:t>
            </w:r>
            <w:r>
              <w:rPr>
                <w:rFonts w:ascii="Times New Roman" w:eastAsia="Times New Roman" w:hAnsi="Times New Roman" w:cs="Times New Roman"/>
                <w:color w:val="000000"/>
                <w:sz w:val="28"/>
                <w:szCs w:val="28"/>
                <w:lang w:val="uk-UA" w:eastAsia="uk-UA"/>
              </w:rPr>
              <w:t>,0</w:t>
            </w:r>
          </w:p>
        </w:tc>
        <w:tc>
          <w:tcPr>
            <w:tcW w:w="992" w:type="dxa"/>
            <w:tcBorders>
              <w:top w:val="nil"/>
              <w:left w:val="nil"/>
              <w:bottom w:val="single" w:sz="8" w:space="0" w:color="auto"/>
              <w:right w:val="single" w:sz="8" w:space="0" w:color="auto"/>
            </w:tcBorders>
            <w:shd w:val="clear" w:color="auto" w:fill="auto"/>
            <w:vAlign w:val="center"/>
            <w:hideMark/>
          </w:tcPr>
          <w:p w14:paraId="718158FE"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uk-UA" w:eastAsia="uk-UA"/>
              </w:rPr>
              <w:t>1275</w:t>
            </w:r>
          </w:p>
        </w:tc>
        <w:tc>
          <w:tcPr>
            <w:tcW w:w="1559" w:type="dxa"/>
            <w:tcBorders>
              <w:top w:val="nil"/>
              <w:left w:val="nil"/>
              <w:bottom w:val="single" w:sz="8" w:space="0" w:color="auto"/>
              <w:right w:val="single" w:sz="8" w:space="0" w:color="auto"/>
            </w:tcBorders>
            <w:shd w:val="clear" w:color="auto" w:fill="auto"/>
            <w:vAlign w:val="center"/>
            <w:hideMark/>
          </w:tcPr>
          <w:p w14:paraId="0A3FEA0F"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uk-UA" w:eastAsia="uk-UA"/>
              </w:rPr>
              <w:t>2417272</w:t>
            </w:r>
            <w:r>
              <w:rPr>
                <w:rFonts w:ascii="Times New Roman" w:eastAsia="Times New Roman" w:hAnsi="Times New Roman" w:cs="Times New Roman"/>
                <w:color w:val="000000"/>
                <w:sz w:val="28"/>
                <w:szCs w:val="28"/>
                <w:lang w:val="uk-UA" w:eastAsia="uk-UA"/>
              </w:rPr>
              <w:t>,0</w:t>
            </w:r>
          </w:p>
        </w:tc>
        <w:tc>
          <w:tcPr>
            <w:tcW w:w="851" w:type="dxa"/>
            <w:tcBorders>
              <w:top w:val="nil"/>
              <w:left w:val="nil"/>
              <w:bottom w:val="single" w:sz="8" w:space="0" w:color="auto"/>
              <w:right w:val="single" w:sz="8" w:space="0" w:color="auto"/>
            </w:tcBorders>
            <w:shd w:val="clear" w:color="auto" w:fill="auto"/>
            <w:vAlign w:val="center"/>
            <w:hideMark/>
          </w:tcPr>
          <w:p w14:paraId="5102F693"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en-US" w:eastAsia="uk-UA"/>
              </w:rPr>
              <w:t>139</w:t>
            </w:r>
          </w:p>
        </w:tc>
        <w:tc>
          <w:tcPr>
            <w:tcW w:w="1701" w:type="dxa"/>
            <w:tcBorders>
              <w:top w:val="nil"/>
              <w:left w:val="nil"/>
              <w:bottom w:val="single" w:sz="8" w:space="0" w:color="auto"/>
              <w:right w:val="single" w:sz="8" w:space="0" w:color="auto"/>
            </w:tcBorders>
            <w:shd w:val="clear" w:color="auto" w:fill="auto"/>
            <w:vAlign w:val="center"/>
            <w:hideMark/>
          </w:tcPr>
          <w:p w14:paraId="79BA36EC" w14:textId="77777777" w:rsidR="00E64B72" w:rsidRPr="00D319EC" w:rsidRDefault="00E64B72" w:rsidP="00242CD2">
            <w:pPr>
              <w:spacing w:after="0" w:line="240" w:lineRule="auto"/>
              <w:jc w:val="center"/>
              <w:rPr>
                <w:rFonts w:ascii="Times New Roman" w:eastAsia="Times New Roman" w:hAnsi="Times New Roman" w:cs="Times New Roman"/>
                <w:color w:val="000000"/>
                <w:sz w:val="28"/>
                <w:szCs w:val="28"/>
                <w:lang w:val="uk-UA" w:eastAsia="uk-UA"/>
              </w:rPr>
            </w:pPr>
            <w:r w:rsidRPr="00D319EC">
              <w:rPr>
                <w:rFonts w:ascii="Times New Roman" w:eastAsia="Times New Roman" w:hAnsi="Times New Roman" w:cs="Times New Roman"/>
                <w:color w:val="000000"/>
                <w:sz w:val="28"/>
                <w:szCs w:val="28"/>
                <w:lang w:val="uk-UA" w:eastAsia="uk-UA"/>
              </w:rPr>
              <w:t>255464</w:t>
            </w:r>
            <w:r>
              <w:rPr>
                <w:rFonts w:ascii="Times New Roman" w:eastAsia="Times New Roman" w:hAnsi="Times New Roman" w:cs="Times New Roman"/>
                <w:color w:val="000000"/>
                <w:sz w:val="28"/>
                <w:szCs w:val="28"/>
                <w:lang w:val="uk-UA" w:eastAsia="uk-UA"/>
              </w:rPr>
              <w:t>,0</w:t>
            </w:r>
          </w:p>
        </w:tc>
      </w:tr>
    </w:tbl>
    <w:p w14:paraId="7E7B10C3" w14:textId="77777777" w:rsidR="00E64B72" w:rsidRPr="00C60748" w:rsidRDefault="00E64B72" w:rsidP="00E64B72">
      <w:pPr>
        <w:pStyle w:val="a6"/>
        <w:spacing w:after="0" w:line="240" w:lineRule="auto"/>
        <w:ind w:left="0" w:right="-284"/>
        <w:jc w:val="both"/>
        <w:rPr>
          <w:rFonts w:ascii="Times New Roman" w:eastAsia="Calibri" w:hAnsi="Times New Roman" w:cs="Times New Roman"/>
          <w:sz w:val="28"/>
          <w:szCs w:val="28"/>
          <w:lang w:val="uk-UA" w:eastAsia="en-US"/>
        </w:rPr>
      </w:pPr>
    </w:p>
    <w:p w14:paraId="523F0140" w14:textId="77777777" w:rsidR="00E64B72" w:rsidRDefault="00E64B72" w:rsidP="00E64B72">
      <w:pPr>
        <w:spacing w:after="0"/>
        <w:ind w:firstLine="567"/>
        <w:jc w:val="both"/>
        <w:rPr>
          <w:rFonts w:ascii="Times New Roman" w:eastAsia="Calibri" w:hAnsi="Times New Roman" w:cs="Times New Roman"/>
          <w:sz w:val="28"/>
          <w:szCs w:val="28"/>
          <w:lang w:val="uk-UA" w:eastAsia="en-US"/>
        </w:rPr>
      </w:pPr>
      <w:r w:rsidRPr="00B83938">
        <w:rPr>
          <w:rFonts w:ascii="Times New Roman" w:eastAsia="Calibri" w:hAnsi="Times New Roman" w:cs="Times New Roman"/>
          <w:sz w:val="28"/>
          <w:szCs w:val="28"/>
          <w:lang w:eastAsia="en-US"/>
        </w:rPr>
        <w:lastRenderedPageBreak/>
        <w:t xml:space="preserve">Погашення заборгованості за надані стоматологічні послуги в листопаді 2025 року –255 464,00грн.  </w:t>
      </w:r>
    </w:p>
    <w:p w14:paraId="561FCA31" w14:textId="77777777" w:rsidR="00E64B72" w:rsidRPr="00482946" w:rsidRDefault="00E64B72" w:rsidP="00E64B72">
      <w:pPr>
        <w:spacing w:after="0"/>
        <w:ind w:firstLine="567"/>
        <w:jc w:val="both"/>
        <w:rPr>
          <w:rFonts w:ascii="Times New Roman" w:eastAsia="Calibri" w:hAnsi="Times New Roman" w:cs="Times New Roman"/>
          <w:sz w:val="28"/>
          <w:szCs w:val="28"/>
          <w:lang w:val="uk-UA" w:eastAsia="en-US"/>
        </w:rPr>
      </w:pPr>
      <w:r w:rsidRPr="00B83938">
        <w:rPr>
          <w:rFonts w:ascii="Times New Roman" w:eastAsia="Calibri" w:hAnsi="Times New Roman" w:cs="Times New Roman"/>
          <w:sz w:val="28"/>
          <w:szCs w:val="28"/>
          <w:lang w:eastAsia="en-US"/>
        </w:rPr>
        <w:t>Фінансування стоматологічних послуг у грудні 2025 року – 191 598,00грн.</w:t>
      </w:r>
    </w:p>
    <w:p w14:paraId="1C9CA0C1" w14:textId="085B1CB2" w:rsidR="00E64B72" w:rsidRPr="00C60748" w:rsidRDefault="00D67648" w:rsidP="00D67648">
      <w:pPr>
        <w:pStyle w:val="a6"/>
        <w:spacing w:after="0" w:line="240" w:lineRule="auto"/>
        <w:ind w:left="567" w:right="-1"/>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 xml:space="preserve">5.   </w:t>
      </w:r>
      <w:r w:rsidR="00E64B72" w:rsidRPr="00C60748">
        <w:rPr>
          <w:rFonts w:ascii="Times New Roman" w:eastAsia="Calibri" w:hAnsi="Times New Roman" w:cs="Times New Roman"/>
          <w:b/>
          <w:sz w:val="28"/>
          <w:szCs w:val="28"/>
          <w:lang w:val="uk-UA" w:eastAsia="en-US"/>
        </w:rPr>
        <w:t>Прогноз результатів.</w:t>
      </w:r>
    </w:p>
    <w:p w14:paraId="3FCFD59E" w14:textId="77777777" w:rsidR="00E64B72" w:rsidRPr="00CD615C" w:rsidRDefault="00E64B72" w:rsidP="00E64B72">
      <w:pPr>
        <w:spacing w:before="60" w:after="0" w:line="240" w:lineRule="auto"/>
        <w:ind w:right="-1" w:firstLine="567"/>
        <w:jc w:val="both"/>
        <w:rPr>
          <w:rFonts w:ascii="Times New Roman" w:eastAsia="Calibri" w:hAnsi="Times New Roman" w:cs="Times New Roman"/>
          <w:sz w:val="28"/>
          <w:szCs w:val="28"/>
          <w:lang w:val="uk-UA" w:eastAsia="en-US"/>
        </w:rPr>
      </w:pPr>
      <w:r w:rsidRPr="00C60748">
        <w:rPr>
          <w:rFonts w:ascii="Times New Roman" w:eastAsia="Calibri" w:hAnsi="Times New Roman" w:cs="Times New Roman"/>
          <w:sz w:val="28"/>
          <w:szCs w:val="28"/>
          <w:lang w:val="uk-UA" w:eastAsia="en-US"/>
        </w:rPr>
        <w:t xml:space="preserve">Реалізація заходів Програми забезпечить посилення соціальної підтримки,  а </w:t>
      </w:r>
      <w:r>
        <w:rPr>
          <w:rFonts w:ascii="Times New Roman" w:eastAsia="Calibri" w:hAnsi="Times New Roman" w:cs="Times New Roman"/>
          <w:sz w:val="28"/>
          <w:szCs w:val="28"/>
          <w:lang w:val="uk-UA" w:eastAsia="en-US"/>
        </w:rPr>
        <w:t>також надасть додаткові гарантії</w:t>
      </w:r>
      <w:r w:rsidRPr="00C60748">
        <w:rPr>
          <w:rFonts w:ascii="Times New Roman" w:eastAsia="Calibri" w:hAnsi="Times New Roman" w:cs="Times New Roman"/>
          <w:sz w:val="28"/>
          <w:szCs w:val="28"/>
          <w:lang w:val="uk-UA" w:eastAsia="en-US"/>
        </w:rPr>
        <w:t xml:space="preserve"> соціального захисту Захисникам і Захисницям України,  сім’ям загиблих (померлих) Захисників і Захисниць України та поєднає зусилля органів виконавчої влади, місцевого самоврядування, установ, організацій різних форм власності, спрямованих на поглиблення адаптації, покращення добробуту та якості життя, належного морально-психологічного стану Захисників і Захисниць України, а також членів сімей, загиблих (померлих) З</w:t>
      </w:r>
      <w:r>
        <w:rPr>
          <w:rFonts w:ascii="Times New Roman" w:eastAsia="Calibri" w:hAnsi="Times New Roman" w:cs="Times New Roman"/>
          <w:sz w:val="28"/>
          <w:szCs w:val="28"/>
          <w:lang w:val="uk-UA" w:eastAsia="en-US"/>
        </w:rPr>
        <w:t>ахисників і Захисниць України, с</w:t>
      </w:r>
      <w:r w:rsidRPr="00C60748">
        <w:rPr>
          <w:rFonts w:ascii="Times New Roman" w:eastAsia="Calibri" w:hAnsi="Times New Roman" w:cs="Times New Roman"/>
          <w:sz w:val="28"/>
          <w:szCs w:val="28"/>
          <w:lang w:val="uk-UA" w:eastAsia="en-US"/>
        </w:rPr>
        <w:t>приятиме шанобливому ставленню до Захисників і Захисниць України та членів їх сімей.</w:t>
      </w:r>
    </w:p>
    <w:p w14:paraId="2342EF82" w14:textId="3185AC2E" w:rsidR="00E64B72" w:rsidRDefault="00D67648" w:rsidP="00E64B72">
      <w:pPr>
        <w:spacing w:after="0" w:line="240" w:lineRule="auto"/>
        <w:ind w:right="-1"/>
        <w:jc w:val="both"/>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 xml:space="preserve">       </w:t>
      </w:r>
      <w:r w:rsidR="00E64B72">
        <w:rPr>
          <w:rFonts w:ascii="Times New Roman" w:eastAsia="Times New Roman" w:hAnsi="Times New Roman" w:cs="Times New Roman"/>
          <w:b/>
          <w:bCs/>
          <w:color w:val="000000"/>
          <w:sz w:val="28"/>
          <w:szCs w:val="28"/>
          <w:lang w:val="uk-UA"/>
        </w:rPr>
        <w:t>6. Суб’єкт подання проекту рішення.</w:t>
      </w:r>
    </w:p>
    <w:p w14:paraId="59EB1149" w14:textId="38FE9857" w:rsidR="00E64B72" w:rsidRDefault="0023246A" w:rsidP="00E64B72">
      <w:pPr>
        <w:tabs>
          <w:tab w:val="left" w:pos="6379"/>
          <w:tab w:val="left" w:pos="6804"/>
        </w:tabs>
        <w:spacing w:after="80" w:line="240" w:lineRule="auto"/>
        <w:ind w:right="-1" w:firstLine="567"/>
        <w:jc w:val="both"/>
        <w:rPr>
          <w:rFonts w:ascii="Times New Roman" w:eastAsia="Calibri" w:hAnsi="Times New Roman" w:cs="Times New Roman"/>
          <w:iCs/>
          <w:sz w:val="28"/>
          <w:szCs w:val="28"/>
          <w:lang w:val="uk-UA" w:eastAsia="en-US"/>
        </w:rPr>
      </w:pPr>
      <w:r>
        <w:rPr>
          <w:rFonts w:ascii="Times New Roman" w:eastAsia="Calibri" w:hAnsi="Times New Roman" w:cs="Times New Roman"/>
          <w:iCs/>
          <w:sz w:val="28"/>
          <w:szCs w:val="28"/>
          <w:lang w:val="uk-UA" w:eastAsia="en-US"/>
        </w:rPr>
        <w:t>У</w:t>
      </w:r>
      <w:r w:rsidR="00E64B72" w:rsidRPr="000057EB">
        <w:rPr>
          <w:rFonts w:ascii="Times New Roman" w:eastAsia="Calibri" w:hAnsi="Times New Roman" w:cs="Times New Roman"/>
          <w:iCs/>
          <w:sz w:val="28"/>
          <w:szCs w:val="28"/>
          <w:lang w:val="uk-UA" w:eastAsia="en-US"/>
        </w:rPr>
        <w:t xml:space="preserve">правління з питань ветеранської політики Броварської міської ради Броварського району Київської області. </w:t>
      </w:r>
    </w:p>
    <w:p w14:paraId="2A030D2A" w14:textId="77777777" w:rsidR="00E64B72" w:rsidRDefault="00E64B72" w:rsidP="00E64B72">
      <w:pPr>
        <w:tabs>
          <w:tab w:val="left" w:pos="6379"/>
          <w:tab w:val="left" w:pos="6804"/>
        </w:tabs>
        <w:spacing w:after="80" w:line="240" w:lineRule="auto"/>
        <w:ind w:right="-1" w:firstLine="567"/>
        <w:jc w:val="both"/>
        <w:rPr>
          <w:rFonts w:ascii="Times New Roman" w:eastAsia="Calibri" w:hAnsi="Times New Roman" w:cs="Times New Roman"/>
          <w:iCs/>
          <w:sz w:val="28"/>
          <w:szCs w:val="28"/>
          <w:lang w:val="uk-UA" w:eastAsia="en-US"/>
        </w:rPr>
      </w:pPr>
      <w:r w:rsidRPr="000057EB">
        <w:rPr>
          <w:rFonts w:ascii="Times New Roman" w:eastAsia="Calibri" w:hAnsi="Times New Roman" w:cs="Times New Roman"/>
          <w:iCs/>
          <w:sz w:val="28"/>
          <w:szCs w:val="28"/>
          <w:lang w:eastAsia="en-US"/>
        </w:rPr>
        <w:t>Доповідач та особа, відповідальна за підготовку проекту рішення: начальник управління – Кісліцина Марина Сергіївна (контактний телефон 045-94-44-604).</w:t>
      </w:r>
    </w:p>
    <w:p w14:paraId="521CD076" w14:textId="7D68BF2F" w:rsidR="00E64B72" w:rsidRPr="005B6660" w:rsidRDefault="00D67648" w:rsidP="00E64B72">
      <w:pPr>
        <w:ind w:left="-284" w:right="-284"/>
        <w:contextualSpacing/>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 xml:space="preserve">         </w:t>
      </w:r>
      <w:r w:rsidR="00E64B72" w:rsidRPr="00F20A01">
        <w:rPr>
          <w:rFonts w:ascii="Times New Roman" w:eastAsia="Calibri" w:hAnsi="Times New Roman" w:cs="Times New Roman"/>
          <w:b/>
          <w:sz w:val="28"/>
          <w:szCs w:val="28"/>
          <w:lang w:val="uk-UA" w:eastAsia="en-US"/>
        </w:rPr>
        <w:t>7.Порівняльна таблиця</w:t>
      </w:r>
    </w:p>
    <w:tbl>
      <w:tblPr>
        <w:tblStyle w:val="a5"/>
        <w:tblW w:w="9615" w:type="dxa"/>
        <w:jc w:val="center"/>
        <w:tblLayout w:type="fixed"/>
        <w:tblLook w:val="04A0" w:firstRow="1" w:lastRow="0" w:firstColumn="1" w:lastColumn="0" w:noHBand="0" w:noVBand="1"/>
      </w:tblPr>
      <w:tblGrid>
        <w:gridCol w:w="556"/>
        <w:gridCol w:w="4394"/>
        <w:gridCol w:w="1559"/>
        <w:gridCol w:w="1417"/>
        <w:gridCol w:w="1689"/>
      </w:tblGrid>
      <w:tr w:rsidR="00E64B72" w:rsidRPr="00F20A01" w14:paraId="6A7A5D2D" w14:textId="77777777" w:rsidTr="00242CD2">
        <w:trPr>
          <w:jc w:val="center"/>
        </w:trPr>
        <w:tc>
          <w:tcPr>
            <w:tcW w:w="556" w:type="dxa"/>
            <w:vMerge w:val="restart"/>
            <w:vAlign w:val="center"/>
            <w:hideMark/>
          </w:tcPr>
          <w:p w14:paraId="36760E4B" w14:textId="77777777" w:rsidR="00E64B72" w:rsidRDefault="00E64B72" w:rsidP="00242CD2">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 xml:space="preserve">№ </w:t>
            </w:r>
          </w:p>
          <w:p w14:paraId="6A0F1B66" w14:textId="77777777" w:rsidR="00E64B72" w:rsidRPr="00F20A01" w:rsidRDefault="00E64B72" w:rsidP="00242CD2">
            <w:pPr>
              <w:ind w:right="-1"/>
              <w:jc w:val="center"/>
              <w:rPr>
                <w:rFonts w:ascii="Times New Roman" w:hAnsi="Times New Roman" w:cs="Times New Roman"/>
                <w:sz w:val="24"/>
                <w:szCs w:val="24"/>
                <w:lang w:val="uk-UA"/>
              </w:rPr>
            </w:pPr>
          </w:p>
        </w:tc>
        <w:tc>
          <w:tcPr>
            <w:tcW w:w="4394" w:type="dxa"/>
            <w:vMerge w:val="restart"/>
            <w:vAlign w:val="center"/>
            <w:hideMark/>
          </w:tcPr>
          <w:p w14:paraId="609B152F" w14:textId="77777777" w:rsidR="00E64B72" w:rsidRPr="00F20A01" w:rsidRDefault="00E64B72" w:rsidP="00242CD2">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Заходи Програми</w:t>
            </w:r>
          </w:p>
        </w:tc>
        <w:tc>
          <w:tcPr>
            <w:tcW w:w="4665" w:type="dxa"/>
            <w:gridSpan w:val="3"/>
            <w:vAlign w:val="center"/>
            <w:hideMark/>
          </w:tcPr>
          <w:p w14:paraId="388892F4" w14:textId="77777777" w:rsidR="00E64B72" w:rsidRPr="00F20A01" w:rsidRDefault="00E64B72" w:rsidP="00242CD2">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Обсяг фінансування</w:t>
            </w:r>
          </w:p>
        </w:tc>
      </w:tr>
      <w:tr w:rsidR="00E64B72" w:rsidRPr="00F20A01" w14:paraId="18B688A1" w14:textId="77777777" w:rsidTr="00242CD2">
        <w:trPr>
          <w:jc w:val="center"/>
        </w:trPr>
        <w:tc>
          <w:tcPr>
            <w:tcW w:w="556" w:type="dxa"/>
            <w:vMerge/>
          </w:tcPr>
          <w:p w14:paraId="73556C93" w14:textId="77777777" w:rsidR="00E64B72" w:rsidRPr="00F20A01" w:rsidRDefault="00E64B72" w:rsidP="00242CD2">
            <w:pPr>
              <w:ind w:right="-1"/>
              <w:rPr>
                <w:rFonts w:ascii="Times New Roman" w:hAnsi="Times New Roman" w:cs="Times New Roman"/>
                <w:sz w:val="24"/>
                <w:szCs w:val="24"/>
                <w:lang w:val="uk-UA"/>
              </w:rPr>
            </w:pPr>
          </w:p>
        </w:tc>
        <w:tc>
          <w:tcPr>
            <w:tcW w:w="4394" w:type="dxa"/>
            <w:vMerge/>
          </w:tcPr>
          <w:p w14:paraId="2F332C74" w14:textId="77777777" w:rsidR="00E64B72" w:rsidRPr="00F20A01" w:rsidRDefault="00E64B72" w:rsidP="00242CD2">
            <w:pPr>
              <w:ind w:right="-1"/>
              <w:rPr>
                <w:rFonts w:ascii="Times New Roman" w:hAnsi="Times New Roman" w:cs="Times New Roman"/>
                <w:sz w:val="24"/>
                <w:szCs w:val="24"/>
                <w:lang w:val="uk-UA"/>
              </w:rPr>
            </w:pPr>
          </w:p>
        </w:tc>
        <w:tc>
          <w:tcPr>
            <w:tcW w:w="1559" w:type="dxa"/>
            <w:vAlign w:val="center"/>
            <w:hideMark/>
          </w:tcPr>
          <w:p w14:paraId="593D2B17" w14:textId="3947FFD9" w:rsidR="00E64B72" w:rsidRPr="00F20A01" w:rsidRDefault="00E64B72" w:rsidP="00242CD2">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 xml:space="preserve">Було, тис. </w:t>
            </w:r>
            <w:r>
              <w:rPr>
                <w:rFonts w:ascii="Times New Roman" w:hAnsi="Times New Roman" w:cs="Times New Roman"/>
                <w:sz w:val="24"/>
                <w:szCs w:val="24"/>
                <w:lang w:val="uk-UA"/>
              </w:rPr>
              <w:t>грн</w:t>
            </w:r>
          </w:p>
        </w:tc>
        <w:tc>
          <w:tcPr>
            <w:tcW w:w="1417" w:type="dxa"/>
            <w:vAlign w:val="center"/>
            <w:hideMark/>
          </w:tcPr>
          <w:p w14:paraId="1AAB001A" w14:textId="15F03139" w:rsidR="00E64B72" w:rsidRPr="00F20A01" w:rsidRDefault="00E64B72" w:rsidP="00242CD2">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 xml:space="preserve">Зміни, +/-, тис. </w:t>
            </w:r>
            <w:r>
              <w:rPr>
                <w:rFonts w:ascii="Times New Roman" w:hAnsi="Times New Roman" w:cs="Times New Roman"/>
                <w:sz w:val="24"/>
                <w:szCs w:val="24"/>
                <w:lang w:val="uk-UA"/>
              </w:rPr>
              <w:t>грн</w:t>
            </w:r>
          </w:p>
        </w:tc>
        <w:tc>
          <w:tcPr>
            <w:tcW w:w="1689" w:type="dxa"/>
            <w:vAlign w:val="center"/>
            <w:hideMark/>
          </w:tcPr>
          <w:p w14:paraId="2D2FAAC1" w14:textId="377AA7F6" w:rsidR="00E64B72" w:rsidRPr="00F20A01" w:rsidRDefault="00E64B72" w:rsidP="00242CD2">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 xml:space="preserve">Стало, тис. </w:t>
            </w:r>
            <w:r>
              <w:rPr>
                <w:rFonts w:ascii="Times New Roman" w:hAnsi="Times New Roman" w:cs="Times New Roman"/>
                <w:sz w:val="24"/>
                <w:szCs w:val="24"/>
                <w:lang w:val="uk-UA"/>
              </w:rPr>
              <w:t>грн</w:t>
            </w:r>
          </w:p>
        </w:tc>
      </w:tr>
      <w:tr w:rsidR="00E64B72" w:rsidRPr="003370DB" w14:paraId="499B5077" w14:textId="77777777" w:rsidTr="00242CD2">
        <w:trPr>
          <w:trHeight w:val="1012"/>
          <w:jc w:val="center"/>
        </w:trPr>
        <w:tc>
          <w:tcPr>
            <w:tcW w:w="556" w:type="dxa"/>
          </w:tcPr>
          <w:p w14:paraId="2DA44C26" w14:textId="77777777" w:rsidR="00E64B72" w:rsidRDefault="00E64B72" w:rsidP="00242CD2">
            <w:pPr>
              <w:ind w:right="-1"/>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4394" w:type="dxa"/>
          </w:tcPr>
          <w:p w14:paraId="130A2879" w14:textId="77777777" w:rsidR="00E64B72" w:rsidRDefault="00E64B72" w:rsidP="00242CD2">
            <w:pPr>
              <w:ind w:right="-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п.6.18 </w:t>
            </w:r>
            <w:r w:rsidRPr="00EA62B6">
              <w:rPr>
                <w:rFonts w:ascii="Times New Roman" w:hAnsi="Times New Roman" w:cs="Times New Roman"/>
                <w:sz w:val="24"/>
                <w:szCs w:val="24"/>
                <w:lang w:val="uk-UA"/>
              </w:rPr>
              <w:t>«</w:t>
            </w:r>
            <w:r w:rsidRPr="00EA62B6">
              <w:rPr>
                <w:rFonts w:ascii="Times New Roman" w:eastAsia="Times New Roman" w:hAnsi="Times New Roman" w:cs="Times New Roman"/>
                <w:sz w:val="24"/>
                <w:szCs w:val="24"/>
                <w:lang w:val="uk-UA" w:eastAsia="uk-UA"/>
              </w:rPr>
              <w:t>Забезпечення санаторно-курортним лікуванням Захисників та Захисниць України, що брали/беруть участь в заходах щодо забезпечення відсічі збройної агресії російської федерації, ветеранів війни, осіб на яких поширюється дія Закону України «Про статус ветеранів війни, гарантії їх соціального захисту, згідно положення, що затверджується в установленому порядку</w:t>
            </w:r>
            <w:r w:rsidRPr="00EA62B6">
              <w:rPr>
                <w:rFonts w:ascii="Times New Roman" w:hAnsi="Times New Roman" w:cs="Times New Roman"/>
                <w:sz w:val="24"/>
                <w:szCs w:val="24"/>
                <w:lang w:val="uk-UA"/>
              </w:rPr>
              <w:t>»</w:t>
            </w:r>
          </w:p>
        </w:tc>
        <w:tc>
          <w:tcPr>
            <w:tcW w:w="1559" w:type="dxa"/>
            <w:vAlign w:val="center"/>
          </w:tcPr>
          <w:p w14:paraId="07BF5532" w14:textId="77777777" w:rsidR="00E64B72" w:rsidRDefault="00E64B72" w:rsidP="00242CD2">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1246,506</w:t>
            </w:r>
          </w:p>
        </w:tc>
        <w:tc>
          <w:tcPr>
            <w:tcW w:w="1417" w:type="dxa"/>
            <w:vAlign w:val="center"/>
          </w:tcPr>
          <w:p w14:paraId="52340B39" w14:textId="77777777" w:rsidR="00E64B72" w:rsidRPr="00F20A01" w:rsidRDefault="00E64B72" w:rsidP="00242CD2">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-8,0</w:t>
            </w:r>
          </w:p>
        </w:tc>
        <w:tc>
          <w:tcPr>
            <w:tcW w:w="1689" w:type="dxa"/>
            <w:vAlign w:val="center"/>
          </w:tcPr>
          <w:p w14:paraId="319F5C0E" w14:textId="77777777" w:rsidR="00E64B72" w:rsidRDefault="00E64B72" w:rsidP="00242CD2">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1238,506</w:t>
            </w:r>
          </w:p>
        </w:tc>
      </w:tr>
      <w:tr w:rsidR="00E64B72" w:rsidRPr="003370DB" w14:paraId="7B9BFF94" w14:textId="77777777" w:rsidTr="00242CD2">
        <w:trPr>
          <w:trHeight w:val="1012"/>
          <w:jc w:val="center"/>
        </w:trPr>
        <w:tc>
          <w:tcPr>
            <w:tcW w:w="556" w:type="dxa"/>
          </w:tcPr>
          <w:p w14:paraId="666AB4BA" w14:textId="77777777" w:rsidR="00E64B72" w:rsidRDefault="00E64B72" w:rsidP="00242CD2">
            <w:pPr>
              <w:ind w:right="-1"/>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4394" w:type="dxa"/>
          </w:tcPr>
          <w:p w14:paraId="26A4390F" w14:textId="77777777" w:rsidR="00E64B72" w:rsidRDefault="00E64B72" w:rsidP="00242CD2">
            <w:pPr>
              <w:ind w:right="-1"/>
              <w:jc w:val="both"/>
              <w:rPr>
                <w:rFonts w:ascii="Times New Roman" w:hAnsi="Times New Roman" w:cs="Times New Roman"/>
                <w:sz w:val="24"/>
                <w:szCs w:val="24"/>
                <w:lang w:val="uk-UA"/>
              </w:rPr>
            </w:pPr>
            <w:r>
              <w:rPr>
                <w:rFonts w:ascii="Times New Roman" w:hAnsi="Times New Roman" w:cs="Times New Roman"/>
                <w:sz w:val="24"/>
                <w:szCs w:val="24"/>
                <w:lang w:val="uk-UA"/>
              </w:rPr>
              <w:t>п.6.22</w:t>
            </w:r>
            <w:r w:rsidRPr="00262649">
              <w:rPr>
                <w:rFonts w:ascii="Times New Roman" w:hAnsi="Times New Roman" w:cs="Times New Roman"/>
                <w:sz w:val="24"/>
                <w:szCs w:val="24"/>
                <w:lang w:val="uk-UA"/>
              </w:rPr>
              <w:t xml:space="preserve"> </w:t>
            </w:r>
            <w:r w:rsidRPr="00267D8B">
              <w:rPr>
                <w:rFonts w:ascii="Times New Roman" w:hAnsi="Times New Roman" w:cs="Times New Roman"/>
                <w:sz w:val="24"/>
                <w:szCs w:val="24"/>
                <w:lang w:val="uk-UA"/>
              </w:rPr>
              <w:t>«Часткове відшкодування вартості обстеження, проведеного методом комп’ютерної томографії (КТ) та магнітнорезонансної томографії (МРТ) Захисникам та Захисницям України, в розмірі 50 % вартості послуги згідно положення, що затверджується в установленому порядку»</w:t>
            </w:r>
          </w:p>
        </w:tc>
        <w:tc>
          <w:tcPr>
            <w:tcW w:w="1559" w:type="dxa"/>
            <w:vAlign w:val="center"/>
          </w:tcPr>
          <w:p w14:paraId="052DC719" w14:textId="77777777" w:rsidR="00E64B72" w:rsidRDefault="00E64B72" w:rsidP="00242CD2">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207,59</w:t>
            </w:r>
          </w:p>
        </w:tc>
        <w:tc>
          <w:tcPr>
            <w:tcW w:w="1417" w:type="dxa"/>
            <w:vAlign w:val="center"/>
          </w:tcPr>
          <w:p w14:paraId="483BCAF8" w14:textId="77777777" w:rsidR="00E64B72" w:rsidRDefault="00E64B72" w:rsidP="00242CD2">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+12,9</w:t>
            </w:r>
          </w:p>
        </w:tc>
        <w:tc>
          <w:tcPr>
            <w:tcW w:w="1689" w:type="dxa"/>
            <w:vAlign w:val="center"/>
          </w:tcPr>
          <w:p w14:paraId="38E67179" w14:textId="77777777" w:rsidR="00E64B72" w:rsidRDefault="00E64B72" w:rsidP="00242CD2">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220,494</w:t>
            </w:r>
          </w:p>
        </w:tc>
      </w:tr>
      <w:tr w:rsidR="00E64B72" w:rsidRPr="00F20A01" w14:paraId="0ADA288B" w14:textId="77777777" w:rsidTr="00242CD2">
        <w:trPr>
          <w:trHeight w:val="1012"/>
          <w:jc w:val="center"/>
        </w:trPr>
        <w:tc>
          <w:tcPr>
            <w:tcW w:w="556" w:type="dxa"/>
          </w:tcPr>
          <w:p w14:paraId="2AA8BBB1" w14:textId="77777777" w:rsidR="00E64B72" w:rsidRPr="00F20A01" w:rsidRDefault="00E64B72" w:rsidP="00242CD2">
            <w:pPr>
              <w:ind w:right="-1"/>
              <w:rPr>
                <w:rFonts w:ascii="Times New Roman" w:hAnsi="Times New Roman" w:cs="Times New Roman"/>
                <w:sz w:val="24"/>
                <w:szCs w:val="24"/>
                <w:lang w:val="uk-UA"/>
              </w:rPr>
            </w:pPr>
            <w:r>
              <w:rPr>
                <w:rFonts w:ascii="Times New Roman" w:hAnsi="Times New Roman" w:cs="Times New Roman"/>
                <w:sz w:val="24"/>
                <w:szCs w:val="24"/>
                <w:lang w:val="uk-UA"/>
              </w:rPr>
              <w:t>3</w:t>
            </w:r>
            <w:r w:rsidRPr="00F20A01">
              <w:rPr>
                <w:rFonts w:ascii="Times New Roman" w:hAnsi="Times New Roman" w:cs="Times New Roman"/>
                <w:sz w:val="24"/>
                <w:szCs w:val="24"/>
                <w:lang w:val="uk-UA"/>
              </w:rPr>
              <w:t>.</w:t>
            </w:r>
          </w:p>
        </w:tc>
        <w:tc>
          <w:tcPr>
            <w:tcW w:w="4394" w:type="dxa"/>
          </w:tcPr>
          <w:p w14:paraId="26353092" w14:textId="77777777" w:rsidR="00E64B72" w:rsidRPr="00F20A01" w:rsidRDefault="00E64B72" w:rsidP="00242CD2">
            <w:pPr>
              <w:ind w:right="-1"/>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uk-UA"/>
              </w:rPr>
              <w:t>п.6.25</w:t>
            </w:r>
            <w:r w:rsidRPr="00F20A01">
              <w:rPr>
                <w:rFonts w:ascii="Times New Roman" w:eastAsia="Times New Roman" w:hAnsi="Times New Roman" w:cs="Times New Roman"/>
                <w:color w:val="000000"/>
                <w:sz w:val="24"/>
                <w:szCs w:val="24"/>
                <w:lang w:val="uk-UA" w:eastAsia="uk-UA"/>
              </w:rPr>
              <w:t xml:space="preserve"> «</w:t>
            </w:r>
            <w:r w:rsidRPr="00C93FA2">
              <w:rPr>
                <w:rFonts w:ascii="Times New Roman" w:eastAsia="Times New Roman" w:hAnsi="Times New Roman" w:cs="Times New Roman"/>
                <w:color w:val="000000"/>
                <w:sz w:val="24"/>
                <w:szCs w:val="24"/>
                <w:lang w:val="uk-UA" w:eastAsia="uk-UA"/>
              </w:rPr>
              <w:t xml:space="preserve">Забезпечення надання терапевтичних та хірургічних стоматологічних послуг та послуг із зубопротезування Захисникам та Захисницям України, які брали участь в антитерористичній операції / операції </w:t>
            </w:r>
            <w:r w:rsidRPr="00C93FA2">
              <w:rPr>
                <w:rFonts w:ascii="Times New Roman" w:eastAsia="Times New Roman" w:hAnsi="Times New Roman" w:cs="Times New Roman"/>
                <w:color w:val="000000"/>
                <w:sz w:val="24"/>
                <w:szCs w:val="24"/>
                <w:lang w:val="uk-UA" w:eastAsia="uk-UA"/>
              </w:rPr>
              <w:lastRenderedPageBreak/>
              <w:t>Об’єднаних сил або у заходах щодо забезпечення відсічі збройної агресії російської федерації»</w:t>
            </w:r>
          </w:p>
        </w:tc>
        <w:tc>
          <w:tcPr>
            <w:tcW w:w="1559" w:type="dxa"/>
            <w:vAlign w:val="center"/>
          </w:tcPr>
          <w:p w14:paraId="61951E83" w14:textId="77777777" w:rsidR="00E64B72" w:rsidRPr="00F20A01" w:rsidRDefault="00E64B72" w:rsidP="00242CD2">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2417,272</w:t>
            </w:r>
          </w:p>
        </w:tc>
        <w:tc>
          <w:tcPr>
            <w:tcW w:w="1417" w:type="dxa"/>
            <w:vAlign w:val="center"/>
          </w:tcPr>
          <w:p w14:paraId="30C080C0" w14:textId="77777777" w:rsidR="00E64B72" w:rsidRPr="00F20A01" w:rsidRDefault="00E64B72" w:rsidP="00242CD2">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w:t>
            </w:r>
            <w:r>
              <w:rPr>
                <w:rFonts w:ascii="Times New Roman" w:hAnsi="Times New Roman" w:cs="Times New Roman"/>
                <w:sz w:val="24"/>
                <w:szCs w:val="24"/>
                <w:lang w:val="uk-UA"/>
              </w:rPr>
              <w:t>447,062</w:t>
            </w:r>
          </w:p>
        </w:tc>
        <w:tc>
          <w:tcPr>
            <w:tcW w:w="1689" w:type="dxa"/>
            <w:vAlign w:val="center"/>
          </w:tcPr>
          <w:p w14:paraId="64181493" w14:textId="77777777" w:rsidR="00E64B72" w:rsidRPr="00F20A01" w:rsidRDefault="00E64B72" w:rsidP="00242CD2">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2864,334</w:t>
            </w:r>
          </w:p>
        </w:tc>
      </w:tr>
      <w:tr w:rsidR="00E64B72" w:rsidRPr="00F20A01" w14:paraId="6576625F" w14:textId="77777777" w:rsidTr="00242CD2">
        <w:trPr>
          <w:trHeight w:val="1012"/>
          <w:jc w:val="center"/>
        </w:trPr>
        <w:tc>
          <w:tcPr>
            <w:tcW w:w="556" w:type="dxa"/>
          </w:tcPr>
          <w:p w14:paraId="6E520781" w14:textId="77777777" w:rsidR="00E64B72" w:rsidRDefault="00E64B72" w:rsidP="00242CD2">
            <w:pPr>
              <w:ind w:right="-1"/>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4394" w:type="dxa"/>
          </w:tcPr>
          <w:p w14:paraId="5BF6C3BE" w14:textId="77777777" w:rsidR="00E64B72" w:rsidRDefault="00E64B72" w:rsidP="00242CD2">
            <w:pPr>
              <w:ind w:right="-1"/>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П.6.27 </w:t>
            </w:r>
            <w:r w:rsidRPr="00C93FA2">
              <w:rPr>
                <w:rFonts w:ascii="Times New Roman" w:eastAsia="Times New Roman" w:hAnsi="Times New Roman" w:cs="Times New Roman"/>
                <w:color w:val="000000"/>
                <w:sz w:val="24"/>
                <w:szCs w:val="24"/>
                <w:lang w:val="uk-UA" w:eastAsia="uk-UA"/>
              </w:rPr>
              <w:t>«</w:t>
            </w:r>
            <w:r w:rsidRPr="00C93FA2">
              <w:rPr>
                <w:rFonts w:ascii="Times New Roman" w:eastAsia="Times New Roman" w:hAnsi="Times New Roman" w:cs="Times New Roman"/>
                <w:color w:val="000000"/>
                <w:sz w:val="24"/>
                <w:szCs w:val="24"/>
                <w:lang w:eastAsia="uk-UA"/>
              </w:rPr>
              <w:t>Забезпечення встановлення надгробного пам’ятника загиблим Захисникам та Захисницям України у разі відсутності близьких родичів»</w:t>
            </w:r>
          </w:p>
        </w:tc>
        <w:tc>
          <w:tcPr>
            <w:tcW w:w="1559" w:type="dxa"/>
            <w:vAlign w:val="center"/>
          </w:tcPr>
          <w:p w14:paraId="24C02ECF" w14:textId="77777777" w:rsidR="00E64B72" w:rsidRDefault="00E64B72" w:rsidP="00242CD2">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120,0</w:t>
            </w:r>
          </w:p>
        </w:tc>
        <w:tc>
          <w:tcPr>
            <w:tcW w:w="1417" w:type="dxa"/>
            <w:vAlign w:val="center"/>
          </w:tcPr>
          <w:p w14:paraId="7BD08C6B" w14:textId="77777777" w:rsidR="00E64B72" w:rsidRPr="00F20A01" w:rsidRDefault="00E64B72" w:rsidP="00242CD2">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-75,0</w:t>
            </w:r>
          </w:p>
        </w:tc>
        <w:tc>
          <w:tcPr>
            <w:tcW w:w="1689" w:type="dxa"/>
            <w:vAlign w:val="center"/>
          </w:tcPr>
          <w:p w14:paraId="0AA7E12E" w14:textId="77777777" w:rsidR="00E64B72" w:rsidRDefault="00E64B72" w:rsidP="00242CD2">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45,0</w:t>
            </w:r>
          </w:p>
        </w:tc>
      </w:tr>
      <w:tr w:rsidR="00E64B72" w:rsidRPr="00F20A01" w14:paraId="59CF54FD" w14:textId="77777777" w:rsidTr="00242CD2">
        <w:trPr>
          <w:trHeight w:val="1179"/>
          <w:jc w:val="center"/>
        </w:trPr>
        <w:tc>
          <w:tcPr>
            <w:tcW w:w="556" w:type="dxa"/>
          </w:tcPr>
          <w:p w14:paraId="09A8CD5A" w14:textId="77777777" w:rsidR="00E64B72" w:rsidRPr="00F20A01" w:rsidRDefault="00E64B72" w:rsidP="00242CD2">
            <w:pPr>
              <w:ind w:right="-1"/>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4394" w:type="dxa"/>
          </w:tcPr>
          <w:p w14:paraId="2BDAAC52" w14:textId="77777777" w:rsidR="00E64B72" w:rsidRPr="00F20A01" w:rsidRDefault="00E64B72" w:rsidP="00242CD2">
            <w:pPr>
              <w:ind w:right="-1"/>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п.6.31</w:t>
            </w:r>
            <w:r w:rsidRPr="00F20A01">
              <w:rPr>
                <w:rFonts w:ascii="Times New Roman" w:eastAsia="Times New Roman" w:hAnsi="Times New Roman" w:cs="Times New Roman"/>
                <w:color w:val="000000"/>
                <w:sz w:val="24"/>
                <w:szCs w:val="24"/>
                <w:lang w:val="uk-UA" w:eastAsia="uk-UA"/>
              </w:rPr>
              <w:t xml:space="preserve"> </w:t>
            </w:r>
            <w:r w:rsidRPr="00EA62B6">
              <w:rPr>
                <w:rFonts w:ascii="Times New Roman" w:eastAsia="Times New Roman" w:hAnsi="Times New Roman" w:cs="Times New Roman"/>
                <w:color w:val="000000"/>
                <w:sz w:val="24"/>
                <w:szCs w:val="24"/>
                <w:lang w:val="uk-UA" w:eastAsia="uk-UA"/>
              </w:rPr>
              <w:t>«Придбання подарункових наборів до новорічних та різдвяних свят для дітей зниклих безвісти та загиблих Захисників і Захисниць України»</w:t>
            </w:r>
          </w:p>
        </w:tc>
        <w:tc>
          <w:tcPr>
            <w:tcW w:w="1559" w:type="dxa"/>
            <w:vAlign w:val="center"/>
          </w:tcPr>
          <w:p w14:paraId="7F118939" w14:textId="77777777" w:rsidR="00E64B72" w:rsidRPr="00F20A01" w:rsidRDefault="00E64B72" w:rsidP="00242CD2">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60,0</w:t>
            </w:r>
          </w:p>
        </w:tc>
        <w:tc>
          <w:tcPr>
            <w:tcW w:w="1417" w:type="dxa"/>
            <w:vAlign w:val="center"/>
          </w:tcPr>
          <w:p w14:paraId="5ECA3BD4" w14:textId="77777777" w:rsidR="00E64B72" w:rsidRPr="00F20A01" w:rsidRDefault="00E64B72" w:rsidP="00242CD2">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-4,9</w:t>
            </w:r>
          </w:p>
        </w:tc>
        <w:tc>
          <w:tcPr>
            <w:tcW w:w="1689" w:type="dxa"/>
            <w:vAlign w:val="center"/>
          </w:tcPr>
          <w:p w14:paraId="0F66120E" w14:textId="77777777" w:rsidR="00E64B72" w:rsidRPr="00F20A01" w:rsidRDefault="00E64B72" w:rsidP="00242CD2">
            <w:pPr>
              <w:ind w:right="-1"/>
              <w:jc w:val="center"/>
              <w:rPr>
                <w:rFonts w:ascii="Times New Roman" w:hAnsi="Times New Roman" w:cs="Times New Roman"/>
                <w:sz w:val="24"/>
                <w:szCs w:val="24"/>
                <w:lang w:val="uk-UA"/>
              </w:rPr>
            </w:pPr>
            <w:r>
              <w:rPr>
                <w:rFonts w:ascii="Times New Roman" w:eastAsia="Times New Roman" w:hAnsi="Times New Roman" w:cs="Times New Roman"/>
                <w:color w:val="000000" w:themeColor="text1"/>
                <w:sz w:val="24"/>
                <w:szCs w:val="24"/>
                <w:lang w:val="uk-UA" w:eastAsia="uk-UA"/>
              </w:rPr>
              <w:t>55,1</w:t>
            </w:r>
          </w:p>
        </w:tc>
      </w:tr>
      <w:tr w:rsidR="00E64B72" w:rsidRPr="00673358" w14:paraId="45F4B57F" w14:textId="77777777" w:rsidTr="00242CD2">
        <w:trPr>
          <w:trHeight w:val="1772"/>
          <w:jc w:val="center"/>
        </w:trPr>
        <w:tc>
          <w:tcPr>
            <w:tcW w:w="556" w:type="dxa"/>
          </w:tcPr>
          <w:p w14:paraId="01FC46B4" w14:textId="77777777" w:rsidR="00E64B72" w:rsidRDefault="00E64B72" w:rsidP="00242CD2">
            <w:pPr>
              <w:ind w:right="-1"/>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394" w:type="dxa"/>
          </w:tcPr>
          <w:p w14:paraId="4631243B" w14:textId="77777777" w:rsidR="00E64B72" w:rsidRPr="00F20A01" w:rsidRDefault="00E64B72" w:rsidP="00242CD2">
            <w:pPr>
              <w:ind w:right="-1"/>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6.32 </w:t>
            </w:r>
            <w:r w:rsidRPr="00C93FA2">
              <w:rPr>
                <w:rFonts w:ascii="Times New Roman" w:eastAsia="Times New Roman" w:hAnsi="Times New Roman" w:cs="Times New Roman"/>
                <w:color w:val="000000"/>
                <w:sz w:val="24"/>
                <w:szCs w:val="24"/>
                <w:lang w:val="uk-UA" w:eastAsia="uk-UA"/>
              </w:rPr>
              <w:t>«Забезпечення виготовлення та встановлення меморіальних дошок загиблим Захисникам та Захисницям України, які були зареєстровані та проживали на території Броварської міської територіальної громади»</w:t>
            </w:r>
          </w:p>
        </w:tc>
        <w:tc>
          <w:tcPr>
            <w:tcW w:w="1559" w:type="dxa"/>
            <w:vAlign w:val="center"/>
          </w:tcPr>
          <w:p w14:paraId="6647D828" w14:textId="77777777" w:rsidR="00E64B72" w:rsidRDefault="00E64B72" w:rsidP="00242CD2">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50,0</w:t>
            </w:r>
          </w:p>
        </w:tc>
        <w:tc>
          <w:tcPr>
            <w:tcW w:w="1417" w:type="dxa"/>
            <w:vAlign w:val="center"/>
          </w:tcPr>
          <w:p w14:paraId="6D3C5683" w14:textId="77777777" w:rsidR="00E64B72" w:rsidRPr="00F20A01" w:rsidRDefault="00E64B72" w:rsidP="00242CD2">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-46,50</w:t>
            </w:r>
          </w:p>
        </w:tc>
        <w:tc>
          <w:tcPr>
            <w:tcW w:w="1689" w:type="dxa"/>
            <w:vAlign w:val="center"/>
          </w:tcPr>
          <w:p w14:paraId="3ECFD394" w14:textId="77777777" w:rsidR="00E64B72" w:rsidRDefault="00E64B72" w:rsidP="00242CD2">
            <w:pPr>
              <w:ind w:right="-1"/>
              <w:jc w:val="center"/>
              <w:rPr>
                <w:rFonts w:ascii="Times New Roman" w:eastAsia="Times New Roman" w:hAnsi="Times New Roman" w:cs="Times New Roman"/>
                <w:color w:val="000000" w:themeColor="text1"/>
                <w:sz w:val="24"/>
                <w:szCs w:val="24"/>
                <w:lang w:val="uk-UA" w:eastAsia="uk-UA"/>
              </w:rPr>
            </w:pPr>
            <w:r>
              <w:rPr>
                <w:rFonts w:ascii="Times New Roman" w:hAnsi="Times New Roman" w:cs="Times New Roman"/>
                <w:sz w:val="24"/>
                <w:szCs w:val="24"/>
                <w:lang w:val="uk-UA"/>
              </w:rPr>
              <w:t>3,5</w:t>
            </w:r>
          </w:p>
        </w:tc>
      </w:tr>
      <w:tr w:rsidR="00E64B72" w:rsidRPr="00F20A01" w14:paraId="44921398" w14:textId="77777777" w:rsidTr="00242CD2">
        <w:trPr>
          <w:trHeight w:val="265"/>
          <w:jc w:val="center"/>
        </w:trPr>
        <w:tc>
          <w:tcPr>
            <w:tcW w:w="556" w:type="dxa"/>
          </w:tcPr>
          <w:p w14:paraId="57E3B615" w14:textId="77777777" w:rsidR="00E64B72" w:rsidRPr="00F20A01" w:rsidRDefault="00E64B72" w:rsidP="00242CD2">
            <w:pPr>
              <w:ind w:right="-1"/>
              <w:rPr>
                <w:rFonts w:ascii="Times New Roman" w:hAnsi="Times New Roman" w:cs="Times New Roman"/>
                <w:sz w:val="24"/>
                <w:szCs w:val="24"/>
                <w:lang w:val="uk-UA"/>
              </w:rPr>
            </w:pPr>
          </w:p>
        </w:tc>
        <w:tc>
          <w:tcPr>
            <w:tcW w:w="4394" w:type="dxa"/>
          </w:tcPr>
          <w:p w14:paraId="55CD2183" w14:textId="77777777" w:rsidR="00E64B72" w:rsidRPr="00F20A01" w:rsidRDefault="00E64B72" w:rsidP="00242CD2">
            <w:pPr>
              <w:ind w:right="-1"/>
              <w:jc w:val="both"/>
              <w:rPr>
                <w:rFonts w:ascii="Times New Roman" w:hAnsi="Times New Roman" w:cs="Times New Roman"/>
                <w:b/>
                <w:sz w:val="24"/>
                <w:szCs w:val="24"/>
                <w:lang w:val="uk-UA"/>
              </w:rPr>
            </w:pPr>
            <w:r w:rsidRPr="00F20A01">
              <w:rPr>
                <w:rFonts w:ascii="Times New Roman" w:hAnsi="Times New Roman" w:cs="Times New Roman"/>
                <w:b/>
                <w:sz w:val="24"/>
                <w:szCs w:val="24"/>
                <w:lang w:val="uk-UA"/>
              </w:rPr>
              <w:t>Загальний обсяг фінансування Програми:</w:t>
            </w:r>
          </w:p>
        </w:tc>
        <w:tc>
          <w:tcPr>
            <w:tcW w:w="1559" w:type="dxa"/>
          </w:tcPr>
          <w:p w14:paraId="398B8F48" w14:textId="77777777" w:rsidR="00E64B72" w:rsidRPr="00F20A01" w:rsidRDefault="00E64B72" w:rsidP="00242CD2">
            <w:pPr>
              <w:ind w:right="-1"/>
              <w:jc w:val="center"/>
              <w:rPr>
                <w:rFonts w:ascii="Times New Roman" w:hAnsi="Times New Roman" w:cs="Times New Roman"/>
                <w:b/>
                <w:sz w:val="24"/>
                <w:szCs w:val="24"/>
                <w:lang w:val="uk-UA"/>
              </w:rPr>
            </w:pPr>
            <w:r w:rsidRPr="00C43EA8">
              <w:rPr>
                <w:rFonts w:ascii="Times New Roman" w:hAnsi="Times New Roman" w:cs="Times New Roman"/>
                <w:b/>
                <w:sz w:val="24"/>
                <w:szCs w:val="28"/>
                <w:lang w:val="uk-UA"/>
              </w:rPr>
              <w:t>33048,072</w:t>
            </w:r>
          </w:p>
        </w:tc>
        <w:tc>
          <w:tcPr>
            <w:tcW w:w="1417" w:type="dxa"/>
          </w:tcPr>
          <w:p w14:paraId="3A049E30" w14:textId="77777777" w:rsidR="00E64B72" w:rsidRPr="00F20A01" w:rsidRDefault="00E64B72" w:rsidP="00242CD2">
            <w:pPr>
              <w:ind w:right="-1"/>
              <w:jc w:val="center"/>
              <w:rPr>
                <w:rFonts w:ascii="Times New Roman" w:hAnsi="Times New Roman" w:cs="Times New Roman"/>
                <w:b/>
                <w:sz w:val="24"/>
                <w:szCs w:val="24"/>
                <w:lang w:val="uk-UA"/>
              </w:rPr>
            </w:pPr>
            <w:r>
              <w:rPr>
                <w:rFonts w:ascii="Times New Roman" w:hAnsi="Times New Roman" w:cs="Times New Roman"/>
                <w:b/>
                <w:sz w:val="24"/>
                <w:szCs w:val="24"/>
                <w:lang w:val="uk-UA"/>
              </w:rPr>
              <w:t>+325,562</w:t>
            </w:r>
          </w:p>
        </w:tc>
        <w:tc>
          <w:tcPr>
            <w:tcW w:w="1689" w:type="dxa"/>
          </w:tcPr>
          <w:p w14:paraId="5E3579E4" w14:textId="77777777" w:rsidR="00E64B72" w:rsidRPr="00F20A01" w:rsidRDefault="00E64B72" w:rsidP="00242CD2">
            <w:pPr>
              <w:ind w:right="-1"/>
              <w:jc w:val="center"/>
              <w:rPr>
                <w:rFonts w:ascii="Times New Roman" w:hAnsi="Times New Roman" w:cs="Times New Roman"/>
                <w:b/>
                <w:sz w:val="24"/>
                <w:szCs w:val="24"/>
                <w:lang w:val="uk-UA"/>
              </w:rPr>
            </w:pPr>
            <w:r>
              <w:rPr>
                <w:rFonts w:ascii="Times New Roman" w:hAnsi="Times New Roman" w:cs="Times New Roman"/>
                <w:b/>
                <w:sz w:val="24"/>
                <w:szCs w:val="24"/>
                <w:lang w:val="uk-UA"/>
              </w:rPr>
              <w:t>33373,634</w:t>
            </w:r>
          </w:p>
        </w:tc>
      </w:tr>
    </w:tbl>
    <w:p w14:paraId="33067A0C" w14:textId="77777777" w:rsidR="00E64B72" w:rsidRDefault="00E64B72" w:rsidP="00E64B72">
      <w:pPr>
        <w:tabs>
          <w:tab w:val="left" w:pos="6379"/>
          <w:tab w:val="left" w:pos="6804"/>
        </w:tabs>
        <w:spacing w:after="80" w:line="240" w:lineRule="auto"/>
        <w:ind w:right="-1" w:firstLine="567"/>
        <w:jc w:val="both"/>
        <w:rPr>
          <w:rFonts w:ascii="Calibri" w:eastAsia="Calibri" w:hAnsi="Calibri" w:cs="Times New Roman"/>
          <w:lang w:eastAsia="en-US"/>
        </w:rPr>
      </w:pPr>
      <w:r>
        <w:rPr>
          <w:rFonts w:ascii="Times New Roman" w:eastAsia="Calibri" w:hAnsi="Times New Roman" w:cs="Times New Roman"/>
          <w:noProof/>
          <w:sz w:val="28"/>
          <w:szCs w:val="28"/>
          <w:lang w:val="uk-UA" w:eastAsia="en-US"/>
        </w:rPr>
        <w:tab/>
      </w:r>
    </w:p>
    <w:p w14:paraId="1A84F14F" w14:textId="77777777" w:rsidR="00E64B72" w:rsidRDefault="00E64B72" w:rsidP="00E64B72">
      <w:pPr>
        <w:spacing w:after="80" w:line="240" w:lineRule="auto"/>
        <w:ind w:right="-1" w:firstLine="567"/>
        <w:jc w:val="both"/>
        <w:rPr>
          <w:rFonts w:ascii="Times New Roman" w:eastAsia="Calibri" w:hAnsi="Times New Roman" w:cs="Times New Roman"/>
          <w:sz w:val="28"/>
          <w:szCs w:val="28"/>
          <w:lang w:val="uk-UA" w:eastAsia="en-US"/>
        </w:rPr>
      </w:pPr>
    </w:p>
    <w:p w14:paraId="792A1A18" w14:textId="77777777" w:rsidR="00E64B72" w:rsidRDefault="00E64B72" w:rsidP="00E64B72">
      <w:pPr>
        <w:spacing w:after="80" w:line="240" w:lineRule="auto"/>
        <w:ind w:right="-1" w:firstLine="567"/>
        <w:jc w:val="both"/>
        <w:rPr>
          <w:rFonts w:ascii="Times New Roman" w:eastAsia="Calibri" w:hAnsi="Times New Roman" w:cs="Times New Roman"/>
          <w:sz w:val="28"/>
          <w:szCs w:val="28"/>
          <w:lang w:val="uk-UA" w:eastAsia="en-US"/>
        </w:rPr>
      </w:pPr>
    </w:p>
    <w:p w14:paraId="5F3805F9" w14:textId="77777777" w:rsidR="00E64B72" w:rsidRDefault="00E64B72" w:rsidP="00E64B72">
      <w:pPr>
        <w:tabs>
          <w:tab w:val="left" w:pos="6663"/>
          <w:tab w:val="left" w:pos="7088"/>
        </w:tabs>
        <w:spacing w:after="80" w:line="240" w:lineRule="auto"/>
        <w:ind w:right="-1"/>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Начальник управління </w:t>
      </w:r>
      <w:r>
        <w:rPr>
          <w:rFonts w:ascii="Times New Roman" w:eastAsia="Calibri" w:hAnsi="Times New Roman" w:cs="Times New Roman"/>
          <w:sz w:val="28"/>
          <w:szCs w:val="28"/>
          <w:lang w:val="uk-UA" w:eastAsia="en-US"/>
        </w:rPr>
        <w:tab/>
        <w:t>Марина КІСЛІЦИНА</w:t>
      </w:r>
    </w:p>
    <w:p w14:paraId="034A1A05" w14:textId="77777777" w:rsidR="00E64B72" w:rsidRDefault="00E64B72" w:rsidP="00E64B72">
      <w:pPr>
        <w:spacing w:after="0"/>
        <w:ind w:right="-284"/>
        <w:jc w:val="center"/>
        <w:rPr>
          <w:rFonts w:ascii="Times New Roman" w:hAnsi="Times New Roman"/>
          <w:sz w:val="28"/>
          <w:szCs w:val="28"/>
          <w:lang w:val="uk-UA"/>
        </w:rPr>
      </w:pPr>
    </w:p>
    <w:p w14:paraId="4CD4EF42" w14:textId="77777777" w:rsidR="00E64B72" w:rsidRDefault="00E64B72" w:rsidP="00E64B72">
      <w:pPr>
        <w:suppressAutoHyphens/>
        <w:spacing w:after="0" w:line="240" w:lineRule="auto"/>
        <w:jc w:val="both"/>
        <w:rPr>
          <w:rFonts w:ascii="Times New Roman" w:hAnsi="Times New Roman"/>
          <w:color w:val="000000"/>
          <w:sz w:val="28"/>
          <w:szCs w:val="28"/>
          <w:lang w:val="uk-UA" w:eastAsia="zh-CN"/>
        </w:rPr>
      </w:pPr>
    </w:p>
    <w:p w14:paraId="1FEB8EB9" w14:textId="77777777" w:rsidR="00E64B72" w:rsidRPr="00244FF9" w:rsidRDefault="00E64B72" w:rsidP="00E64B72">
      <w:pPr>
        <w:tabs>
          <w:tab w:val="left" w:pos="851"/>
          <w:tab w:val="left" w:pos="9356"/>
        </w:tabs>
        <w:spacing w:line="240" w:lineRule="auto"/>
        <w:ind w:right="-1"/>
        <w:contextualSpacing/>
        <w:jc w:val="both"/>
        <w:rPr>
          <w:rFonts w:ascii="Times New Roman" w:hAnsi="Times New Roman"/>
          <w:color w:val="000000"/>
          <w:sz w:val="28"/>
          <w:szCs w:val="28"/>
          <w:lang w:val="uk-UA" w:eastAsia="zh-CN"/>
        </w:rPr>
      </w:pPr>
    </w:p>
    <w:p w14:paraId="2ACF0E39" w14:textId="77777777" w:rsidR="009B7D79" w:rsidRPr="00244FF9" w:rsidRDefault="009B7D79" w:rsidP="00E64B72">
      <w:pPr>
        <w:spacing w:after="0"/>
        <w:ind w:right="-284"/>
        <w:jc w:val="center"/>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CA7098B"/>
    <w:multiLevelType w:val="hybridMultilevel"/>
    <w:tmpl w:val="13CE40D2"/>
    <w:lvl w:ilvl="0" w:tplc="78664BAE">
      <w:start w:val="2"/>
      <w:numFmt w:val="bullet"/>
      <w:lvlText w:val="-"/>
      <w:lvlJc w:val="left"/>
      <w:pPr>
        <w:ind w:left="810" w:hanging="360"/>
      </w:pPr>
      <w:rPr>
        <w:rFonts w:ascii="Times New Roman" w:hAnsi="Times New Roman"/>
        <w:color w:val="auto"/>
        <w:sz w:val="28"/>
      </w:rPr>
    </w:lvl>
    <w:lvl w:ilvl="1" w:tplc="D032CAD6">
      <w:start w:val="1"/>
      <w:numFmt w:val="bullet"/>
      <w:lvlText w:val="o"/>
      <w:lvlJc w:val="left"/>
      <w:pPr>
        <w:ind w:left="1530" w:hanging="360"/>
      </w:pPr>
      <w:rPr>
        <w:rFonts w:ascii="Courier New" w:hAnsi="Courier New"/>
      </w:rPr>
    </w:lvl>
    <w:lvl w:ilvl="2" w:tplc="194A7234">
      <w:start w:val="1"/>
      <w:numFmt w:val="bullet"/>
      <w:lvlText w:val=""/>
      <w:lvlJc w:val="left"/>
      <w:pPr>
        <w:ind w:left="2250" w:hanging="360"/>
      </w:pPr>
      <w:rPr>
        <w:rFonts w:ascii="Wingdings" w:hAnsi="Wingdings"/>
      </w:rPr>
    </w:lvl>
    <w:lvl w:ilvl="3" w:tplc="D84A1A5C">
      <w:start w:val="1"/>
      <w:numFmt w:val="bullet"/>
      <w:lvlText w:val=""/>
      <w:lvlJc w:val="left"/>
      <w:pPr>
        <w:ind w:left="2970" w:hanging="360"/>
      </w:pPr>
      <w:rPr>
        <w:rFonts w:ascii="Symbol" w:hAnsi="Symbol"/>
      </w:rPr>
    </w:lvl>
    <w:lvl w:ilvl="4" w:tplc="8610B164">
      <w:start w:val="1"/>
      <w:numFmt w:val="bullet"/>
      <w:lvlText w:val="o"/>
      <w:lvlJc w:val="left"/>
      <w:pPr>
        <w:ind w:left="3690" w:hanging="360"/>
      </w:pPr>
      <w:rPr>
        <w:rFonts w:ascii="Courier New" w:hAnsi="Courier New"/>
      </w:rPr>
    </w:lvl>
    <w:lvl w:ilvl="5" w:tplc="FD7E7B28">
      <w:start w:val="1"/>
      <w:numFmt w:val="bullet"/>
      <w:lvlText w:val=""/>
      <w:lvlJc w:val="left"/>
      <w:pPr>
        <w:ind w:left="4410" w:hanging="360"/>
      </w:pPr>
      <w:rPr>
        <w:rFonts w:ascii="Wingdings" w:hAnsi="Wingdings"/>
      </w:rPr>
    </w:lvl>
    <w:lvl w:ilvl="6" w:tplc="2CA2CACC">
      <w:start w:val="1"/>
      <w:numFmt w:val="bullet"/>
      <w:lvlText w:val=""/>
      <w:lvlJc w:val="left"/>
      <w:pPr>
        <w:ind w:left="5130" w:hanging="360"/>
      </w:pPr>
      <w:rPr>
        <w:rFonts w:ascii="Symbol" w:hAnsi="Symbol"/>
      </w:rPr>
    </w:lvl>
    <w:lvl w:ilvl="7" w:tplc="A2C29594">
      <w:start w:val="1"/>
      <w:numFmt w:val="bullet"/>
      <w:lvlText w:val="o"/>
      <w:lvlJc w:val="left"/>
      <w:pPr>
        <w:ind w:left="5850" w:hanging="360"/>
      </w:pPr>
      <w:rPr>
        <w:rFonts w:ascii="Courier New" w:hAnsi="Courier New"/>
      </w:rPr>
    </w:lvl>
    <w:lvl w:ilvl="8" w:tplc="DE786366">
      <w:start w:val="1"/>
      <w:numFmt w:val="bullet"/>
      <w:lvlText w:val=""/>
      <w:lvlJc w:val="left"/>
      <w:pPr>
        <w:ind w:left="6570" w:hanging="360"/>
      </w:pPr>
      <w:rPr>
        <w:rFonts w:ascii="Wingdings" w:hAnsi="Wingdings"/>
      </w:rPr>
    </w:lvl>
  </w:abstractNum>
  <w:abstractNum w:abstractNumId="2" w15:restartNumberingAfterBreak="0">
    <w:nsid w:val="729B72A5"/>
    <w:multiLevelType w:val="hybridMultilevel"/>
    <w:tmpl w:val="918E750E"/>
    <w:lvl w:ilvl="0" w:tplc="AFA245FE">
      <w:start w:val="5"/>
      <w:numFmt w:val="decimal"/>
      <w:lvlText w:val="%1."/>
      <w:lvlJc w:val="left"/>
      <w:pPr>
        <w:ind w:left="429" w:hanging="360"/>
      </w:pPr>
      <w:rPr>
        <w:rFonts w:hint="default"/>
      </w:rPr>
    </w:lvl>
    <w:lvl w:ilvl="1" w:tplc="04220019" w:tentative="1">
      <w:start w:val="1"/>
      <w:numFmt w:val="lowerLetter"/>
      <w:lvlText w:val="%2."/>
      <w:lvlJc w:val="left"/>
      <w:pPr>
        <w:ind w:left="1149" w:hanging="360"/>
      </w:pPr>
    </w:lvl>
    <w:lvl w:ilvl="2" w:tplc="0422001B" w:tentative="1">
      <w:start w:val="1"/>
      <w:numFmt w:val="lowerRoman"/>
      <w:lvlText w:val="%3."/>
      <w:lvlJc w:val="right"/>
      <w:pPr>
        <w:ind w:left="1869" w:hanging="180"/>
      </w:pPr>
    </w:lvl>
    <w:lvl w:ilvl="3" w:tplc="0422000F" w:tentative="1">
      <w:start w:val="1"/>
      <w:numFmt w:val="decimal"/>
      <w:lvlText w:val="%4."/>
      <w:lvlJc w:val="left"/>
      <w:pPr>
        <w:ind w:left="2589" w:hanging="360"/>
      </w:pPr>
    </w:lvl>
    <w:lvl w:ilvl="4" w:tplc="04220019" w:tentative="1">
      <w:start w:val="1"/>
      <w:numFmt w:val="lowerLetter"/>
      <w:lvlText w:val="%5."/>
      <w:lvlJc w:val="left"/>
      <w:pPr>
        <w:ind w:left="3309" w:hanging="360"/>
      </w:pPr>
    </w:lvl>
    <w:lvl w:ilvl="5" w:tplc="0422001B" w:tentative="1">
      <w:start w:val="1"/>
      <w:numFmt w:val="lowerRoman"/>
      <w:lvlText w:val="%6."/>
      <w:lvlJc w:val="right"/>
      <w:pPr>
        <w:ind w:left="4029" w:hanging="180"/>
      </w:pPr>
    </w:lvl>
    <w:lvl w:ilvl="6" w:tplc="0422000F" w:tentative="1">
      <w:start w:val="1"/>
      <w:numFmt w:val="decimal"/>
      <w:lvlText w:val="%7."/>
      <w:lvlJc w:val="left"/>
      <w:pPr>
        <w:ind w:left="4749" w:hanging="360"/>
      </w:pPr>
    </w:lvl>
    <w:lvl w:ilvl="7" w:tplc="04220019" w:tentative="1">
      <w:start w:val="1"/>
      <w:numFmt w:val="lowerLetter"/>
      <w:lvlText w:val="%8."/>
      <w:lvlJc w:val="left"/>
      <w:pPr>
        <w:ind w:left="5469" w:hanging="360"/>
      </w:pPr>
    </w:lvl>
    <w:lvl w:ilvl="8" w:tplc="0422001B" w:tentative="1">
      <w:start w:val="1"/>
      <w:numFmt w:val="lowerRoman"/>
      <w:lvlText w:val="%9."/>
      <w:lvlJc w:val="right"/>
      <w:pPr>
        <w:ind w:left="6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3246A"/>
    <w:rsid w:val="00244FF9"/>
    <w:rsid w:val="003613A9"/>
    <w:rsid w:val="00361CD8"/>
    <w:rsid w:val="00525C68"/>
    <w:rsid w:val="005B1C08"/>
    <w:rsid w:val="005F334B"/>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67648"/>
    <w:rsid w:val="00D92C45"/>
    <w:rsid w:val="00DD7BFD"/>
    <w:rsid w:val="00E64B72"/>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8E71"/>
  <w15:docId w15:val="{10C1FB48-7B72-49ED-AD57-E1C83FD6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table" w:styleId="a5">
    <w:name w:val="Table Grid"/>
    <w:basedOn w:val="a1"/>
    <w:uiPriority w:val="59"/>
    <w:rsid w:val="00E64B7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64B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1178</Words>
  <Characters>6715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Rada</cp:lastModifiedBy>
  <cp:revision>19</cp:revision>
  <dcterms:created xsi:type="dcterms:W3CDTF">2021-03-03T14:03:00Z</dcterms:created>
  <dcterms:modified xsi:type="dcterms:W3CDTF">2025-12-05T08:57:00Z</dcterms:modified>
</cp:coreProperties>
</file>