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4623" w14:textId="73B7D729" w:rsidR="005B1C08" w:rsidRPr="00F23D04" w:rsidRDefault="00F23D04" w:rsidP="00F23D04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21455B7" w14:textId="77777777" w:rsidR="00F23D04" w:rsidRPr="00184B53" w:rsidRDefault="00F23D04" w:rsidP="00F23D04">
      <w:pPr>
        <w:keepNext/>
        <w:keepLines/>
        <w:widowControl w:val="0"/>
        <w:spacing w:after="0" w:line="307" w:lineRule="exact"/>
        <w:ind w:left="60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«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Про внесення змін до 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</w:t>
      </w:r>
      <w:r w:rsidRPr="00184B53"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на 2025 рік</w:t>
      </w:r>
      <w:r>
        <w:rPr>
          <w:rFonts w:ascii="Times New Roman" w:eastAsia="Times New Roman" w:hAnsi="Times New Roman" w:cs="Times New Roman"/>
          <w:b/>
          <w:color w:val="000000" w:themeColor="text1"/>
          <w:spacing w:val="4"/>
          <w:sz w:val="28"/>
          <w:szCs w:val="28"/>
          <w:lang w:val="uk-UA"/>
        </w:rPr>
        <w:t>»</w:t>
      </w:r>
    </w:p>
    <w:p w14:paraId="21292932" w14:textId="77777777" w:rsidR="00F23D04" w:rsidRPr="00184B53" w:rsidRDefault="00F23D04" w:rsidP="00F23D0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431E233A" w14:textId="77777777" w:rsidR="00F23D04" w:rsidRPr="00184B53" w:rsidRDefault="00F23D04" w:rsidP="00F23D04">
      <w:pPr>
        <w:keepNext/>
        <w:keepLines/>
        <w:widowControl w:val="0"/>
        <w:spacing w:after="0" w:line="216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VІІІ скликання.</w:t>
      </w:r>
    </w:p>
    <w:p w14:paraId="763A4D85" w14:textId="77777777" w:rsidR="00F23D04" w:rsidRPr="00184B53" w:rsidRDefault="00F23D04" w:rsidP="00F23D04">
      <w:pPr>
        <w:keepNext/>
        <w:keepLines/>
        <w:widowControl w:val="0"/>
        <w:spacing w:after="0" w:line="216" w:lineRule="auto"/>
        <w:ind w:left="6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pacing w:val="4"/>
          <w:sz w:val="28"/>
          <w:szCs w:val="28"/>
          <w:lang w:val="uk-UA"/>
        </w:rPr>
      </w:pPr>
    </w:p>
    <w:p w14:paraId="35BCE546" w14:textId="77777777" w:rsidR="00F23D04" w:rsidRPr="00184B53" w:rsidRDefault="00F23D04" w:rsidP="00F23D0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28"/>
          <w:szCs w:val="28"/>
          <w:lang w:val="uk-UA"/>
        </w:rPr>
        <w:t>Обґрунтування необхідності прийняття рішення.</w:t>
      </w:r>
    </w:p>
    <w:p w14:paraId="2AB46EF2" w14:textId="77777777" w:rsidR="00F23D04" w:rsidRPr="00E83034" w:rsidRDefault="00F23D04" w:rsidP="00F23D04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Основною метою змін до Програми є організація належних умов праці щодо ефективного забезпечення боротьби із суспільно небезпечними організованими групами і злочинними організаціями, знешкодження їх економічного підґрунтя та запобігання скоєнню ними тяжких, особливо тяжких і резонансних кримінальних правопорушень, тому є потреба внесення змін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до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пункту 1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 xml:space="preserve">додатку 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до Програми «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Заходи та потреба у фінансуванні Програми»</w:t>
      </w:r>
      <w:r w:rsidRPr="0045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виділення додаткових коштів у сумі 730,0 тис. грн для придбання  модуля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пневмокаркасного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ПМН в комплекті з обладнанням.</w:t>
      </w:r>
    </w:p>
    <w:p w14:paraId="6710FC73" w14:textId="77777777" w:rsidR="00F23D04" w:rsidRPr="00184B53" w:rsidRDefault="00F23D04" w:rsidP="00F23D04">
      <w:pPr>
        <w:spacing w:after="0" w:line="216" w:lineRule="auto"/>
        <w:ind w:firstLine="709"/>
        <w:contextualSpacing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 w:eastAsia="uk-UA"/>
        </w:rPr>
      </w:pPr>
    </w:p>
    <w:p w14:paraId="11B1AD02" w14:textId="77777777" w:rsidR="00F23D04" w:rsidRPr="00184B53" w:rsidRDefault="00F23D04" w:rsidP="00F23D0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Мета і шляхи її досягнення.</w:t>
      </w:r>
    </w:p>
    <w:p w14:paraId="6846E869" w14:textId="77777777" w:rsidR="00F23D04" w:rsidRPr="00BD71D9" w:rsidRDefault="00F23D04" w:rsidP="00F23D0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Метою є покращення та модернізація матеріально-технічного забезпечення, що, як наслідок, сприяє підвищенню якості та швидкості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 регіонального безпекового середовища на території Броварської громади.</w:t>
      </w:r>
    </w:p>
    <w:p w14:paraId="034EF750" w14:textId="77777777" w:rsidR="00F23D04" w:rsidRPr="00184B53" w:rsidRDefault="00F23D04" w:rsidP="00F23D0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07727283" w14:textId="77777777" w:rsidR="00F23D04" w:rsidRPr="00184B53" w:rsidRDefault="00F23D04" w:rsidP="00F23D04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Правові аспекти.</w:t>
      </w:r>
    </w:p>
    <w:p w14:paraId="4C9FB2C7" w14:textId="77777777" w:rsidR="00F23D04" w:rsidRPr="00184B53" w:rsidRDefault="00F23D04" w:rsidP="00F23D04">
      <w:pPr>
        <w:shd w:val="clear" w:color="auto" w:fill="FFFFFF"/>
        <w:spacing w:after="0" w:line="21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Закони України «Про Національну поліцію», «Про місцеве самоврядування в Україні».</w:t>
      </w:r>
    </w:p>
    <w:p w14:paraId="259A6D0D" w14:textId="77777777" w:rsidR="00F23D04" w:rsidRPr="00184B53" w:rsidRDefault="00F23D04" w:rsidP="00F23D04">
      <w:pPr>
        <w:shd w:val="clear" w:color="auto" w:fill="FFFFFF"/>
        <w:spacing w:after="0" w:line="216" w:lineRule="auto"/>
        <w:ind w:firstLine="709"/>
        <w:textAlignment w:val="baseline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uk-UA" w:eastAsia="en-US"/>
        </w:rPr>
      </w:pPr>
    </w:p>
    <w:p w14:paraId="30566470" w14:textId="77777777" w:rsidR="00F23D04" w:rsidRPr="00184B53" w:rsidRDefault="00F23D04" w:rsidP="00F23D04">
      <w:pPr>
        <w:numPr>
          <w:ilvl w:val="0"/>
          <w:numId w:val="2"/>
        </w:numPr>
        <w:shd w:val="clear" w:color="auto" w:fill="FFFFFF"/>
        <w:spacing w:after="0" w:line="216" w:lineRule="auto"/>
        <w:ind w:left="0" w:firstLine="709"/>
        <w:textAlignment w:val="baseline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>Фінансово-економічне обґрунтування.</w:t>
      </w:r>
    </w:p>
    <w:p w14:paraId="7D57F8EC" w14:textId="77777777" w:rsidR="00F23D04" w:rsidRDefault="00F23D04" w:rsidP="00F23D04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Даним проектом рішення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збільш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ується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фінансування на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73</w:t>
      </w:r>
      <w:r w:rsidRPr="00164AA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0,0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тис. грн.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по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заходу </w:t>
      </w: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«Матеріальне технічне забезпечення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зв’язку з чим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агальний обсяг фінанс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ових ресурсів для реалізації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оці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буде стано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вити </w:t>
      </w:r>
    </w:p>
    <w:p w14:paraId="32F56694" w14:textId="77777777" w:rsidR="00F23D04" w:rsidRDefault="00F23D04" w:rsidP="00F23D04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220</w:t>
      </w:r>
      <w:r w:rsidRPr="00164AA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9633F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тис. грн.</w:t>
      </w:r>
    </w:p>
    <w:p w14:paraId="0B6D0486" w14:textId="77777777" w:rsidR="00F23D04" w:rsidRPr="00E83034" w:rsidRDefault="00F23D04" w:rsidP="00F23D04">
      <w:pPr>
        <w:shd w:val="clear" w:color="auto" w:fill="FFFFFF"/>
        <w:spacing w:after="0" w:line="21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0534A77" w14:textId="77777777" w:rsidR="00F23D04" w:rsidRPr="00184B53" w:rsidRDefault="00F23D04" w:rsidP="00F23D04">
      <w:pPr>
        <w:keepNext/>
        <w:keepLines/>
        <w:widowControl w:val="0"/>
        <w:numPr>
          <w:ilvl w:val="0"/>
          <w:numId w:val="2"/>
        </w:numPr>
        <w:spacing w:after="0" w:line="216" w:lineRule="auto"/>
        <w:ind w:left="0"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Прогноз результатів.</w:t>
      </w:r>
    </w:p>
    <w:p w14:paraId="465CA380" w14:textId="77777777" w:rsidR="00F23D04" w:rsidRPr="00BD71D9" w:rsidRDefault="00F23D04" w:rsidP="00F23D04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Покращення якості надання поліцейських послуг, покращенню взаємодії поліції з громадою, зменшення часу реагування на повідомлення громадян, підвищення рівня довіри населення регіону до поліції та створенню загально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184B53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регіонального безпекового середовища на території Броварської громади шляхом забезпечення Броварське РУП ГУНП службовими автомобілями, паливно-мастильними матеріалами та запчастинами, розхідними та іншими матеріалами, технікою необхідною для забезпечення функціонування управління.</w:t>
      </w:r>
    </w:p>
    <w:p w14:paraId="6AF95178" w14:textId="77777777" w:rsidR="00F23D04" w:rsidRPr="00184B53" w:rsidRDefault="00F23D04" w:rsidP="00F23D04">
      <w:pPr>
        <w:shd w:val="clear" w:color="auto" w:fill="FFFFFF"/>
        <w:spacing w:after="0" w:line="21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</w:p>
    <w:p w14:paraId="79B75EFA" w14:textId="77777777" w:rsidR="00F23D04" w:rsidRPr="00184B53" w:rsidRDefault="00F23D04" w:rsidP="00F23D04">
      <w:pPr>
        <w:keepNext/>
        <w:keepLines/>
        <w:widowControl w:val="0"/>
        <w:spacing w:after="0" w:line="216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6. Суб’єкт подання проекту рішення.</w:t>
      </w:r>
    </w:p>
    <w:p w14:paraId="0AC39CBA" w14:textId="77777777" w:rsidR="00F23D04" w:rsidRPr="00184B53" w:rsidRDefault="00F23D04" w:rsidP="00F23D0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0D604172" w14:textId="77777777" w:rsidR="00F23D04" w:rsidRPr="00184B53" w:rsidRDefault="00F23D04" w:rsidP="00F23D0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Доповідач: Довгань Василь Григорович 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 </w:t>
      </w:r>
    </w:p>
    <w:p w14:paraId="40BB7CE5" w14:textId="77777777" w:rsidR="00F23D04" w:rsidRPr="00184B53" w:rsidRDefault="00F23D04" w:rsidP="00F23D04">
      <w:pPr>
        <w:keepNext/>
        <w:keepLines/>
        <w:widowControl w:val="0"/>
        <w:spacing w:after="0" w:line="216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Відповідальна особа за підготовку проекту рішення: </w:t>
      </w:r>
      <w:proofErr w:type="spellStart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Підпокровний</w:t>
      </w:r>
      <w:proofErr w:type="spellEnd"/>
      <w:r w:rsidRPr="00184B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Олександр Іванович – головний спеціаліст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області.</w:t>
      </w:r>
    </w:p>
    <w:p w14:paraId="73B325CB" w14:textId="77777777" w:rsidR="00F23D04" w:rsidRPr="00B34F7F" w:rsidRDefault="00F23D04" w:rsidP="00F23D04">
      <w:pPr>
        <w:keepNext/>
        <w:keepLines/>
        <w:widowControl w:val="0"/>
        <w:spacing w:after="0" w:line="228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3ABDDD53" w14:textId="77777777" w:rsidR="00F23D04" w:rsidRPr="00946C85" w:rsidRDefault="00F23D04" w:rsidP="00F23D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r w:rsidRPr="00946C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таблиця: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1843"/>
        <w:gridCol w:w="992"/>
        <w:gridCol w:w="992"/>
        <w:gridCol w:w="1134"/>
        <w:gridCol w:w="1843"/>
        <w:gridCol w:w="992"/>
        <w:gridCol w:w="993"/>
      </w:tblGrid>
      <w:tr w:rsidR="00F23D04" w:rsidRPr="00946C85" w14:paraId="7A3FAAED" w14:textId="77777777" w:rsidTr="00B514CC">
        <w:trPr>
          <w:trHeight w:val="452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874E" w14:textId="77777777" w:rsidR="00F23D04" w:rsidRPr="00555831" w:rsidRDefault="00F23D04" w:rsidP="00B514CC">
            <w:pPr>
              <w:tabs>
                <w:tab w:val="righ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Стара редакція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801E" w14:textId="77777777" w:rsidR="00F23D04" w:rsidRPr="00946C85" w:rsidRDefault="00F23D04" w:rsidP="00B5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F55C" w14:textId="77777777" w:rsidR="00F23D04" w:rsidRPr="00946C85" w:rsidRDefault="00F23D04" w:rsidP="00B514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Нов</w:t>
            </w:r>
            <w:r w:rsidRPr="00946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 редакція</w:t>
            </w:r>
          </w:p>
        </w:tc>
      </w:tr>
      <w:tr w:rsidR="00F23D04" w:rsidRPr="00946C85" w14:paraId="6B75E0F5" w14:textId="77777777" w:rsidTr="00B514CC">
        <w:trPr>
          <w:trHeight w:val="6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4480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№з/п</w:t>
            </w:r>
          </w:p>
          <w:p w14:paraId="0189CCD4" w14:textId="77777777" w:rsidR="00F23D04" w:rsidRPr="00B30DD7" w:rsidRDefault="00F23D04" w:rsidP="00B514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sz w:val="12"/>
                <w:szCs w:val="12"/>
                <w:lang w:val="uk-UA" w:eastAsia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8AE7" w14:textId="77777777" w:rsidR="00F23D04" w:rsidRPr="00555831" w:rsidRDefault="00F23D04" w:rsidP="00B51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800" w14:textId="77777777" w:rsidR="00F23D04" w:rsidRPr="00F323AD" w:rsidRDefault="00F23D04" w:rsidP="00B514CC">
            <w:pPr>
              <w:spacing w:after="0" w:line="228" w:lineRule="auto"/>
              <w:ind w:firstLine="32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</w:pP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Перелік заходів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Pr="00CF68A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  <w:lang w:val="uk-UA"/>
              </w:rPr>
              <w:t>програми</w:t>
            </w:r>
          </w:p>
          <w:p w14:paraId="0C92434E" w14:textId="77777777" w:rsidR="00F23D04" w:rsidRPr="00082E48" w:rsidRDefault="00F23D04" w:rsidP="00B514CC">
            <w:pPr>
              <w:spacing w:after="0" w:line="228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B44B" w14:textId="77777777" w:rsidR="00F23D04" w:rsidRPr="00946C85" w:rsidRDefault="00F23D04" w:rsidP="00B514C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Потреба у фінансуванні</w:t>
            </w:r>
          </w:p>
          <w:p w14:paraId="680D7A7C" w14:textId="77777777" w:rsidR="00F23D04" w:rsidRPr="00F323AD" w:rsidRDefault="00F23D04" w:rsidP="00B51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  <w:p w14:paraId="6820CDB2" w14:textId="77777777" w:rsidR="00F23D04" w:rsidRPr="00DE5DA7" w:rsidRDefault="00F23D04" w:rsidP="00B514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005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168" w14:textId="77777777" w:rsidR="00F23D04" w:rsidRPr="00AA3E12" w:rsidRDefault="00F23D04" w:rsidP="00B51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AA3E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Назва напрямку діяльності</w:t>
            </w:r>
          </w:p>
          <w:p w14:paraId="4894EAB5" w14:textId="77777777" w:rsidR="00F23D04" w:rsidRPr="00DE5DA7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F920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EC28" w14:textId="77777777" w:rsidR="00F23D04" w:rsidRPr="00946C85" w:rsidRDefault="00F23D04" w:rsidP="00B514C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Джерела</w:t>
            </w:r>
          </w:p>
          <w:p w14:paraId="4489A8D3" w14:textId="77777777" w:rsidR="00F23D04" w:rsidRPr="00946C85" w:rsidRDefault="00F23D04" w:rsidP="00B514C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фінансування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8EE0" w14:textId="77777777" w:rsidR="00F23D04" w:rsidRPr="00946C85" w:rsidRDefault="00F23D04" w:rsidP="00B514C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 xml:space="preserve">Потреба у фінансуванні </w:t>
            </w:r>
          </w:p>
          <w:p w14:paraId="5F5C1A9D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uk-UA"/>
              </w:rPr>
            </w:pPr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(</w:t>
            </w:r>
            <w:proofErr w:type="spellStart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тис.грн</w:t>
            </w:r>
            <w:proofErr w:type="spellEnd"/>
            <w:r w:rsidRPr="00946C8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 w:eastAsia="en-US"/>
              </w:rPr>
              <w:t>)</w:t>
            </w:r>
          </w:p>
        </w:tc>
      </w:tr>
      <w:tr w:rsidR="00F23D04" w14:paraId="51F9F57E" w14:textId="77777777" w:rsidTr="00B514CC">
        <w:trPr>
          <w:trHeight w:val="8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4BC" w14:textId="77777777" w:rsidR="00F23D04" w:rsidRDefault="00F23D04" w:rsidP="00B514CC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4257" w14:textId="77777777" w:rsidR="00F23D04" w:rsidRPr="00A76D0F" w:rsidRDefault="00F23D04" w:rsidP="00B514CC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 технічне забезпечення Броварського РУП НПУ в Київській обл.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FFD6" w14:textId="77777777" w:rsidR="00F23D04" w:rsidRPr="00BD71D9" w:rsidRDefault="00F23D04" w:rsidP="00B514CC">
            <w:pPr>
              <w:spacing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Придбання, реєстрація у сервісному центрі МВС та обладнання спеціальними засобами автомобілів (спеціальних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автомобілей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) для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(Далі –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).</w:t>
            </w:r>
          </w:p>
          <w:p w14:paraId="4A0894BA" w14:textId="77777777" w:rsidR="00F23D04" w:rsidRPr="00BD71D9" w:rsidRDefault="00F23D04" w:rsidP="00B514CC">
            <w:pPr>
              <w:spacing w:line="228" w:lineRule="auto"/>
              <w:ind w:firstLine="176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Придбання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Броварського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РУП ГУНП в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Київській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області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:</w:t>
            </w:r>
          </w:p>
          <w:p w14:paraId="463E7132" w14:textId="77777777" w:rsidR="00F23D04" w:rsidRPr="00BD71D9" w:rsidRDefault="00F23D04" w:rsidP="00B514CC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канцелярських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товарів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паперу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64896BE5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реєстраторів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відеокамер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фотоапаратів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термопринтерів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комп’ютерної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техніки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МФУ,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прожекторів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акумуляторних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мобільних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батарей,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запису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і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зберігання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інформації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06FD1D24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паливно-мастильних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гуми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запасних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частин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технічного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і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автомобілів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3753A59A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будівельних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1F04CF47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сейф та крафт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пакети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різних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розмірів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lastRenderedPageBreak/>
              <w:t>упакування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речових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доказів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індивідуального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захисту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;</w:t>
            </w:r>
          </w:p>
          <w:p w14:paraId="16909177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облаштування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проведення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допитів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неповнолітніх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43293E53" w14:textId="77777777" w:rsidR="00F23D04" w:rsidRPr="00BD71D9" w:rsidRDefault="00F23D04" w:rsidP="00B514C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38E" w14:textId="77777777" w:rsidR="00F23D04" w:rsidRDefault="00F23D04" w:rsidP="00B514C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282EA6A" w14:textId="77777777" w:rsidR="00F23D04" w:rsidRDefault="00F23D04" w:rsidP="00B514C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1367B775" w14:textId="77777777" w:rsidR="00F23D04" w:rsidRDefault="00F23D04" w:rsidP="00B514C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0CF5B9E8" w14:textId="77777777" w:rsidR="00F23D04" w:rsidRDefault="00F23D04" w:rsidP="00B514C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49E9A7D0" w14:textId="77777777" w:rsidR="00F23D04" w:rsidRDefault="00F23D04" w:rsidP="00B514CC">
            <w:pPr>
              <w:spacing w:after="0" w:line="20" w:lineRule="atLeast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11 686,4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A8B0" w14:textId="77777777" w:rsidR="00F23D04" w:rsidRDefault="00F23D04" w:rsidP="00B514C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236F1E6A" w14:textId="77777777" w:rsidR="00F23D04" w:rsidRDefault="00F23D04" w:rsidP="00B514C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8EE7E01" w14:textId="77777777" w:rsidR="00F23D04" w:rsidRDefault="00F23D04" w:rsidP="00B514C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7064E0B9" w14:textId="77777777" w:rsidR="00F23D04" w:rsidRDefault="00F23D04" w:rsidP="00B514C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14:paraId="690E1CDB" w14:textId="77777777" w:rsidR="00F23D04" w:rsidRDefault="00F23D04" w:rsidP="00B514CC">
            <w:pPr>
              <w:spacing w:after="0" w:line="256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+730,0</w:t>
            </w:r>
          </w:p>
          <w:p w14:paraId="5D75DCF1" w14:textId="77777777" w:rsidR="00F23D04" w:rsidRDefault="00F23D04" w:rsidP="00B514CC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C29" w14:textId="77777777" w:rsidR="00F23D04" w:rsidRPr="00E046A9" w:rsidRDefault="00F23D04" w:rsidP="00B514CC">
            <w:pPr>
              <w:spacing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Матеріальне технічне забезпечення Броварського РУП НПУ в Київській обл.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5DE" w14:textId="77777777" w:rsidR="00F23D04" w:rsidRPr="00BD71D9" w:rsidRDefault="00F23D04" w:rsidP="00B514CC">
            <w:pPr>
              <w:spacing w:line="228" w:lineRule="auto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Придбання, реєстрація у сервісному центрі МВС та обладнання спеціальними засобами автомобілів (спеціальних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автомобілей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) для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 xml:space="preserve">(Далі – </w:t>
            </w:r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  <w:lang w:val="uk-UA"/>
              </w:rPr>
              <w:t>Броварського РУП ГУНП в Київській області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  <w:t>).</w:t>
            </w:r>
          </w:p>
          <w:p w14:paraId="7EE34F98" w14:textId="77777777" w:rsidR="00F23D04" w:rsidRPr="00BD71D9" w:rsidRDefault="00F23D04" w:rsidP="00B514CC">
            <w:pPr>
              <w:spacing w:line="228" w:lineRule="auto"/>
              <w:ind w:firstLine="176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Придбання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Броварського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РУП ГУНП в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Київській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області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sz w:val="16"/>
                <w:szCs w:val="16"/>
              </w:rPr>
              <w:t>:</w:t>
            </w:r>
          </w:p>
          <w:p w14:paraId="71717446" w14:textId="77777777" w:rsidR="00F23D04" w:rsidRPr="00BD71D9" w:rsidRDefault="00F23D04" w:rsidP="00B514CC">
            <w:pPr>
              <w:spacing w:line="228" w:lineRule="auto"/>
              <w:ind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канцелярських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товарів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паперу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28869D96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реєстраторів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відеокамер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фотоапаратів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термопринтерів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алкотестерів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комп’ютерної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техніки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, МФУ,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принтерів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,</w:t>
            </w: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прожекторів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акумуляторних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мобільних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батарей,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запису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і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зберігання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інформації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та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z w:val="16"/>
                <w:szCs w:val="16"/>
              </w:rPr>
              <w:t>;</w:t>
            </w:r>
          </w:p>
          <w:p w14:paraId="4F585C95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паливно-мастильних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гуми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запасних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частин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технічного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і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автомобілів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0BE498D9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будівельних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послуг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з ремонту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службових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</w:rPr>
              <w:t>;</w:t>
            </w:r>
          </w:p>
          <w:p w14:paraId="5BC872B4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розхідних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матеріалів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сейф та крафт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пакети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різних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розмірів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lastRenderedPageBreak/>
              <w:t>упакування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речових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доказів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,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засоби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індивідуального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захисту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;</w:t>
            </w:r>
          </w:p>
          <w:p w14:paraId="33E5543C" w14:textId="77777777" w:rsidR="00F23D04" w:rsidRPr="00BD71D9" w:rsidRDefault="00F23D04" w:rsidP="00B514CC">
            <w:pPr>
              <w:spacing w:line="228" w:lineRule="auto"/>
              <w:ind w:left="35" w:firstLine="176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облаштування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приміщень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для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проведення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допитів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неповнолітніх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7FDD4A66" w14:textId="77777777" w:rsidR="00F23D04" w:rsidRPr="00BD71D9" w:rsidRDefault="00F23D04" w:rsidP="00B514CC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16"/>
                <w:szCs w:val="16"/>
              </w:rPr>
            </w:pPr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модуль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пневмокаркасний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ПНМ в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комплекті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 xml:space="preserve"> з </w:t>
            </w:r>
            <w:proofErr w:type="spellStart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обладнанням</w:t>
            </w:r>
            <w:proofErr w:type="spellEnd"/>
            <w:r w:rsidRPr="00BD71D9">
              <w:rPr>
                <w:rFonts w:ascii="Times New Roman" w:eastAsia="Times New Roman" w:hAnsi="Times New Roman"/>
                <w:spacing w:val="5"/>
                <w:sz w:val="16"/>
                <w:szCs w:val="16"/>
              </w:rPr>
              <w:t>.</w:t>
            </w:r>
          </w:p>
          <w:p w14:paraId="677C2BA1" w14:textId="77777777" w:rsidR="00F23D04" w:rsidRPr="00BD71D9" w:rsidRDefault="00F23D04" w:rsidP="00B514CC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B401" w14:textId="77777777" w:rsidR="00F23D04" w:rsidRPr="00BD71D9" w:rsidRDefault="00F23D04" w:rsidP="00B514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lastRenderedPageBreak/>
              <w:t>Місцевий бюджет</w:t>
            </w:r>
          </w:p>
          <w:p w14:paraId="79E04F25" w14:textId="77777777" w:rsidR="00F23D04" w:rsidRPr="00BD71D9" w:rsidRDefault="00F23D04" w:rsidP="00B514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2D4934E8" w14:textId="77777777" w:rsidR="00F23D04" w:rsidRPr="00BD71D9" w:rsidRDefault="00F23D04" w:rsidP="00B514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C7F6280" w14:textId="77777777" w:rsidR="00F23D04" w:rsidRPr="00BD71D9" w:rsidRDefault="00F23D04" w:rsidP="00B514CC">
            <w:pPr>
              <w:spacing w:after="0" w:line="228" w:lineRule="auto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</w:p>
          <w:p w14:paraId="6DF2A782" w14:textId="77777777" w:rsidR="00F23D04" w:rsidRPr="00BD71D9" w:rsidRDefault="00F23D04" w:rsidP="00B514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Субвенція з місцевого бюджету</w:t>
            </w:r>
          </w:p>
          <w:p w14:paraId="11110C5B" w14:textId="77777777" w:rsidR="00F23D04" w:rsidRPr="00BD71D9" w:rsidRDefault="00F23D04" w:rsidP="00B514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</w:pPr>
            <w:r w:rsidRPr="00BD71D9">
              <w:rPr>
                <w:rFonts w:ascii="Times New Roman" w:eastAsia="Calibri" w:hAnsi="Times New Roman" w:cs="Times New Roman"/>
                <w:sz w:val="16"/>
                <w:szCs w:val="16"/>
                <w:lang w:val="uk-UA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8B6" w14:textId="77777777" w:rsidR="00F23D04" w:rsidRPr="00BD71D9" w:rsidRDefault="00F23D04" w:rsidP="00B514CC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007DD29" w14:textId="77777777" w:rsidR="00F23D04" w:rsidRPr="00BD71D9" w:rsidRDefault="00F23D04" w:rsidP="00B514CC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8BC4F13" w14:textId="77777777" w:rsidR="00F23D04" w:rsidRPr="00BD71D9" w:rsidRDefault="00F23D04" w:rsidP="00B514CC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4B327C4B" w14:textId="77777777" w:rsidR="00F23D04" w:rsidRDefault="00F23D04" w:rsidP="00B514CC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6AD734C4" w14:textId="77777777" w:rsidR="00F23D04" w:rsidRPr="00BD71D9" w:rsidRDefault="00F23D04" w:rsidP="00B514CC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</w:p>
          <w:p w14:paraId="5D103624" w14:textId="77777777" w:rsidR="00F23D04" w:rsidRPr="00BD71D9" w:rsidRDefault="00F23D04" w:rsidP="00B514CC">
            <w:pPr>
              <w:spacing w:after="0" w:line="20" w:lineRule="atLeast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BD71D9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12 4</w:t>
            </w:r>
            <w:r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1</w:t>
            </w:r>
            <w:r w:rsidRPr="00BD71D9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6,4</w:t>
            </w:r>
          </w:p>
        </w:tc>
      </w:tr>
      <w:tr w:rsidR="00F23D04" w:rsidRPr="00946C85" w14:paraId="10B4ACE4" w14:textId="77777777" w:rsidTr="00B514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A9F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2C85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E6C5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24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490</w:t>
            </w:r>
            <w:r w:rsidRPr="00946C8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0875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31C4" w14:textId="77777777" w:rsidR="00F23D04" w:rsidRPr="00946C85" w:rsidRDefault="00F23D04" w:rsidP="00B51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</w:pPr>
            <w:r w:rsidRPr="00946C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0E0F" w14:textId="77777777" w:rsidR="00F23D04" w:rsidRPr="00946C85" w:rsidRDefault="00F23D04" w:rsidP="00B514CC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37D4" w14:textId="77777777" w:rsidR="00F23D04" w:rsidRPr="00946C85" w:rsidRDefault="00F23D04" w:rsidP="00B514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val="uk-UA"/>
              </w:rPr>
            </w:pP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5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220</w:t>
            </w:r>
            <w:r w:rsidRPr="00164AA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 w:eastAsia="en-US"/>
              </w:rPr>
              <w:t>,4</w:t>
            </w:r>
          </w:p>
        </w:tc>
      </w:tr>
    </w:tbl>
    <w:p w14:paraId="7E595774" w14:textId="77777777" w:rsidR="00F23D04" w:rsidRPr="00946C85" w:rsidRDefault="00F23D04" w:rsidP="00F23D04">
      <w:pPr>
        <w:keepNext/>
        <w:keepLines/>
        <w:widowControl w:val="0"/>
        <w:spacing w:after="0" w:line="228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447CF8EC" w14:textId="77777777" w:rsidR="00F23D04" w:rsidRDefault="00F23D04" w:rsidP="00F23D04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Начальник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управління цивільного</w:t>
      </w:r>
    </w:p>
    <w:p w14:paraId="09665246" w14:textId="77777777" w:rsidR="00F23D04" w:rsidRDefault="00F23D04" w:rsidP="00F23D04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захисту, оборонної роботи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та </w:t>
      </w:r>
    </w:p>
    <w:p w14:paraId="356F076B" w14:textId="77777777" w:rsidR="00F23D04" w:rsidRPr="00946C85" w:rsidRDefault="00F23D04" w:rsidP="00F23D04">
      <w:pPr>
        <w:spacing w:after="0" w:line="240" w:lineRule="auto"/>
        <w:ind w:left="-709"/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</w:pP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взаємодії з правоохоронними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органами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ab/>
        <w:t xml:space="preserve">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946C85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Василь ДОВГАНЬ</w:t>
      </w:r>
    </w:p>
    <w:p w14:paraId="2B949ECD" w14:textId="64DF506D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066F4"/>
    <w:multiLevelType w:val="hybridMultilevel"/>
    <w:tmpl w:val="EF948942"/>
    <w:lvl w:ilvl="0" w:tplc="B37AD11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23D04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1BC34"/>
  <w15:docId w15:val="{12AD0A91-D844-4603-822B-27FF661F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3662</Words>
  <Characters>2088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User-444</cp:lastModifiedBy>
  <cp:revision>15</cp:revision>
  <dcterms:created xsi:type="dcterms:W3CDTF">2021-03-03T14:03:00Z</dcterms:created>
  <dcterms:modified xsi:type="dcterms:W3CDTF">2025-12-01T10:47:00Z</dcterms:modified>
</cp:coreProperties>
</file>