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48397D13" w14:textId="77777777" w:rsidR="001B1FE6" w:rsidRPr="001B1FE6" w:rsidRDefault="001B1FE6" w:rsidP="001B1FE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відмову у </w:t>
      </w:r>
      <w:bookmarkStart w:id="0" w:name="_Hlk211236755"/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наданні дозволу на розроблення проекту землеустрою</w:t>
      </w:r>
      <w:bookmarkEnd w:id="0"/>
    </w:p>
    <w:p w14:paraId="60800ACE" w14:textId="390835FD" w:rsidR="001B1FE6" w:rsidRPr="001B1FE6" w:rsidRDefault="001B1FE6" w:rsidP="001B1FE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щодо відведення в оренду земельної ділянки</w:t>
      </w:r>
      <w:r w:rsidR="00F322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громадянину</w:t>
      </w: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</w:p>
    <w:p w14:paraId="2B2B76ED" w14:textId="77777777" w:rsidR="001B1FE6" w:rsidRPr="001B1FE6" w:rsidRDefault="001B1FE6" w:rsidP="001B1FE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м. Бровари</w:t>
      </w: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Броварського району Київської області</w:t>
      </w:r>
    </w:p>
    <w:p w14:paraId="4A352C02" w14:textId="77777777" w:rsidR="001F4F3A" w:rsidRPr="0059236D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256582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25658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C635488" w:rsidR="0074644B" w:rsidRPr="00256582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78922AFC" w:rsidR="00EF46C2" w:rsidRPr="001B1FE6" w:rsidRDefault="00687EB6" w:rsidP="001B1FE6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1FE6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 w:rsidRPr="001B1FE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громадянина Гончара Сергія Васильовича</w:t>
      </w:r>
      <w:r w:rsidR="00F27C65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662A1" w:rsidRPr="001B1F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</w:t>
      </w:r>
      <w:r w:rsidR="001B1FE6" w:rsidRPr="001B1F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дозволу на розроблення проекту землеустрою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/>
        </w:rPr>
        <w:t>щодо відведення в оренду земельної ділянки в м. Бровари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F9DD6E1" w14:textId="2EE52649" w:rsidR="0074644B" w:rsidRPr="001B1FE6" w:rsidRDefault="00687EB6" w:rsidP="001B1FE6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1B1FE6">
        <w:rPr>
          <w:rFonts w:ascii="Times New Roman" w:hAnsi="Times New Roman"/>
          <w:b/>
          <w:bCs/>
          <w:sz w:val="28"/>
          <w:szCs w:val="28"/>
          <w:lang w:val="uk-UA" w:eastAsia="zh-CN"/>
        </w:rPr>
        <w:t>3.Правові аспекти</w:t>
      </w:r>
    </w:p>
    <w:p w14:paraId="35493CFF" w14:textId="2029DFA8" w:rsidR="00687EB6" w:rsidRPr="001B1FE6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FE6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1B1F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CA095D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123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1B1F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1B1FE6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Закону України «Про адміністративну процедуру», 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1B1F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079236" w14:textId="7DF1B943" w:rsidR="00F27C65" w:rsidRPr="001B1FE6" w:rsidRDefault="00F27C65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ею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123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Земельного кодексу України</w:t>
      </w:r>
      <w:r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встановл</w:t>
      </w:r>
      <w:r w:rsidR="001B1FE6"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ено, що підставою відмови у наданні такого дозволу може бути лише невідповідність місця розташування земельної ділянки вимогам законів, прийнятих відповідно до них нормативно-правових актів, а також генеральних планів населених пунктів, іншої містобудівної документації</w:t>
      </w:r>
      <w:r w:rsid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24859" w:rsidRPr="00F2485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F2485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</w:t>
      </w:r>
      <w:r w:rsidR="00F24859" w:rsidRPr="00F2485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ідповідно </w:t>
      </w:r>
      <w:r w:rsidR="00F24859" w:rsidRPr="00F24859">
        <w:rPr>
          <w:rFonts w:ascii="Times New Roman" w:eastAsia="Times New Roman" w:hAnsi="Times New Roman" w:cs="Times New Roman"/>
          <w:sz w:val="28"/>
          <w:szCs w:val="28"/>
          <w:lang w:val="uk-UA"/>
        </w:rPr>
        <w:t>до Плану зонування території міста Бровари, затвердженого рішенням Броварської міської ради Броварського району Київської області від 25.03.2021 № 119-04-08, земельна ділянка, що пропонується до відведення є існуючим проїздом суміжної земельної ділянки</w:t>
      </w:r>
      <w:r w:rsidR="00F248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24859" w:rsidRPr="00F24859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забезпечення доступу до проїзної частини вулиці Київської для обслуговування та дотримання нормативних показників ширини проїзду для під’їзду автомобілів швидкої медичної допомоги, пожежної, рятувальної та аварійно-відновлювальної техніки.</w:t>
      </w:r>
    </w:p>
    <w:p w14:paraId="55B5D282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256582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256582">
        <w:rPr>
          <w:rFonts w:ascii="Times New Roman" w:hAnsi="Times New Roman"/>
          <w:b/>
          <w:sz w:val="28"/>
          <w:szCs w:val="28"/>
          <w:lang w:eastAsia="zh-CN"/>
        </w:rPr>
        <w:t>-</w:t>
      </w:r>
      <w:proofErr w:type="spellStart"/>
      <w:r w:rsidRPr="00256582">
        <w:rPr>
          <w:rFonts w:ascii="Times New Roman" w:hAnsi="Times New Roman"/>
          <w:b/>
          <w:sz w:val="28"/>
          <w:szCs w:val="28"/>
          <w:lang w:eastAsia="zh-CN"/>
        </w:rPr>
        <w:t>економічне</w:t>
      </w:r>
      <w:proofErr w:type="spellEnd"/>
      <w:r w:rsidRPr="00256582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2E50DFF7" w:rsidR="0074644B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256582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27F102C8" w:rsidR="00CA095D" w:rsidRPr="00256582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наданні 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>дозволу на розроблення проекту землеустрою щодо відведення в оренду земельної ділянки в м. Бровари</w:t>
      </w: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D994583" w14:textId="77777777" w:rsidR="008A21A7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начальник управління земельних ресурсів Гудименко Л.М.</w:t>
      </w:r>
    </w:p>
    <w:p w14:paraId="7DAB5DD9" w14:textId="7E75DDEF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ED297B8" w14:textId="27D993EC" w:rsidR="00C75BF2" w:rsidRPr="00256582" w:rsidRDefault="008E6D59" w:rsidP="00C75B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123BB148" w14:textId="2581C29E" w:rsidR="00D27447" w:rsidRPr="00256582" w:rsidRDefault="00C75BF2" w:rsidP="00C25A7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земельних </w:t>
      </w:r>
      <w:r w:rsidR="008E6D59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sectPr w:rsidR="00D27447" w:rsidRPr="00256582" w:rsidSect="00F24859">
      <w:pgSz w:w="11906" w:h="16838"/>
      <w:pgMar w:top="851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40E38"/>
    <w:rsid w:val="00150AD8"/>
    <w:rsid w:val="001608D3"/>
    <w:rsid w:val="001775B9"/>
    <w:rsid w:val="00192296"/>
    <w:rsid w:val="001A3FF0"/>
    <w:rsid w:val="001B1FE6"/>
    <w:rsid w:val="001C2EE3"/>
    <w:rsid w:val="001C6ACB"/>
    <w:rsid w:val="001F2E9C"/>
    <w:rsid w:val="001F4F3A"/>
    <w:rsid w:val="00203C01"/>
    <w:rsid w:val="00244FF9"/>
    <w:rsid w:val="00246744"/>
    <w:rsid w:val="00256582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9236D"/>
    <w:rsid w:val="005A2E1A"/>
    <w:rsid w:val="005B1C08"/>
    <w:rsid w:val="005B1E61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A2ED5"/>
    <w:rsid w:val="00AD2852"/>
    <w:rsid w:val="00AD5B17"/>
    <w:rsid w:val="00AF50CB"/>
    <w:rsid w:val="00B03912"/>
    <w:rsid w:val="00B039B7"/>
    <w:rsid w:val="00B30E3E"/>
    <w:rsid w:val="00B35D4C"/>
    <w:rsid w:val="00B6318D"/>
    <w:rsid w:val="00B7687B"/>
    <w:rsid w:val="00BB2BF2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F46C2"/>
    <w:rsid w:val="00F06D36"/>
    <w:rsid w:val="00F24859"/>
    <w:rsid w:val="00F27C65"/>
    <w:rsid w:val="00F32253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2025-09-09T05:44:00Z</cp:lastPrinted>
  <dcterms:created xsi:type="dcterms:W3CDTF">2025-07-07T08:23:00Z</dcterms:created>
  <dcterms:modified xsi:type="dcterms:W3CDTF">2025-11-07T09:43:00Z</dcterms:modified>
</cp:coreProperties>
</file>