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DA1C" w14:textId="58540465" w:rsidR="005B1C08" w:rsidRPr="009461F0" w:rsidRDefault="009461F0" w:rsidP="009461F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E4EB4E2" w14:textId="42B36D6C" w:rsidR="009461F0" w:rsidRPr="00184B53" w:rsidRDefault="009461F0" w:rsidP="009461F0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до про</w:t>
      </w:r>
      <w:r w:rsidR="00F716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є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кту рішення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на 2025 рік</w:t>
      </w:r>
      <w:r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»</w:t>
      </w:r>
    </w:p>
    <w:p w14:paraId="4C7DF235" w14:textId="77777777" w:rsidR="009461F0" w:rsidRPr="00184B53" w:rsidRDefault="009461F0" w:rsidP="009461F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16C1A643" w14:textId="77777777" w:rsidR="009461F0" w:rsidRPr="00184B53" w:rsidRDefault="009461F0" w:rsidP="009461F0">
      <w:pPr>
        <w:keepNext/>
        <w:keepLines/>
        <w:widowControl w:val="0"/>
        <w:spacing w:after="0" w:line="21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1E140500" w14:textId="77777777" w:rsidR="009461F0" w:rsidRPr="00184B53" w:rsidRDefault="009461F0" w:rsidP="009461F0">
      <w:pPr>
        <w:keepNext/>
        <w:keepLines/>
        <w:widowControl w:val="0"/>
        <w:spacing w:after="0" w:line="216" w:lineRule="auto"/>
        <w:ind w:left="6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</w:p>
    <w:p w14:paraId="01108E5F" w14:textId="77777777" w:rsidR="009461F0" w:rsidRPr="00184B53" w:rsidRDefault="009461F0" w:rsidP="009461F0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  <w:t>Обґрунтування необхідності прийняття рішення.</w:t>
      </w:r>
    </w:p>
    <w:p w14:paraId="72EF3C3B" w14:textId="114DB3E4" w:rsidR="009461F0" w:rsidRPr="00497FB5" w:rsidRDefault="009461F0" w:rsidP="00F716CD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Основною метою змін до Програми є організація належних умов праці щодо ефективного забезпечення боротьби із суспільно небезпечними організованими групами і злочинними організаціями, знешкодження їх економічного підґрунтя та запобігання скоєнню ними тяжких, особливо тяжких і резонансних кримінальних правопорушень, тому є потреба внесення змін</w:t>
      </w:r>
      <w:r w:rsidR="00F716C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доповнити пункт 4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додатка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 Програми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Заходи та потреба у фінансуванні Програми»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словами наступного змісту</w:t>
      </w:r>
      <w:r w:rsidR="00F716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а саме: «</w:t>
      </w:r>
      <w:r w:rsidRPr="00025B94">
        <w:rPr>
          <w:rFonts w:ascii="Times New Roman" w:hAnsi="Times New Roman"/>
          <w:sz w:val="28"/>
          <w:szCs w:val="28"/>
          <w:lang w:val="uk-UA"/>
        </w:rPr>
        <w:t>та витратних матеріалів для проведення молекулярно-генетичних та фізико-хімічних досліджень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14:paraId="5EE6885C" w14:textId="77777777" w:rsidR="009461F0" w:rsidRPr="00184B53" w:rsidRDefault="009461F0" w:rsidP="009461F0">
      <w:pPr>
        <w:spacing w:after="0" w:line="216" w:lineRule="auto"/>
        <w:ind w:firstLine="709"/>
        <w:contextualSpacing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14:paraId="4D0A2509" w14:textId="77777777" w:rsidR="009461F0" w:rsidRPr="00184B53" w:rsidRDefault="009461F0" w:rsidP="009461F0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Мета і шляхи її досягнення.</w:t>
      </w:r>
    </w:p>
    <w:p w14:paraId="193BAE87" w14:textId="77777777" w:rsidR="009461F0" w:rsidRPr="00184B53" w:rsidRDefault="009461F0" w:rsidP="009461F0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Метою є покращення та модернізація матеріально-технічного забезпечення, що, як наслідок, сприяє підвищенню якості та швидкості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 регіонального безпекового середовища на території Броварської громади.</w:t>
      </w:r>
    </w:p>
    <w:p w14:paraId="21A325DF" w14:textId="77777777" w:rsidR="009461F0" w:rsidRPr="00FD7664" w:rsidRDefault="009461F0" w:rsidP="009461F0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Розкриття кримінальних правопорушень за фактами воєнних злочинів шляхом проведення судових експертиз, пов’язаних з дослідженням та ідентифікацією невпізнаних трупів та їх останків, металевих уламків від ракет і безпілотників.</w:t>
      </w:r>
    </w:p>
    <w:p w14:paraId="0AF091AA" w14:textId="77777777" w:rsidR="009461F0" w:rsidRPr="00184B53" w:rsidRDefault="009461F0" w:rsidP="009461F0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4A10DC55" w14:textId="77777777" w:rsidR="009461F0" w:rsidRPr="00184B53" w:rsidRDefault="009461F0" w:rsidP="009461F0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Правові аспекти.</w:t>
      </w:r>
    </w:p>
    <w:p w14:paraId="03E17DDA" w14:textId="77777777" w:rsidR="009461F0" w:rsidRPr="00184B53" w:rsidRDefault="009461F0" w:rsidP="009461F0">
      <w:pPr>
        <w:shd w:val="clear" w:color="auto" w:fill="FFFFFF"/>
        <w:spacing w:after="0" w:line="21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Закони України «Про Національну поліцію», «Про місцеве самоврядування в Україні».</w:t>
      </w:r>
    </w:p>
    <w:p w14:paraId="7CA5C6EB" w14:textId="77777777" w:rsidR="009461F0" w:rsidRPr="00184B53" w:rsidRDefault="009461F0" w:rsidP="009461F0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7ECD2472" w14:textId="77777777" w:rsidR="009461F0" w:rsidRPr="00184B53" w:rsidRDefault="009461F0" w:rsidP="009461F0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Фінансово-економічне обґрунтування.</w:t>
      </w:r>
    </w:p>
    <w:p w14:paraId="1EFC2C04" w14:textId="77777777" w:rsidR="009461F0" w:rsidRPr="009633FB" w:rsidRDefault="009461F0" w:rsidP="009461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A520F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Прийняття даного рішення виділення коштів не потребує</w:t>
      </w:r>
      <w:r w:rsidRPr="00ED391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14:paraId="4B316002" w14:textId="77777777" w:rsidR="009461F0" w:rsidRPr="00184B53" w:rsidRDefault="009461F0" w:rsidP="009461F0">
      <w:pPr>
        <w:shd w:val="clear" w:color="auto" w:fill="FFFFFF"/>
        <w:spacing w:after="0" w:line="216" w:lineRule="auto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403CFC4D" w14:textId="77777777" w:rsidR="009461F0" w:rsidRPr="00184B53" w:rsidRDefault="009461F0" w:rsidP="009461F0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Прогноз результатів.</w:t>
      </w:r>
    </w:p>
    <w:p w14:paraId="7EA7EC10" w14:textId="77777777" w:rsidR="009461F0" w:rsidRPr="00184B53" w:rsidRDefault="009461F0" w:rsidP="009461F0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Покращення якості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регіонального безпекового середовища на території Броварської громади шляхом забезпечення Броварське РУП ГУНП службовими автомобілями, паливно-мастильними матеріалами та запчастинами, розхідними та іншими матеріалами, технікою необхідною для забезпечення функціонування управління.</w:t>
      </w:r>
    </w:p>
    <w:p w14:paraId="0B1816B4" w14:textId="77777777" w:rsidR="009461F0" w:rsidRPr="00FD7664" w:rsidRDefault="009461F0" w:rsidP="009461F0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Реалізації Київським НДУКЦ МВС першочергових завдань, що стосуються проведення судових експертиз, розвитку і підтримки науково-експертної діяльності у суспільних інтересах, залучення судових експертів до 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lastRenderedPageBreak/>
        <w:t>заходів пов’язаних з дослідженням та ідентифікацією невпізнаних трупів та їх останків, металевих уламків від ракет і безпілотників.</w:t>
      </w:r>
    </w:p>
    <w:p w14:paraId="362BB8A7" w14:textId="77777777" w:rsidR="009461F0" w:rsidRPr="00184B53" w:rsidRDefault="009461F0" w:rsidP="009461F0">
      <w:pPr>
        <w:shd w:val="clear" w:color="auto" w:fill="FFFFFF"/>
        <w:spacing w:after="0" w:line="21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4657C086" w14:textId="77777777" w:rsidR="009461F0" w:rsidRPr="00184B53" w:rsidRDefault="009461F0" w:rsidP="009461F0">
      <w:pPr>
        <w:keepNext/>
        <w:keepLines/>
        <w:widowControl w:val="0"/>
        <w:spacing w:after="0" w:line="216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Суб’єкт подання проекту рішення.</w:t>
      </w:r>
    </w:p>
    <w:p w14:paraId="2F81B710" w14:textId="77777777" w:rsidR="009461F0" w:rsidRPr="00184B53" w:rsidRDefault="009461F0" w:rsidP="009461F0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1E58A73F" w14:textId="1ECC3461" w:rsidR="009461F0" w:rsidRPr="00184B53" w:rsidRDefault="009461F0" w:rsidP="009461F0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Доповідач: Довгань Василь Григорович</w:t>
      </w:r>
      <w:r w:rsidR="00F716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F716CD" w:rsidRPr="00F716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–</w:t>
      </w:r>
      <w:r w:rsidR="00F716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4A14EBD6" w14:textId="789276B1" w:rsidR="009461F0" w:rsidRPr="00184B53" w:rsidRDefault="009461F0" w:rsidP="009461F0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Відповідальна особа за підготовку про</w:t>
      </w:r>
      <w:r w:rsidR="00E17E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є</w:t>
      </w: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кту рішення: Підпокровний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1FA84351" w14:textId="77777777" w:rsidR="009461F0" w:rsidRPr="00B34F7F" w:rsidRDefault="009461F0" w:rsidP="009461F0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152B3459" w14:textId="2E7F779C" w:rsidR="009461F0" w:rsidRDefault="009461F0" w:rsidP="00946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7. </w:t>
      </w:r>
      <w:r w:rsidRPr="00946C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p w14:paraId="6B1C77CB" w14:textId="77777777" w:rsidR="009461F0" w:rsidRPr="00946C85" w:rsidRDefault="009461F0" w:rsidP="00946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37"/>
        <w:gridCol w:w="2315"/>
        <w:gridCol w:w="2788"/>
        <w:gridCol w:w="2032"/>
      </w:tblGrid>
      <w:tr w:rsidR="009C7192" w:rsidRPr="00946C85" w14:paraId="5A751305" w14:textId="77777777" w:rsidTr="00E17E25">
        <w:trPr>
          <w:trHeight w:val="45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B4D8" w14:textId="4D181BE4" w:rsidR="009C7192" w:rsidRPr="00946C85" w:rsidRDefault="009C7192" w:rsidP="009C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Стара редакція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8A8D" w14:textId="77777777" w:rsidR="009C7192" w:rsidRPr="00946C85" w:rsidRDefault="009C7192" w:rsidP="00B11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</w:t>
            </w: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 редакція</w:t>
            </w:r>
          </w:p>
        </w:tc>
      </w:tr>
      <w:tr w:rsidR="009C7192" w:rsidRPr="00946C85" w14:paraId="1B26EECA" w14:textId="77777777" w:rsidTr="00E17E25">
        <w:trPr>
          <w:trHeight w:val="6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91D0" w14:textId="77777777" w:rsidR="009C7192" w:rsidRPr="00946C85" w:rsidRDefault="009C7192" w:rsidP="00B11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№з/п</w:t>
            </w:r>
          </w:p>
          <w:p w14:paraId="1851C117" w14:textId="77777777" w:rsidR="009C7192" w:rsidRPr="00B30DD7" w:rsidRDefault="009C7192" w:rsidP="00B111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51BF" w14:textId="77777777" w:rsidR="009C7192" w:rsidRPr="00555831" w:rsidRDefault="009C7192" w:rsidP="00B11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D51E" w14:textId="77777777" w:rsidR="009C7192" w:rsidRPr="00F323AD" w:rsidRDefault="009C7192" w:rsidP="00B11190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CF68A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Перелік заходів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Pr="00CF68A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програми</w:t>
            </w:r>
          </w:p>
          <w:p w14:paraId="4498E72D" w14:textId="77777777" w:rsidR="009C7192" w:rsidRPr="00F323AD" w:rsidRDefault="009C7192" w:rsidP="00B11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3931FDC9" w14:textId="1E2B4252" w:rsidR="009C7192" w:rsidRPr="00946C85" w:rsidRDefault="009C7192" w:rsidP="00B11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CF93" w14:textId="77777777" w:rsidR="009C7192" w:rsidRPr="00AA3E12" w:rsidRDefault="009C7192" w:rsidP="00B11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6AE52626" w14:textId="77777777" w:rsidR="009C7192" w:rsidRPr="00DE5DA7" w:rsidRDefault="009C7192" w:rsidP="00B11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6B23" w14:textId="1A2FB456" w:rsidR="009C7192" w:rsidRPr="00946C85" w:rsidRDefault="009C7192" w:rsidP="00B11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</w:tr>
      <w:tr w:rsidR="009C7192" w14:paraId="5AD83462" w14:textId="77777777" w:rsidTr="00E17E25">
        <w:trPr>
          <w:trHeight w:val="8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8364" w14:textId="77777777" w:rsidR="009C7192" w:rsidRDefault="009C7192" w:rsidP="00B1119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5C28" w14:textId="77777777" w:rsidR="009C7192" w:rsidRPr="00A76D0F" w:rsidRDefault="009C7192" w:rsidP="00B11190">
            <w:pPr>
              <w:spacing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Матеріальне технічне забезпечення Київського Науково-Дослідного Експертно-Криміналістичного Центру МВС України</w:t>
            </w: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FFE" w14:textId="269EB1F5" w:rsidR="009C7192" w:rsidRDefault="009C7192" w:rsidP="00B11190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Пр</w:t>
            </w:r>
            <w:r w:rsidR="00E17E25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и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дбання для Київського Науково-Дослідного Експертно-Криміналістичного Центру МВС України:</w:t>
            </w:r>
          </w:p>
          <w:p w14:paraId="1573F360" w14:textId="77777777" w:rsidR="009C7192" w:rsidRPr="00A12A90" w:rsidRDefault="009C7192" w:rsidP="00B11190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комплекта двоканального газового хроматографа</w:t>
            </w:r>
          </w:p>
          <w:p w14:paraId="371B9EB9" w14:textId="68FEE3BF" w:rsidR="009C7192" w:rsidRDefault="009C7192" w:rsidP="00B11190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39A4EAF6" w14:textId="77777777" w:rsidR="009C7192" w:rsidRDefault="009C7192" w:rsidP="00B1119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AB59" w14:textId="77777777" w:rsidR="009C7192" w:rsidRPr="00E046A9" w:rsidRDefault="009C7192" w:rsidP="00B11190">
            <w:pPr>
              <w:spacing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Матеріальне технічне забезпечення Київського Науково-Дослідного Експертно-Криміналістичного Центру МВС України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6862" w14:textId="311DC053" w:rsidR="009C7192" w:rsidRDefault="009C7192" w:rsidP="00B11190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Пр</w:t>
            </w:r>
            <w:r w:rsidR="00E17E25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и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дбання для Київського Науково-Дослідного Експертно-Криміналістичного Центру МВС України:</w:t>
            </w:r>
          </w:p>
          <w:p w14:paraId="319EC1E6" w14:textId="77777777" w:rsidR="009C7192" w:rsidRPr="00B51EC0" w:rsidRDefault="009C7192" w:rsidP="00B11190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комплекта двоканального газового хроматографа та витратних матеріалів для проведення молекулярно-генетичних та фізико-хімічних досліджень</w:t>
            </w:r>
          </w:p>
          <w:p w14:paraId="5E377BD5" w14:textId="7EB645C0" w:rsidR="009C7192" w:rsidRPr="00946C85" w:rsidRDefault="009C7192" w:rsidP="00B11190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FF165B9" w14:textId="11968408" w:rsidR="009C7192" w:rsidRDefault="009C7192" w:rsidP="00B11190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</w:tr>
      <w:tr w:rsidR="009C7192" w:rsidRPr="00946C85" w14:paraId="41CC143A" w14:textId="77777777" w:rsidTr="00E1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8D10" w14:textId="77777777" w:rsidR="009C7192" w:rsidRPr="00946C85" w:rsidRDefault="009C7192" w:rsidP="00B11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6326" w14:textId="77777777" w:rsidR="009C7192" w:rsidRPr="00946C85" w:rsidRDefault="009C7192" w:rsidP="00B11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DC61" w14:textId="10EA216C" w:rsidR="009C7192" w:rsidRPr="00946C85" w:rsidRDefault="009C7192" w:rsidP="009C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24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490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8D23" w14:textId="72040E73" w:rsidR="009C7192" w:rsidRPr="00946C85" w:rsidRDefault="009C7192" w:rsidP="00B11190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4976" w14:textId="77777777" w:rsidR="009C7192" w:rsidRPr="00946C85" w:rsidRDefault="009C7192" w:rsidP="009C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164AA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4</w:t>
            </w:r>
            <w:r w:rsidRPr="00164AA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490</w:t>
            </w:r>
            <w:r w:rsidRPr="00164AA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,4</w:t>
            </w:r>
          </w:p>
        </w:tc>
      </w:tr>
    </w:tbl>
    <w:p w14:paraId="4D30BF2D" w14:textId="78E99FB6" w:rsidR="009461F0" w:rsidRDefault="009461F0" w:rsidP="009461F0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35A110D0" w14:textId="77777777" w:rsidR="009461F0" w:rsidRPr="00946C85" w:rsidRDefault="009461F0" w:rsidP="009461F0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6222ED79" w14:textId="77777777" w:rsidR="009461F0" w:rsidRDefault="009461F0" w:rsidP="00E17E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управління цивільного</w:t>
      </w:r>
    </w:p>
    <w:p w14:paraId="70FD29C6" w14:textId="77777777" w:rsidR="009461F0" w:rsidRDefault="009461F0" w:rsidP="00E17E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захисту, оборонної роботи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та </w:t>
      </w:r>
    </w:p>
    <w:p w14:paraId="3D5747F3" w14:textId="1C100E33" w:rsidR="009B7D79" w:rsidRPr="009461F0" w:rsidRDefault="009461F0" w:rsidP="00E17E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взаємодії з правоохоронними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Василь ДОВГАНЬ</w:t>
      </w:r>
    </w:p>
    <w:sectPr w:rsidR="009B7D79" w:rsidRPr="009461F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461F0"/>
    <w:rsid w:val="009B7D79"/>
    <w:rsid w:val="009C0EEF"/>
    <w:rsid w:val="009C10C6"/>
    <w:rsid w:val="009C7192"/>
    <w:rsid w:val="00A218AE"/>
    <w:rsid w:val="00B35D4C"/>
    <w:rsid w:val="00B46089"/>
    <w:rsid w:val="00B80167"/>
    <w:rsid w:val="00BF6942"/>
    <w:rsid w:val="00D5049E"/>
    <w:rsid w:val="00D92C45"/>
    <w:rsid w:val="00DD7BFD"/>
    <w:rsid w:val="00E17E25"/>
    <w:rsid w:val="00F716C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C27A"/>
  <w15:docId w15:val="{8622EA23-F669-41A6-9689-C29AE7EF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946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2025-11-07T07:34:00Z</cp:lastPrinted>
  <dcterms:created xsi:type="dcterms:W3CDTF">2021-03-03T14:03:00Z</dcterms:created>
  <dcterms:modified xsi:type="dcterms:W3CDTF">2025-11-07T08:18:00Z</dcterms:modified>
</cp:coreProperties>
</file>