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099C" w14:textId="77777777" w:rsidR="005B1C08" w:rsidRDefault="00000000" w:rsidP="00E60E83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558897A" w14:textId="77777777" w:rsidR="005B1C08" w:rsidRPr="005B1C08" w:rsidRDefault="005B1C08" w:rsidP="00E60E83">
      <w:pPr>
        <w:spacing w:after="0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DC4467C" w14:textId="2103DE18" w:rsidR="00E60E83" w:rsidRPr="00B71F74" w:rsidRDefault="00000000" w:rsidP="00E60E83">
      <w:pPr>
        <w:pStyle w:val="a3"/>
        <w:spacing w:before="0" w:beforeAutospacing="0" w:after="0" w:afterAutospacing="0" w:line="151" w:lineRule="atLeast"/>
        <w:ind w:right="-1"/>
        <w:jc w:val="center"/>
        <w:rPr>
          <w:b/>
          <w:bCs/>
          <w:color w:val="202020"/>
          <w:sz w:val="28"/>
          <w:szCs w:val="28"/>
        </w:rPr>
      </w:pPr>
      <w:r w:rsidRPr="005B1C08">
        <w:rPr>
          <w:sz w:val="28"/>
          <w:szCs w:val="28"/>
        </w:rPr>
        <w:t>до проекту рішення</w:t>
      </w:r>
      <w:r>
        <w:rPr>
          <w:b/>
          <w:sz w:val="28"/>
          <w:szCs w:val="28"/>
        </w:rPr>
        <w:t xml:space="preserve"> </w:t>
      </w:r>
      <w:r w:rsidR="00E60E83" w:rsidRPr="00C92DC8">
        <w:rPr>
          <w:b/>
          <w:sz w:val="28"/>
          <w:szCs w:val="28"/>
        </w:rPr>
        <w:t>«</w:t>
      </w:r>
      <w:r w:rsidR="00E60E83" w:rsidRPr="00153AC0">
        <w:rPr>
          <w:b/>
          <w:bCs/>
          <w:color w:val="202020"/>
          <w:sz w:val="28"/>
          <w:szCs w:val="28"/>
        </w:rPr>
        <w:t xml:space="preserve">Про </w:t>
      </w:r>
      <w:r w:rsidR="00E60E83">
        <w:rPr>
          <w:b/>
          <w:bCs/>
          <w:color w:val="202020"/>
          <w:sz w:val="28"/>
          <w:szCs w:val="28"/>
        </w:rPr>
        <w:t xml:space="preserve">затвердження </w:t>
      </w:r>
      <w:r w:rsidR="00E60E83" w:rsidRPr="00153AC0">
        <w:rPr>
          <w:b/>
          <w:bCs/>
          <w:sz w:val="28"/>
          <w:szCs w:val="28"/>
        </w:rPr>
        <w:t xml:space="preserve">структури </w:t>
      </w:r>
      <w:r w:rsidR="00E60E83">
        <w:rPr>
          <w:b/>
          <w:bCs/>
          <w:sz w:val="28"/>
          <w:szCs w:val="28"/>
        </w:rPr>
        <w:t xml:space="preserve">та </w:t>
      </w:r>
      <w:r w:rsidR="00E60E83" w:rsidRPr="00153AC0">
        <w:rPr>
          <w:b/>
          <w:bCs/>
          <w:sz w:val="28"/>
          <w:szCs w:val="28"/>
        </w:rPr>
        <w:t>загальної штатної чисельності виконавчих органів Броварської міської ради Броварського району Київської області</w:t>
      </w:r>
      <w:r w:rsidR="00E60E83" w:rsidRPr="00C92DC8">
        <w:rPr>
          <w:b/>
          <w:sz w:val="28"/>
        </w:rPr>
        <w:t>»</w:t>
      </w:r>
    </w:p>
    <w:p w14:paraId="6DD0EBF2" w14:textId="77777777" w:rsidR="00E60E83" w:rsidRPr="00AD2BA2" w:rsidRDefault="00E60E83" w:rsidP="00E60E83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02F88825" w14:textId="77777777" w:rsidR="00E60E83" w:rsidRPr="00090B13" w:rsidRDefault="00E60E83" w:rsidP="00E60E83">
      <w:pPr>
        <w:suppressAutoHyphens/>
        <w:spacing w:after="6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26B69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138BB635" w14:textId="77777777" w:rsidR="00E60E83" w:rsidRPr="00827775" w:rsidRDefault="00E60E83" w:rsidP="00E60E83">
      <w:pPr>
        <w:keepNext/>
        <w:numPr>
          <w:ilvl w:val="1"/>
          <w:numId w:val="1"/>
        </w:numPr>
        <w:suppressAutoHyphens/>
        <w:spacing w:after="60" w:line="240" w:lineRule="auto"/>
        <w:ind w:left="14" w:right="-1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71D9BCA9" w14:textId="77777777" w:rsidR="00E60E83" w:rsidRPr="00FE2827" w:rsidRDefault="00E60E83" w:rsidP="00E60E83">
      <w:pPr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A03B99">
        <w:rPr>
          <w:rFonts w:ascii="Times New Roman" w:hAnsi="Times New Roman"/>
          <w:sz w:val="28"/>
          <w:szCs w:val="28"/>
          <w:lang w:val="uk-UA" w:eastAsia="zh-CN"/>
        </w:rPr>
        <w:t xml:space="preserve">У зв’язку з оптимізацією роботи управління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соціального захисту населення </w:t>
      </w:r>
      <w:r w:rsidRPr="00A03B99">
        <w:rPr>
          <w:rFonts w:ascii="Times New Roman" w:hAnsi="Times New Roman"/>
          <w:sz w:val="28"/>
          <w:szCs w:val="28"/>
          <w:lang w:val="uk-UA" w:eastAsia="zh-CN"/>
        </w:rPr>
        <w:t xml:space="preserve">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uk-UA" w:eastAsia="zh-CN"/>
        </w:rPr>
        <w:t>та кадровими змінами</w:t>
      </w:r>
      <w:r w:rsidRPr="00A03B99">
        <w:rPr>
          <w:rFonts w:ascii="Times New Roman" w:hAnsi="Times New Roman"/>
          <w:sz w:val="28"/>
          <w:szCs w:val="28"/>
          <w:lang w:val="uk-UA" w:eastAsia="zh-CN"/>
        </w:rPr>
        <w:t>,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зменшенням кількості звернень мешканців Броварської міської територіальної щодо призначення та виплати окремих видів державної соціальної допомоги, соціальних стипендій</w:t>
      </w:r>
      <w:r w:rsidRPr="00A03B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03B9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bookmarkStart w:id="0" w:name="_Hlk206515173"/>
      <w:r w:rsidRPr="00A03B99">
        <w:rPr>
          <w:rFonts w:ascii="Times New Roman" w:hAnsi="Times New Roman"/>
          <w:sz w:val="28"/>
          <w:szCs w:val="28"/>
          <w:lang w:val="uk-UA" w:eastAsia="zh-CN"/>
        </w:rPr>
        <w:t xml:space="preserve">виникла необхідність розгляду даного проекту рішення та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зменшення </w:t>
      </w:r>
      <w:r w:rsidRPr="00A03B99">
        <w:rPr>
          <w:rFonts w:ascii="Times New Roman" w:hAnsi="Times New Roman"/>
          <w:sz w:val="28"/>
          <w:szCs w:val="28"/>
          <w:lang w:val="uk-UA" w:eastAsia="zh-CN"/>
        </w:rPr>
        <w:t xml:space="preserve">штату управління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соціального захисту населення </w:t>
      </w:r>
      <w:r w:rsidRPr="00A03B99">
        <w:rPr>
          <w:rFonts w:ascii="Times New Roman" w:hAnsi="Times New Roman"/>
          <w:sz w:val="28"/>
          <w:szCs w:val="28"/>
          <w:lang w:val="uk-UA" w:eastAsia="zh-CN"/>
        </w:rPr>
        <w:t>Броварської міської ради Броварського району Київської області на 1 (одну) штатну одиницю</w:t>
      </w:r>
      <w:bookmarkEnd w:id="0"/>
      <w:r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49279315" w14:textId="77777777" w:rsidR="00E60E83" w:rsidRPr="00E60E83" w:rsidRDefault="00E60E83" w:rsidP="00E60E83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  <w:r w:rsidRPr="00E60E83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У зв’язку з реалізацію державної політики щодо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питан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F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публічними</w:t>
      </w:r>
      <w:proofErr w:type="spellEnd"/>
      <w:r w:rsidRPr="000F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інвестиціями</w:t>
      </w:r>
      <w:proofErr w:type="spellEnd"/>
      <w:r w:rsidRPr="00E60E83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 та утворенням </w:t>
      </w:r>
      <w:r w:rsidRPr="000F2971">
        <w:rPr>
          <w:rFonts w:ascii="Times New Roman" w:hAnsi="Times New Roman" w:cs="Times New Roman"/>
          <w:sz w:val="28"/>
          <w:szCs w:val="28"/>
        </w:rPr>
        <w:t>сектор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F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інвестиційної</w:t>
      </w:r>
      <w:proofErr w:type="spellEnd"/>
      <w:r w:rsidRPr="000F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F297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0F2971">
        <w:t xml:space="preserve">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0F29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0F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звꞌязків</w:t>
      </w:r>
      <w:proofErr w:type="spellEnd"/>
      <w:r w:rsidRPr="000F2971">
        <w:t xml:space="preserve">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F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0F29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0F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0F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0F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0F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F2971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0F2971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0F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971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0F29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E83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виникла необхідність збільшення штату даного управління на 1 (одну) штатну одиницю.</w:t>
      </w:r>
    </w:p>
    <w:p w14:paraId="0E4277DB" w14:textId="77777777" w:rsidR="00E60E83" w:rsidRPr="000F2971" w:rsidRDefault="00E60E83" w:rsidP="00E60E8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FCBD44" w14:textId="77777777" w:rsidR="00E60E83" w:rsidRPr="003C6AA9" w:rsidRDefault="00E60E83" w:rsidP="00E60E83">
      <w:pPr>
        <w:tabs>
          <w:tab w:val="left" w:pos="1134"/>
          <w:tab w:val="left" w:pos="1276"/>
        </w:tabs>
        <w:suppressAutoHyphens/>
        <w:spacing w:after="60" w:line="240" w:lineRule="auto"/>
        <w:ind w:right="-1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48F58FBA" w14:textId="77777777" w:rsidR="00E60E83" w:rsidRPr="006B7DCE" w:rsidRDefault="00E60E83" w:rsidP="00E60E83">
      <w:pPr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кт рішення</w:t>
      </w:r>
      <w:r w:rsidRPr="00804EA1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C92DC8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підготовлено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 метою відображення та затвердження, згідно чинного законодавства України </w:t>
      </w:r>
      <w:r w:rsidRPr="009B53B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загальної штатної чисельності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та 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всіх структурних підрозділів </w:t>
      </w:r>
      <w:r w:rsidRPr="00804E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Броварської міської ради Броварського району Київської області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14:paraId="0F97AAFD" w14:textId="77777777" w:rsidR="00E60E83" w:rsidRDefault="00E60E83" w:rsidP="00E60E83">
      <w:pPr>
        <w:suppressAutoHyphens/>
        <w:spacing w:after="60" w:line="240" w:lineRule="auto"/>
        <w:ind w:right="-1"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48876C46" w14:textId="77777777" w:rsidR="00E60E83" w:rsidRPr="003C6AA9" w:rsidRDefault="00E60E83" w:rsidP="00E60E83">
      <w:pPr>
        <w:spacing w:after="60" w:line="240" w:lineRule="auto"/>
        <w:ind w:right="-1" w:firstLine="5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Питання, що відносяться до предмету правового регулювання 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кту рішення </w:t>
      </w:r>
      <w:r w:rsidRPr="003C6AA9">
        <w:rPr>
          <w:rFonts w:ascii="Times New Roman" w:eastAsia="Times New Roman" w:hAnsi="Times New Roman" w:cs="Times New Roman"/>
          <w:sz w:val="28"/>
          <w:lang w:val="uk-UA"/>
        </w:rPr>
        <w:t>Броварської міської ради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регулюються Конституцією України, 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Кодексом законів про працю України, 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«Про оплату праці», «Про Державний бюджет України на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рік», «Про місцеве самоврядування в Україні», «Про службу в органах місцевого самоврядування», Бюджетного кодексу України.</w:t>
      </w:r>
    </w:p>
    <w:p w14:paraId="0E519465" w14:textId="77777777" w:rsidR="00E60E83" w:rsidRPr="00FC33D9" w:rsidRDefault="00E60E83" w:rsidP="00E60E83">
      <w:pPr>
        <w:suppressAutoHyphens/>
        <w:spacing w:after="60" w:line="240" w:lineRule="auto"/>
        <w:ind w:right="-1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6AB6ADCC" w14:textId="77777777" w:rsidR="00E60E83" w:rsidRPr="00EB6CBB" w:rsidRDefault="00E60E83" w:rsidP="00E60E83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Прийняття даного</w:t>
      </w: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проекту рішення потребує фінансування з місцевого 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у</w:t>
      </w:r>
    </w:p>
    <w:p w14:paraId="7D365368" w14:textId="77777777" w:rsidR="00E60E83" w:rsidRPr="00EB6CBB" w:rsidRDefault="00E60E83" w:rsidP="00E60E83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Розрахунок заробітної плати:</w:t>
      </w:r>
    </w:p>
    <w:p w14:paraId="282AB6FE" w14:textId="77777777" w:rsidR="00E60E83" w:rsidRDefault="00E60E83" w:rsidP="00E60E83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завідувач сектору </w:t>
      </w: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згідно штатного розпису (посадовий оклад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9540</w:t>
      </w: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,00 грн, надбавка за ранг, надбавка за вислугу років)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;</w:t>
      </w:r>
    </w:p>
    <w:p w14:paraId="09BAEBA5" w14:textId="77777777" w:rsidR="00E60E83" w:rsidRDefault="00E60E83" w:rsidP="00E60E83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lastRenderedPageBreak/>
        <w:t>- головний спеціаліст</w:t>
      </w: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згідно штатного розпису (посадовий оклад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8601</w:t>
      </w: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,00 грн, надбавка за ранг, надбавка за вислугу років)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</w:t>
      </w:r>
    </w:p>
    <w:p w14:paraId="62EEC359" w14:textId="77777777" w:rsidR="00E60E83" w:rsidRDefault="00E60E83" w:rsidP="00E60E83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CC92630" w14:textId="77777777" w:rsidR="00E60E83" w:rsidRDefault="00E60E83" w:rsidP="00E60E83">
      <w:pPr>
        <w:suppressAutoHyphens/>
        <w:spacing w:after="60" w:line="240" w:lineRule="auto"/>
        <w:ind w:right="-1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4BCAFF1D" w14:textId="77777777" w:rsidR="00E60E83" w:rsidRDefault="00E60E83" w:rsidP="00E60E83">
      <w:pPr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7DC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Створення належної ресурсної бази для здійснення повноважень органів місцевого самоврядування, </w:t>
      </w:r>
      <w:r w:rsidRPr="006B7D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ефективного функціонування виконавчих органів міської ради та її структурних підрозділів,</w:t>
      </w:r>
      <w:r w:rsidRPr="006B7D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ефективне використання бюджетних коштів, передбачених на 2025 рік.</w:t>
      </w:r>
    </w:p>
    <w:p w14:paraId="45A9E928" w14:textId="77777777" w:rsidR="00E60E83" w:rsidRPr="006B7DCE" w:rsidRDefault="00E60E83" w:rsidP="00E60E83">
      <w:pPr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627368" w14:textId="77777777" w:rsidR="00E60E83" w:rsidRDefault="00E60E83" w:rsidP="00E60E83">
      <w:pPr>
        <w:spacing w:after="60" w:line="240" w:lineRule="auto"/>
        <w:ind w:right="-1"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14:paraId="35F22863" w14:textId="77777777" w:rsidR="00E60E83" w:rsidRPr="00C92DC8" w:rsidRDefault="00E60E83" w:rsidP="00E60E83">
      <w:pPr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Доповідач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по проекту рішення: </w:t>
      </w:r>
      <w:r w:rsidRPr="00C92D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Кузнєцов Костянтин Валентинович, начальник управління </w:t>
      </w:r>
      <w:r w:rsidRPr="00C92DC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26041C02" w14:textId="77777777" w:rsidR="00E60E83" w:rsidRPr="00C92DC8" w:rsidRDefault="00E60E83" w:rsidP="00E60E83">
      <w:pPr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B0C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Відповідальна особа за підготовку проекту рішення: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B0C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Кузнєцов Костянтин Валентинович,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06B33B7E" w14:textId="77777777" w:rsidR="00E60E83" w:rsidRDefault="00E60E83" w:rsidP="00E60E83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0E59DF"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>7. Порівняльна таблиця</w:t>
      </w:r>
    </w:p>
    <w:p w14:paraId="24FDFE2F" w14:textId="77777777" w:rsidR="00E60E83" w:rsidRDefault="00E60E83" w:rsidP="00E60E83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3F0D0766" w14:textId="77777777" w:rsidR="00E60E83" w:rsidRDefault="00E60E83" w:rsidP="00E60E83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0E59DF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7.1.Було </w:t>
      </w:r>
    </w:p>
    <w:p w14:paraId="71E1A1FA" w14:textId="77777777" w:rsidR="00E60E83" w:rsidRDefault="00E60E83" w:rsidP="00E60E83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1525"/>
      </w:tblGrid>
      <w:tr w:rsidR="00E60E83" w:rsidRPr="00862278" w14:paraId="5E0DEFBF" w14:textId="77777777" w:rsidTr="00767444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F06C" w14:textId="77777777" w:rsidR="00E60E83" w:rsidRPr="00862278" w:rsidRDefault="00E60E83" w:rsidP="00E60E8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6223" w14:textId="77777777" w:rsidR="00E60E83" w:rsidRPr="00862278" w:rsidRDefault="00E60E83" w:rsidP="00E60E83">
            <w:pPr>
              <w:autoSpaceDE w:val="0"/>
              <w:autoSpaceDN w:val="0"/>
              <w:adjustRightInd w:val="0"/>
              <w:spacing w:line="309" w:lineRule="exact"/>
              <w:ind w:left="14" w:right="-1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98C7" w14:textId="77777777" w:rsidR="00E60E83" w:rsidRPr="00862278" w:rsidRDefault="00E60E83" w:rsidP="00E60E8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E60E83" w:rsidRPr="00862278" w14:paraId="4917A2A6" w14:textId="77777777" w:rsidTr="00767444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49FA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E2A0" w14:textId="77777777" w:rsidR="00E60E83" w:rsidRPr="00862278" w:rsidRDefault="00E60E83" w:rsidP="00E60E8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1.6.1.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інвестицій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CFB2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E83" w:rsidRPr="00862278" w14:paraId="7B551078" w14:textId="77777777" w:rsidTr="00767444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A2FB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4782" w14:textId="77777777" w:rsidR="00E60E83" w:rsidRPr="00862278" w:rsidRDefault="00E60E83" w:rsidP="00E60E8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1.6.2.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1546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E83" w:rsidRPr="00862278" w14:paraId="6EECE81B" w14:textId="77777777" w:rsidTr="00767444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B6F8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06D0" w14:textId="77777777" w:rsidR="00E60E83" w:rsidRPr="00862278" w:rsidRDefault="00E60E83" w:rsidP="00E60E8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1.6.3.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бізнес-клімату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0E50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E83" w:rsidRPr="00862278" w14:paraId="6FC9A473" w14:textId="77777777" w:rsidTr="00767444">
        <w:tc>
          <w:tcPr>
            <w:tcW w:w="706" w:type="dxa"/>
            <w:vMerge w:val="restart"/>
            <w:hideMark/>
          </w:tcPr>
          <w:p w14:paraId="119133DF" w14:textId="77777777" w:rsidR="00E60E83" w:rsidRPr="00862278" w:rsidRDefault="00E60E83" w:rsidP="00E60E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hideMark/>
          </w:tcPr>
          <w:p w14:paraId="0A7FA065" w14:textId="77777777" w:rsidR="00E60E83" w:rsidRPr="00862278" w:rsidRDefault="00E60E83" w:rsidP="00E60E83">
            <w:pPr>
              <w:widowControl w:val="0"/>
              <w:autoSpaceDE w:val="0"/>
              <w:autoSpaceDN w:val="0"/>
              <w:adjustRightInd w:val="0"/>
              <w:spacing w:line="309" w:lineRule="exact"/>
              <w:ind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hideMark/>
          </w:tcPr>
          <w:p w14:paraId="5D3906E0" w14:textId="77777777" w:rsidR="00E60E83" w:rsidRPr="00862278" w:rsidRDefault="00E60E83" w:rsidP="00E60E8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</w:tr>
      <w:tr w:rsidR="00E60E83" w:rsidRPr="00862278" w14:paraId="4D2DB719" w14:textId="77777777" w:rsidTr="00767444">
        <w:tc>
          <w:tcPr>
            <w:tcW w:w="706" w:type="dxa"/>
            <w:vMerge/>
            <w:hideMark/>
          </w:tcPr>
          <w:p w14:paraId="25B6D141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hideMark/>
          </w:tcPr>
          <w:p w14:paraId="71867FA7" w14:textId="77777777" w:rsidR="00E60E83" w:rsidRPr="00220173" w:rsidRDefault="00E60E83" w:rsidP="00E60E8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Merge/>
            <w:hideMark/>
          </w:tcPr>
          <w:p w14:paraId="4FDC3017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E83" w:rsidRPr="00862278" w14:paraId="15ECBC4D" w14:textId="77777777" w:rsidTr="00767444">
        <w:tc>
          <w:tcPr>
            <w:tcW w:w="706" w:type="dxa"/>
            <w:vMerge/>
            <w:hideMark/>
          </w:tcPr>
          <w:p w14:paraId="6DD624A1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hideMark/>
          </w:tcPr>
          <w:p w14:paraId="4B481991" w14:textId="77777777" w:rsidR="00E60E83" w:rsidRPr="00220173" w:rsidRDefault="00E60E83" w:rsidP="00E60E8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гарантій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hideMark/>
          </w:tcPr>
          <w:p w14:paraId="2809AADE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E83" w:rsidRPr="00862278" w14:paraId="59B38886" w14:textId="77777777" w:rsidTr="00767444">
        <w:tc>
          <w:tcPr>
            <w:tcW w:w="706" w:type="dxa"/>
            <w:vMerge/>
            <w:hideMark/>
          </w:tcPr>
          <w:p w14:paraId="36008B8C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hideMark/>
          </w:tcPr>
          <w:p w14:paraId="4DF64ED4" w14:textId="77777777" w:rsidR="00E60E83" w:rsidRPr="00220173" w:rsidRDefault="00E60E83" w:rsidP="00E60E8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proofErr w:type="spellEnd"/>
          </w:p>
        </w:tc>
        <w:tc>
          <w:tcPr>
            <w:tcW w:w="1525" w:type="dxa"/>
            <w:vMerge/>
            <w:hideMark/>
          </w:tcPr>
          <w:p w14:paraId="7D3AF41A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E83" w:rsidRPr="00862278" w14:paraId="4C9CDAB0" w14:textId="77777777" w:rsidTr="00767444">
        <w:tc>
          <w:tcPr>
            <w:tcW w:w="706" w:type="dxa"/>
            <w:vMerge/>
            <w:hideMark/>
          </w:tcPr>
          <w:p w14:paraId="578958EA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hideMark/>
          </w:tcPr>
          <w:p w14:paraId="4B24F9D9" w14:textId="77777777" w:rsidR="00E60E83" w:rsidRPr="00220173" w:rsidRDefault="00E60E83" w:rsidP="00E60E8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proofErr w:type="spellEnd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525" w:type="dxa"/>
            <w:vMerge/>
            <w:hideMark/>
          </w:tcPr>
          <w:p w14:paraId="6491E8CD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E83" w:rsidRPr="00862278" w14:paraId="5B5CEEDB" w14:textId="77777777" w:rsidTr="00767444">
        <w:tc>
          <w:tcPr>
            <w:tcW w:w="706" w:type="dxa"/>
            <w:vMerge/>
            <w:hideMark/>
          </w:tcPr>
          <w:p w14:paraId="387E6017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hideMark/>
          </w:tcPr>
          <w:p w14:paraId="63391723" w14:textId="77777777" w:rsidR="00E60E83" w:rsidRPr="00220173" w:rsidRDefault="00E60E83" w:rsidP="00E60E8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5.5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525" w:type="dxa"/>
            <w:vMerge/>
            <w:hideMark/>
          </w:tcPr>
          <w:p w14:paraId="2039902E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E83" w:rsidRPr="00862278" w14:paraId="04840DBB" w14:textId="77777777" w:rsidTr="00767444">
        <w:tc>
          <w:tcPr>
            <w:tcW w:w="706" w:type="dxa"/>
          </w:tcPr>
          <w:p w14:paraId="17441F9A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</w:tcPr>
          <w:p w14:paraId="2B7D1AD5" w14:textId="77777777" w:rsidR="00E60E83" w:rsidRDefault="00E60E83" w:rsidP="00E60E8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</w:tcPr>
          <w:p w14:paraId="797B2695" w14:textId="77777777" w:rsidR="00E60E83" w:rsidRPr="00E415B2" w:rsidRDefault="00E60E83" w:rsidP="00E60E8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</w:tbl>
    <w:p w14:paraId="590F6C1D" w14:textId="77777777" w:rsidR="00E60E83" w:rsidRDefault="00E60E83" w:rsidP="00E60E83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3FB382AE" w14:textId="77777777" w:rsidR="00E60E83" w:rsidRDefault="00E60E83" w:rsidP="00E60E83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7.2.Стало</w:t>
      </w:r>
    </w:p>
    <w:p w14:paraId="64A9277F" w14:textId="77777777" w:rsidR="00E60E83" w:rsidRDefault="00E60E83" w:rsidP="00E60E83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1525"/>
      </w:tblGrid>
      <w:tr w:rsidR="00E60E83" w:rsidRPr="00862278" w14:paraId="25087787" w14:textId="77777777" w:rsidTr="00767444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D2E9E" w14:textId="77777777" w:rsidR="00E60E83" w:rsidRPr="00862278" w:rsidRDefault="00E60E83" w:rsidP="00E60E8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4A6D" w14:textId="77777777" w:rsidR="00E60E83" w:rsidRPr="00862278" w:rsidRDefault="00E60E83" w:rsidP="00E60E83">
            <w:pPr>
              <w:autoSpaceDE w:val="0"/>
              <w:autoSpaceDN w:val="0"/>
              <w:adjustRightInd w:val="0"/>
              <w:spacing w:line="309" w:lineRule="exact"/>
              <w:ind w:left="14" w:right="-1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E0812" w14:textId="77777777" w:rsidR="00E60E83" w:rsidRPr="00862278" w:rsidRDefault="00E60E83" w:rsidP="00E60E8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E83" w:rsidRPr="00862278" w14:paraId="2E11AE8A" w14:textId="77777777" w:rsidTr="00767444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E397A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E970" w14:textId="77777777" w:rsidR="00E60E83" w:rsidRPr="00862278" w:rsidRDefault="00E60E83" w:rsidP="00E60E8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1.6.1.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інвестицій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B7203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E83" w:rsidRPr="00862278" w14:paraId="1BC90FA0" w14:textId="77777777" w:rsidTr="00767444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1A89D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8FFC" w14:textId="77777777" w:rsidR="00E60E83" w:rsidRPr="00862278" w:rsidRDefault="00E60E83" w:rsidP="00E60E8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1.6.1.1. Сектор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інвестиційної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6A79E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E83" w:rsidRPr="00862278" w14:paraId="6AA83105" w14:textId="77777777" w:rsidTr="00767444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91B96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EE48" w14:textId="77777777" w:rsidR="00E60E83" w:rsidRPr="00862278" w:rsidRDefault="00E60E83" w:rsidP="00E60E8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1.6.2.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9211D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E83" w:rsidRPr="00862278" w14:paraId="0C851E58" w14:textId="77777777" w:rsidTr="00767444"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84B3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B8D7" w14:textId="77777777" w:rsidR="00E60E83" w:rsidRPr="00862278" w:rsidRDefault="00E60E83" w:rsidP="00E60E8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1.6.3.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бізнес-клімату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0CF0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E83" w:rsidRPr="008A41E8" w14:paraId="2766FE17" w14:textId="77777777" w:rsidTr="00767444">
        <w:tc>
          <w:tcPr>
            <w:tcW w:w="706" w:type="dxa"/>
            <w:vMerge w:val="restart"/>
            <w:hideMark/>
          </w:tcPr>
          <w:p w14:paraId="69E9D08F" w14:textId="77777777" w:rsidR="00E60E83" w:rsidRPr="00862278" w:rsidRDefault="00E60E83" w:rsidP="00E60E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hideMark/>
          </w:tcPr>
          <w:p w14:paraId="49F2FFCD" w14:textId="77777777" w:rsidR="00E60E83" w:rsidRPr="00862278" w:rsidRDefault="00E60E83" w:rsidP="00E60E83">
            <w:pPr>
              <w:widowControl w:val="0"/>
              <w:autoSpaceDE w:val="0"/>
              <w:autoSpaceDN w:val="0"/>
              <w:adjustRightInd w:val="0"/>
              <w:spacing w:line="309" w:lineRule="exact"/>
              <w:ind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hideMark/>
          </w:tcPr>
          <w:p w14:paraId="0A4C2D00" w14:textId="77777777" w:rsidR="00E60E83" w:rsidRPr="008A41E8" w:rsidRDefault="00E60E83" w:rsidP="00E60E8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E60E83" w:rsidRPr="00862278" w14:paraId="05190D75" w14:textId="77777777" w:rsidTr="00767444">
        <w:tc>
          <w:tcPr>
            <w:tcW w:w="706" w:type="dxa"/>
            <w:vMerge/>
            <w:hideMark/>
          </w:tcPr>
          <w:p w14:paraId="352E8ED3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hideMark/>
          </w:tcPr>
          <w:p w14:paraId="5629FFA8" w14:textId="77777777" w:rsidR="00E60E83" w:rsidRPr="00220173" w:rsidRDefault="00E60E83" w:rsidP="00E60E8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Merge/>
            <w:hideMark/>
          </w:tcPr>
          <w:p w14:paraId="2441A30E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E83" w:rsidRPr="00862278" w14:paraId="7F1E33F7" w14:textId="77777777" w:rsidTr="00767444">
        <w:tc>
          <w:tcPr>
            <w:tcW w:w="706" w:type="dxa"/>
            <w:vMerge/>
            <w:hideMark/>
          </w:tcPr>
          <w:p w14:paraId="2D25EBEA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hideMark/>
          </w:tcPr>
          <w:p w14:paraId="22D84282" w14:textId="77777777" w:rsidR="00E60E83" w:rsidRPr="00220173" w:rsidRDefault="00E60E83" w:rsidP="00E60E8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гарантій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hideMark/>
          </w:tcPr>
          <w:p w14:paraId="5D7C282D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E83" w:rsidRPr="00862278" w14:paraId="574AD315" w14:textId="77777777" w:rsidTr="00767444">
        <w:tc>
          <w:tcPr>
            <w:tcW w:w="706" w:type="dxa"/>
            <w:vMerge/>
            <w:hideMark/>
          </w:tcPr>
          <w:p w14:paraId="44BC80F8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hideMark/>
          </w:tcPr>
          <w:p w14:paraId="0EAC75D9" w14:textId="77777777" w:rsidR="00E60E83" w:rsidRPr="00220173" w:rsidRDefault="00E60E83" w:rsidP="00E60E8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proofErr w:type="spellEnd"/>
          </w:p>
        </w:tc>
        <w:tc>
          <w:tcPr>
            <w:tcW w:w="1525" w:type="dxa"/>
            <w:vMerge/>
            <w:hideMark/>
          </w:tcPr>
          <w:p w14:paraId="0931D1D0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E83" w:rsidRPr="00862278" w14:paraId="61CEDD6B" w14:textId="77777777" w:rsidTr="00767444">
        <w:tc>
          <w:tcPr>
            <w:tcW w:w="706" w:type="dxa"/>
            <w:vMerge/>
            <w:hideMark/>
          </w:tcPr>
          <w:p w14:paraId="6C90A125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hideMark/>
          </w:tcPr>
          <w:p w14:paraId="03830474" w14:textId="77777777" w:rsidR="00E60E83" w:rsidRPr="00220173" w:rsidRDefault="00E60E83" w:rsidP="00E60E8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proofErr w:type="spellEnd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525" w:type="dxa"/>
            <w:vMerge/>
            <w:hideMark/>
          </w:tcPr>
          <w:p w14:paraId="544E7AEE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E83" w:rsidRPr="00862278" w14:paraId="503A2A9D" w14:textId="77777777" w:rsidTr="00767444">
        <w:tc>
          <w:tcPr>
            <w:tcW w:w="706" w:type="dxa"/>
            <w:vMerge/>
            <w:hideMark/>
          </w:tcPr>
          <w:p w14:paraId="58112D5B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hideMark/>
          </w:tcPr>
          <w:p w14:paraId="2605F3F2" w14:textId="77777777" w:rsidR="00E60E83" w:rsidRPr="00220173" w:rsidRDefault="00E60E83" w:rsidP="00E60E8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5.5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525" w:type="dxa"/>
            <w:vMerge/>
            <w:hideMark/>
          </w:tcPr>
          <w:p w14:paraId="4D6C565E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E83" w:rsidRPr="00862278" w14:paraId="542EC9A5" w14:textId="77777777" w:rsidTr="00767444">
        <w:tc>
          <w:tcPr>
            <w:tcW w:w="706" w:type="dxa"/>
          </w:tcPr>
          <w:p w14:paraId="6281BA66" w14:textId="77777777" w:rsidR="00E60E83" w:rsidRPr="00862278" w:rsidRDefault="00E60E83" w:rsidP="00E60E83">
            <w:pPr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</w:tcPr>
          <w:p w14:paraId="25D8D471" w14:textId="77777777" w:rsidR="00E60E83" w:rsidRDefault="00E60E83" w:rsidP="00E60E8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</w:tcPr>
          <w:p w14:paraId="0A5AB06C" w14:textId="77777777" w:rsidR="00E60E83" w:rsidRPr="00E415B2" w:rsidRDefault="00E60E83" w:rsidP="00E60E8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</w:tbl>
    <w:p w14:paraId="21FA9171" w14:textId="77777777" w:rsidR="00E60E83" w:rsidRDefault="00E60E83" w:rsidP="00E60E83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24AA4F01" w14:textId="77777777" w:rsidR="00E60E83" w:rsidRDefault="00E60E83" w:rsidP="00E60E83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E60E83" w:rsidRPr="00090B13" w14:paraId="5889BA44" w14:textId="77777777" w:rsidTr="00767444">
        <w:tc>
          <w:tcPr>
            <w:tcW w:w="4680" w:type="dxa"/>
            <w:hideMark/>
          </w:tcPr>
          <w:p w14:paraId="34A5A09F" w14:textId="77777777" w:rsidR="00E60E83" w:rsidRDefault="00E60E83" w:rsidP="00E60E83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10FC3A2" w14:textId="77777777" w:rsidR="00E60E83" w:rsidRPr="00090B13" w:rsidRDefault="00E60E83" w:rsidP="00E60E83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0B13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</w:t>
            </w:r>
            <w:r w:rsidRPr="00090B1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4675" w:type="dxa"/>
          </w:tcPr>
          <w:p w14:paraId="64D10FD1" w14:textId="77777777" w:rsidR="00E60E83" w:rsidRPr="00090B13" w:rsidRDefault="00E60E83" w:rsidP="00E60E83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358A954" w14:textId="77777777" w:rsidR="00E60E83" w:rsidRPr="00090B13" w:rsidRDefault="00E60E83" w:rsidP="00E60E83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B64E4A4" w14:textId="77777777" w:rsidR="00E60E83" w:rsidRDefault="00E60E83" w:rsidP="00E60E83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8A43B5A" w14:textId="77777777" w:rsidR="00E60E83" w:rsidRDefault="00E60E83" w:rsidP="00E60E83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85A205" w14:textId="77777777" w:rsidR="00E60E83" w:rsidRPr="00090B13" w:rsidRDefault="00E60E83" w:rsidP="00E60E83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4A567BF" w14:textId="77777777" w:rsidR="00E60E83" w:rsidRPr="00090B13" w:rsidRDefault="00E60E83" w:rsidP="00E60E83">
            <w:pPr>
              <w:ind w:right="-1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0B13">
              <w:rPr>
                <w:rFonts w:ascii="Times New Roman" w:hAnsi="Times New Roman"/>
                <w:sz w:val="28"/>
                <w:szCs w:val="28"/>
              </w:rPr>
              <w:t>Костянтин</w:t>
            </w:r>
            <w:proofErr w:type="spellEnd"/>
            <w:r w:rsidRPr="00090B13">
              <w:rPr>
                <w:rFonts w:ascii="Times New Roman" w:hAnsi="Times New Roman"/>
                <w:sz w:val="28"/>
                <w:szCs w:val="28"/>
              </w:rPr>
              <w:t xml:space="preserve"> КУЗНЄЦОВ</w:t>
            </w:r>
          </w:p>
        </w:tc>
      </w:tr>
    </w:tbl>
    <w:p w14:paraId="27509773" w14:textId="2C6C1437" w:rsidR="009B7D79" w:rsidRPr="00244FF9" w:rsidRDefault="009B7D79" w:rsidP="00E60E83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E60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50944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7F6E9B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60E8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5834"/>
  <w15:docId w15:val="{3FBAC9ED-DE2F-4276-A1CC-0CE4CCC0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">
    <w:name w:val="Сітка таблиці1"/>
    <w:basedOn w:val="a1"/>
    <w:uiPriority w:val="39"/>
    <w:rsid w:val="00E60E8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60E8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Vera</cp:lastModifiedBy>
  <cp:revision>15</cp:revision>
  <dcterms:created xsi:type="dcterms:W3CDTF">2021-03-03T14:03:00Z</dcterms:created>
  <dcterms:modified xsi:type="dcterms:W3CDTF">2025-10-16T14:11:00Z</dcterms:modified>
</cp:coreProperties>
</file>