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1"/>
        <w:jc w:val="center"/>
        <w:rPr>
          <w:rStyle w:val="C3"/>
          <w:sz w:val="28"/>
          <w:szCs w:val="28"/>
        </w:rPr>
      </w:pPr>
    </w:p>
    <w:p>
      <w:pPr>
        <w:pStyle w:val="P1"/>
        <w:jc w:val="center"/>
        <w:rPr>
          <w:rStyle w:val="C3"/>
          <w:sz w:val="28"/>
          <w:szCs w:val="28"/>
          <w:lang w:val="uk-UA"/>
        </w:rPr>
      </w:pPr>
      <w:r>
        <w:rPr>
          <w:rStyle w:val="C3"/>
          <w:sz w:val="28"/>
          <w:szCs w:val="28"/>
        </w:rPr>
        <w:t>П</w:t>
      </w:r>
      <w:r>
        <w:rPr>
          <w:rStyle w:val="C3"/>
          <w:sz w:val="28"/>
          <w:szCs w:val="28"/>
          <w:lang w:val="uk-UA"/>
        </w:rPr>
        <w:t>ОЯСНЮВАЛЬНА ЗАПИСКА</w:t>
      </w:r>
    </w:p>
    <w:p>
      <w:pPr>
        <w:pStyle w:val="P1"/>
        <w:spacing w:before="0" w:after="0" w:beforeAutospacing="0" w:afterAutospacing="0"/>
        <w:jc w:val="center"/>
        <w:rPr>
          <w:rStyle w:val="C3"/>
          <w:b w:val="0"/>
          <w:bCs w:val="0"/>
          <w:sz w:val="28"/>
          <w:szCs w:val="28"/>
        </w:rPr>
      </w:pPr>
      <w:r>
        <w:rPr>
          <w:rStyle w:val="C3"/>
          <w:b w:val="0"/>
          <w:bCs w:val="0"/>
          <w:sz w:val="28"/>
          <w:szCs w:val="28"/>
        </w:rPr>
        <w:t>до проекту рішення</w:t>
      </w:r>
    </w:p>
    <w:p>
      <w:pPr>
        <w:pStyle w:val="P1"/>
        <w:spacing w:before="0" w:after="0" w:beforeAutospacing="0" w:afterAutospacing="0"/>
        <w:jc w:val="center"/>
        <w:rPr>
          <w:sz w:val="28"/>
          <w:szCs w:val="28"/>
        </w:rPr>
      </w:pPr>
    </w:p>
    <w:p>
      <w:pPr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rFonts w:ascii="Times New Roman" w:hAnsi="Times New Roman"/>
          <w:b w:val="1"/>
          <w:sz w:val="28"/>
          <w:szCs w:val="28"/>
          <w:lang w:val="uk-UA"/>
        </w:rPr>
        <w:t>Про проведення експертної грошової оцінки</w:t>
      </w:r>
    </w:p>
    <w:p>
      <w:pPr>
        <w:pStyle w:val="P2"/>
        <w:outlineLvl w:val="0"/>
        <w:rPr>
          <w:b w:val="1"/>
          <w:sz w:val="28"/>
          <w:szCs w:val="28"/>
          <w:lang w:val="uk-UA"/>
        </w:rPr>
      </w:pPr>
      <w:r>
        <w:rPr>
          <w:b w:val="1"/>
          <w:sz w:val="28"/>
          <w:szCs w:val="28"/>
          <w:lang w:val="uk-UA"/>
        </w:rPr>
        <w:t xml:space="preserve">земельних ділянок для подальшого продажу у власність» </w:t>
      </w:r>
    </w:p>
    <w:p>
      <w:pPr>
        <w:pStyle w:val="P1"/>
        <w:spacing w:before="0" w:after="0" w:beforeAutospacing="0" w:afterAutospacing="0"/>
        <w:jc w:val="center"/>
        <w:rPr>
          <w:b w:val="1"/>
          <w:sz w:val="16"/>
          <w:szCs w:val="16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rStyle w:val="C3"/>
          <w:sz w:val="28"/>
          <w:szCs w:val="28"/>
          <w:lang w:val="uk-UA"/>
        </w:rPr>
        <w:t>1. Обґрунтування необхідності прийняття рішення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16"/>
          <w:szCs w:val="16"/>
          <w:lang w:val="uk-UA"/>
        </w:rPr>
      </w:pPr>
      <w:r>
        <w:rPr>
          <w:rStyle w:val="C3"/>
          <w:sz w:val="28"/>
          <w:szCs w:val="28"/>
          <w:lang w:val="uk-UA"/>
        </w:rPr>
        <w:t>2.</w:t>
      </w:r>
      <w:r>
        <w:rPr>
          <w:rStyle w:val="C3"/>
          <w:sz w:val="28"/>
          <w:szCs w:val="28"/>
        </w:rPr>
        <w:t> </w:t>
      </w:r>
      <w:r>
        <w:rPr>
          <w:rStyle w:val="C3"/>
          <w:sz w:val="28"/>
          <w:szCs w:val="28"/>
          <w:lang w:val="uk-UA"/>
        </w:rPr>
        <w:t>Мета і шляхи її досягнення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Метою прийняття рішення є надання дозволу на проведення експертної грошової оцінки земельних ділянок. На підставі дозволу суб'єктом оціночної діяльності складається звіт про проведення експертної грошової оцінки земельної ділянки. 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rStyle w:val="C3"/>
          <w:sz w:val="28"/>
          <w:szCs w:val="28"/>
          <w:lang w:val="uk-UA"/>
        </w:rPr>
        <w:t>3.</w:t>
      </w:r>
      <w:r>
        <w:rPr>
          <w:rStyle w:val="C3"/>
          <w:sz w:val="28"/>
          <w:szCs w:val="28"/>
        </w:rPr>
        <w:t> </w:t>
      </w:r>
      <w:r>
        <w:rPr>
          <w:rStyle w:val="C3"/>
          <w:sz w:val="28"/>
          <w:szCs w:val="28"/>
          <w:lang w:val="uk-UA"/>
        </w:rPr>
        <w:t xml:space="preserve">Правові аспекти 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Проект рішення підготовлений відповідно до статей 12,122,127,128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юридичних  осіб.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  <w:lang w:val="uk-UA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4. Фінансово-економічне обґрунтування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виділення коштів не потребує.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rStyle w:val="C3"/>
          <w:sz w:val="28"/>
          <w:szCs w:val="28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rStyle w:val="C3"/>
          <w:sz w:val="28"/>
          <w:szCs w:val="28"/>
        </w:rPr>
        <w:t>5. Прогноз результатів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звіту про експертну грошову оцінку земельн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ділян</w:t>
      </w:r>
      <w:r>
        <w:rPr>
          <w:sz w:val="28"/>
          <w:szCs w:val="28"/>
          <w:lang w:val="uk-UA"/>
        </w:rPr>
        <w:t>ки</w:t>
      </w:r>
      <w:r>
        <w:rPr>
          <w:sz w:val="28"/>
          <w:szCs w:val="28"/>
        </w:rPr>
        <w:t xml:space="preserve"> буде визначено ціну </w:t>
      </w:r>
      <w:r>
        <w:rPr>
          <w:sz w:val="28"/>
          <w:szCs w:val="28"/>
          <w:lang w:val="uk-UA"/>
        </w:rPr>
        <w:t xml:space="preserve">продажу </w:t>
      </w:r>
      <w:r>
        <w:rPr>
          <w:sz w:val="28"/>
          <w:szCs w:val="28"/>
        </w:rPr>
        <w:t>земельної ділянки.</w:t>
      </w:r>
    </w:p>
    <w:p>
      <w:pPr>
        <w:pStyle w:val="P1"/>
        <w:spacing w:before="0" w:after="0" w:beforeAutospacing="0" w:afterAutospacing="0"/>
        <w:ind w:firstLine="568" w:left="-284"/>
        <w:jc w:val="both"/>
        <w:rPr>
          <w:b w:val="1"/>
          <w:sz w:val="28"/>
          <w:szCs w:val="28"/>
          <w:lang w:eastAsia="zh-CN"/>
        </w:rPr>
      </w:pPr>
    </w:p>
    <w:p>
      <w:pPr>
        <w:pStyle w:val="P1"/>
        <w:spacing w:before="0" w:after="0" w:beforeAutospacing="0" w:afterAutospacing="0"/>
        <w:ind w:firstLine="568" w:left="-284"/>
        <w:jc w:val="both"/>
        <w:rPr>
          <w:b w:val="1"/>
          <w:sz w:val="28"/>
          <w:szCs w:val="28"/>
          <w:lang w:eastAsia="zh-CN"/>
        </w:rPr>
      </w:pPr>
      <w:r>
        <w:rPr>
          <w:b w:val="1"/>
          <w:sz w:val="28"/>
          <w:szCs w:val="28"/>
          <w:lang w:eastAsia="zh-CN"/>
        </w:rPr>
        <w:t xml:space="preserve">6. Суб’єкт подання проекту рішення 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suppressAutoHyphens w:val="1"/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>
      <w:pPr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firstLine="568" w:left="-284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>
        <w:rPr>
          <w:rFonts w:ascii="Times New Roman" w:hAnsi="Times New Roman"/>
          <w:sz w:val="28"/>
          <w:szCs w:val="28"/>
        </w:rPr>
        <w:t>ачальник 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>
      <w:pPr>
        <w:tabs>
          <w:tab w:val="left" w:pos="5953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земе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>льних ресурсів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Леся ГУДИМЕНКО</w:t>
      </w: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-284"/>
        <w:jc w:val="both"/>
        <w:rPr>
          <w:rFonts w:ascii="Times New Roman" w:hAnsi="Times New Roman"/>
          <w:sz w:val="28"/>
          <w:szCs w:val="28"/>
        </w:rPr>
      </w:pPr>
    </w:p>
    <w:p>
      <w:pPr>
        <w:pStyle w:val="P1"/>
        <w:spacing w:before="0" w:after="0" w:beforeAutospacing="0" w:afterAutospacing="0"/>
        <w:ind w:firstLine="567"/>
        <w:jc w:val="both"/>
        <w:rPr>
          <w:sz w:val="28"/>
          <w:szCs w:val="28"/>
        </w:rPr>
      </w:pPr>
    </w:p>
    <w:sectPr>
      <w:type w:val="nextPage"/>
      <w:pgSz w:w="11906" w:h="16838" w:code="0"/>
      <w:pgMar w:left="1701" w:right="850" w:top="567" w:bottom="99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2">
    <w:name w:val="Title"/>
    <w:basedOn w:val="P0"/>
    <w:link w:val="C4"/>
    <w:qFormat/>
    <w:pPr>
      <w:spacing w:lineRule="auto" w:line="240" w:after="0" w:beforeAutospacing="0" w:afterAutospacing="0"/>
      <w:jc w:val="center"/>
    </w:pPr>
    <w:rPr>
      <w:rFonts w:ascii="Times New Roman" w:hAnsi="Times New Roman"/>
      <w:sz w:val="30"/>
      <w:szCs w:val="20"/>
    </w:rPr>
  </w:style>
  <w:style w:type="paragraph" w:styleId="P3">
    <w:name w:val="Body Text"/>
    <w:basedOn w:val="P0"/>
    <w:link w:val="C5"/>
    <w:semiHidden/>
    <w:pPr>
      <w:spacing w:lineRule="auto" w:line="240" w:after="0" w:beforeAutospacing="0" w:afterAutospacing="0"/>
    </w:pPr>
    <w:rPr>
      <w:rFonts w:ascii="Times New Roman" w:hAnsi="Times New Roman"/>
      <w:sz w:val="28"/>
      <w:szCs w:val="24"/>
      <w:lang w:val="uk-UA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character" w:styleId="C4">
    <w:name w:val="Заголовок Знак"/>
    <w:basedOn w:val="C0"/>
    <w:link w:val="P2"/>
    <w:rPr>
      <w:rFonts w:ascii="Times New Roman" w:hAnsi="Times New Roman"/>
      <w:sz w:val="30"/>
      <w:szCs w:val="20"/>
    </w:rPr>
  </w:style>
  <w:style w:type="character" w:styleId="C5">
    <w:name w:val="Основной текст Знак"/>
    <w:basedOn w:val="C0"/>
    <w:link w:val="P3"/>
    <w:semiHidden/>
    <w:rPr>
      <w:rFonts w:ascii="Times New Roman" w:hAnsi="Times New Roman"/>
      <w:sz w:val="28"/>
      <w:szCs w:val="24"/>
      <w:lang w:val="uk-UA" w:eastAsia="en-US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rPr>
      <w:rFonts w:ascii="Calibri" w:hAnsi="Calibri"/>
    </w:rPr>
    <w:tblPr>
      <w:tblBorders>
        <w:top w:val="single" w:sz="4" w:space="0" w:shadow="0" w:frame="0" w:color="000000" w:themeColor="text1"/>
        <w:left w:val="single" w:sz="4" w:space="0" w:shadow="0" w:frame="0" w:color="000000" w:themeColor="text1"/>
        <w:bottom w:val="single" w:sz="4" w:space="0" w:shadow="0" w:frame="0" w:color="000000" w:themeColor="text1"/>
        <w:right w:val="single" w:sz="4" w:space="0" w:shadow="0" w:frame="0" w:color="000000" w:themeColor="text1"/>
        <w:insideH w:val="single" w:sz="4" w:space="0" w:shadow="0" w:frame="0" w:color="000000" w:themeColor="text1"/>
        <w:insideV w:val="single" w:sz="4" w:space="0" w:shadow="0" w:frame="0" w:color="000000" w:themeColor="text1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API/24.2.6.0</Application>
  <AppVersion>24.2</AppVersion>
  <Company>Home</Company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2025-10-14T11:27:00Z</dcterms:created>
  <cp:lastModifiedBy>ASKOD</cp:lastModifiedBy>
  <cp:lastPrinted>2021-10-22T07:53:00Z</cp:lastPrinted>
  <dcterms:modified xsi:type="dcterms:W3CDTF">2025-10-14T12:00:43Z</dcterms:modified>
  <cp:revision>3</cp:revision>
</cp:coreProperties>
</file>