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F76" w:rsidRDefault="00D24F76" w:rsidP="00D24F76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D24F76" w:rsidRPr="00FB0ACE" w:rsidRDefault="00D24F76" w:rsidP="00D24F76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D24F76" w:rsidRPr="00FB0ACE" w:rsidRDefault="00D24F76" w:rsidP="00D24F76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:rsidR="00D24F76" w:rsidRPr="00FB0ACE" w:rsidRDefault="00D24F76" w:rsidP="00D24F76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24F76" w:rsidRDefault="00D24F76" w:rsidP="00D24F76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24F76" w:rsidRDefault="00D24F76" w:rsidP="00D24F7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Збільшуємо обсяг фінансування по заходу п.1.1.10. «КП «Бровари-Благоустрій» благоустрій території Броварської міської територіальної громади» на «12 300,00»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зарплата-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10 300</w:t>
      </w:r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,00тис.грн.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; послуги та матеріали 2 000,00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</w:p>
    <w:p w:rsidR="00D24F76" w:rsidRDefault="00D24F76" w:rsidP="00D24F7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зменшення видатків за кредитною угодою та приведення їх до кошторису, після завершення робіт на об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єкті: «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загальноосвітньої школи І ступеню по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Симона (Черняховського),17-Б в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області. Коригування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 зменшуємо видатки п.1.2.3. «</w:t>
      </w:r>
      <w:r w:rsidRPr="007C7800">
        <w:rPr>
          <w:rFonts w:ascii="Times New Roman" w:hAnsi="Times New Roman" w:cs="Times New Roman"/>
          <w:sz w:val="28"/>
          <w:szCs w:val="28"/>
          <w:lang w:val="uk-UA"/>
        </w:rPr>
        <w:t>Нове будівництво, реконструкція, капітальний ремонт та благоустрій об''</w:t>
      </w:r>
      <w:proofErr w:type="spellStart"/>
      <w:r w:rsidRPr="007C7800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7C7800">
        <w:rPr>
          <w:rFonts w:ascii="Times New Roman" w:hAnsi="Times New Roman" w:cs="Times New Roman"/>
          <w:sz w:val="28"/>
          <w:szCs w:val="28"/>
          <w:lang w:val="uk-UA"/>
        </w:rPr>
        <w:t xml:space="preserve"> і територій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«220,15625»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D24F76" w:rsidRDefault="00D24F76" w:rsidP="00D24F7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E868E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економією фінансового ресурсу, зменшуємо обсяг фінансування по заходу п.1.1.9. </w:t>
      </w:r>
      <w:r w:rsidRPr="00E868E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868E9">
        <w:rPr>
          <w:rFonts w:ascii="Times New Roman" w:hAnsi="Times New Roman" w:cs="Times New Roman"/>
          <w:color w:val="000000"/>
          <w:sz w:val="28"/>
          <w:szCs w:val="28"/>
        </w:rPr>
        <w:t>СКП "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Броварська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ритуальна служба"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утримання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охорона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кладовищ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захоронення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тіл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непізнаних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та не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витребуваних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; доставка до моргу та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поховання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військовослужбовців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ЗСУ,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членів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оборони та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добровольчих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формувань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правоохоронних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загинули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в заходах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відсічі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збройної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агресії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російської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федерації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68E9">
        <w:rPr>
          <w:rFonts w:ascii="Times New Roman" w:hAnsi="Times New Roman" w:cs="Times New Roman"/>
          <w:color w:val="000000"/>
          <w:sz w:val="28"/>
          <w:szCs w:val="28"/>
        </w:rPr>
        <w:t>громадського</w:t>
      </w:r>
      <w:proofErr w:type="spellEnd"/>
      <w:r w:rsidRPr="00E868E9">
        <w:rPr>
          <w:rFonts w:ascii="Times New Roman" w:hAnsi="Times New Roman" w:cs="Times New Roman"/>
          <w:color w:val="000000"/>
          <w:sz w:val="28"/>
          <w:szCs w:val="28"/>
        </w:rPr>
        <w:t xml:space="preserve"> порядку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«2000,00»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та перенаправляємо на поповнення статутного капіталу СКП БМР БР КО Броварська ритуальна служба для придбання трактора-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екскаватова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D24F76" w:rsidRDefault="00D24F76" w:rsidP="00D24F7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233E5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з подовженням на 2026 рік виконання заходів за напрямком </w:t>
      </w:r>
      <w:r w:rsidRPr="006D6EE1">
        <w:rPr>
          <w:rFonts w:ascii="Times New Roman" w:hAnsi="Times New Roman" w:cs="Times New Roman"/>
          <w:sz w:val="28"/>
          <w:szCs w:val="28"/>
          <w:lang w:val="uk-UA"/>
        </w:rPr>
        <w:t xml:space="preserve">«Розробка місцевого плану управління відходами Броварської міської територіальної громади до 2035 року» з обсяг фінансування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зменшуємо на </w:t>
      </w:r>
      <w:r w:rsidRPr="006D6EE1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90,00</w:t>
      </w:r>
      <w:r w:rsidRPr="006D6E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6D6EE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6D6EE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перенаправляємо його на захід «</w:t>
      </w:r>
      <w:r w:rsidRPr="006C72BA">
        <w:rPr>
          <w:rFonts w:ascii="Times New Roman" w:hAnsi="Times New Roman" w:cs="Times New Roman"/>
          <w:sz w:val="28"/>
          <w:szCs w:val="28"/>
          <w:lang w:val="uk-UA"/>
        </w:rPr>
        <w:t>Розробка муніципального енергетичного плану Броварської міської територіальної громади на період до 2030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 w:rsidRPr="006C72BA">
        <w:rPr>
          <w:rFonts w:ascii="Times New Roman" w:hAnsi="Times New Roman" w:cs="Times New Roman"/>
          <w:sz w:val="28"/>
          <w:szCs w:val="28"/>
          <w:lang w:val="uk-UA"/>
        </w:rPr>
        <w:t xml:space="preserve">енергозбереження (підвищення енергоефективності)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C72BA">
        <w:rPr>
          <w:rFonts w:ascii="Times New Roman" w:hAnsi="Times New Roman" w:cs="Times New Roman"/>
          <w:sz w:val="28"/>
          <w:szCs w:val="28"/>
          <w:lang w:val="uk-UA"/>
        </w:rPr>
        <w:t>роварської міської територіальної громади на 2021-2025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D24F76" w:rsidRPr="004E7477" w:rsidRDefault="00D24F76" w:rsidP="00D24F7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забезпечуємо співфінансування з місцевого бюджету у розмірі «400,00»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 об</w:t>
      </w:r>
      <w:r w:rsidRPr="004E747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єкті:</w:t>
      </w:r>
      <w:r w:rsidRPr="0085479B">
        <w:rPr>
          <w:lang w:val="uk-UA"/>
        </w:rPr>
        <w:t xml:space="preserve"> </w:t>
      </w:r>
      <w:r w:rsidRPr="0085479B">
        <w:rPr>
          <w:rFonts w:ascii="Times New Roman" w:hAnsi="Times New Roman" w:cs="Times New Roman"/>
          <w:sz w:val="28"/>
          <w:szCs w:val="28"/>
          <w:lang w:val="uk-UA"/>
        </w:rPr>
        <w:t xml:space="preserve">«Будівництво зливової станції приймання стічних вод від асенізаційних машин за </w:t>
      </w:r>
      <w:proofErr w:type="spellStart"/>
      <w:r w:rsidRPr="0085479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5479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5479B"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Pr="0085479B">
        <w:rPr>
          <w:rFonts w:ascii="Times New Roman" w:hAnsi="Times New Roman" w:cs="Times New Roman"/>
          <w:sz w:val="28"/>
          <w:szCs w:val="28"/>
          <w:lang w:val="uk-UA"/>
        </w:rPr>
        <w:t xml:space="preserve">. Незалежності,28/3, </w:t>
      </w:r>
      <w:proofErr w:type="spellStart"/>
      <w:r w:rsidRPr="0085479B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85479B">
        <w:rPr>
          <w:rFonts w:ascii="Times New Roman" w:hAnsi="Times New Roman" w:cs="Times New Roman"/>
          <w:sz w:val="28"/>
          <w:szCs w:val="28"/>
          <w:lang w:val="uk-UA"/>
        </w:rPr>
        <w:t>, Броварський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24F76" w:rsidRPr="0085479B" w:rsidRDefault="00D24F76" w:rsidP="00D24F7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:rsidR="00D24F76" w:rsidRPr="00DD3E58" w:rsidRDefault="00D24F76" w:rsidP="00D24F7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B2A">
        <w:rPr>
          <w:rFonts w:ascii="Times New Roman" w:hAnsi="Times New Roman"/>
          <w:sz w:val="28"/>
          <w:szCs w:val="28"/>
          <w:lang w:val="uk-UA"/>
        </w:rPr>
        <w:t>Забезпечити фінансування виконаних робіт з благоустрою КП «Бровари-Благоустрій»; здійсн</w:t>
      </w:r>
      <w:r>
        <w:rPr>
          <w:rFonts w:ascii="Times New Roman" w:hAnsi="Times New Roman"/>
          <w:sz w:val="28"/>
          <w:szCs w:val="28"/>
          <w:lang w:val="uk-UA"/>
        </w:rPr>
        <w:t xml:space="preserve">юємо </w:t>
      </w:r>
      <w:r w:rsidRPr="00027B2A">
        <w:rPr>
          <w:rFonts w:ascii="Times New Roman" w:hAnsi="Times New Roman"/>
          <w:sz w:val="28"/>
          <w:szCs w:val="28"/>
          <w:lang w:val="uk-UA"/>
        </w:rPr>
        <w:t xml:space="preserve">перерозподіл видатків між Програми для </w:t>
      </w:r>
      <w:r>
        <w:rPr>
          <w:rFonts w:ascii="Times New Roman" w:hAnsi="Times New Roman"/>
          <w:sz w:val="28"/>
          <w:szCs w:val="28"/>
          <w:lang w:val="uk-UA"/>
        </w:rPr>
        <w:t xml:space="preserve">заходу </w:t>
      </w:r>
      <w:r w:rsidRPr="00027B2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C72BA">
        <w:rPr>
          <w:rFonts w:ascii="Times New Roman" w:hAnsi="Times New Roman" w:cs="Times New Roman"/>
          <w:sz w:val="28"/>
          <w:szCs w:val="28"/>
          <w:lang w:val="uk-UA"/>
        </w:rPr>
        <w:t>Розробка муніципального енергетичного плану Броварської міської територіальної громади на період до 2030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на виконання умов </w:t>
      </w:r>
      <w:r w:rsidRPr="00DD3E58">
        <w:rPr>
          <w:rFonts w:ascii="Times New Roman" w:hAnsi="Times New Roman" w:cs="Times New Roman"/>
          <w:sz w:val="28"/>
          <w:szCs w:val="28"/>
          <w:lang w:val="uk-UA"/>
        </w:rPr>
        <w:t>Угоди про передачу коштів позики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забезпечуємо співфінансування з місцевого бюджету.</w:t>
      </w:r>
    </w:p>
    <w:p w:rsidR="00D24F76" w:rsidRPr="00FA304F" w:rsidRDefault="00D24F76" w:rsidP="00D24F76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  <w:r w:rsidRPr="00FA304F">
        <w:rPr>
          <w:rFonts w:ascii="Times New Roman" w:hAnsi="Times New Roman"/>
          <w:sz w:val="28"/>
          <w:szCs w:val="28"/>
          <w:lang w:val="uk-UA"/>
        </w:rPr>
        <w:t>.</w:t>
      </w:r>
    </w:p>
    <w:p w:rsidR="00D24F76" w:rsidRPr="00FA304F" w:rsidRDefault="00D24F76" w:rsidP="00D24F76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3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</w:t>
      </w:r>
      <w:r w:rsidRPr="00FA304F">
        <w:rPr>
          <w:rFonts w:ascii="Times New Roman" w:hAnsi="Times New Roman"/>
          <w:sz w:val="28"/>
          <w:szCs w:val="28"/>
          <w:lang w:val="uk-UA"/>
        </w:rPr>
        <w:lastRenderedPageBreak/>
        <w:t xml:space="preserve">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:rsidR="00D24F76" w:rsidRPr="00FA304F" w:rsidRDefault="00D24F76" w:rsidP="00D24F7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D24F76" w:rsidRPr="004031F1" w:rsidRDefault="00D24F76" w:rsidP="00D24F76">
      <w:pPr>
        <w:pStyle w:val="a5"/>
        <w:spacing w:after="0" w:line="240" w:lineRule="auto"/>
        <w:ind w:left="-142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bookmarkStart w:id="4" w:name="_Hlk131756640"/>
      <w:r w:rsidRPr="00FA304F"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«493 808,07» </w:t>
      </w:r>
      <w:proofErr w:type="spellStart"/>
      <w:r w:rsidRPr="00FA304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4031F1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bookmarkEnd w:id="4"/>
    <w:p w:rsidR="00D24F76" w:rsidRPr="00FA304F" w:rsidRDefault="00D24F76" w:rsidP="00D24F7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D24F76" w:rsidRPr="00FA304F" w:rsidRDefault="00D24F76" w:rsidP="00D24F7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sz w:val="28"/>
          <w:szCs w:val="28"/>
          <w:lang w:val="uk-UA"/>
        </w:rPr>
        <w:t>безперебійна робота КП «Бровари – Благоустрій»;</w:t>
      </w:r>
    </w:p>
    <w:p w:rsidR="00D24F76" w:rsidRPr="004031F1" w:rsidRDefault="00D24F76" w:rsidP="00D24F76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A304F">
        <w:rPr>
          <w:rFonts w:ascii="Times New Roman" w:hAnsi="Times New Roman" w:cs="Times New Roman"/>
          <w:sz w:val="28"/>
          <w:szCs w:val="28"/>
          <w:lang w:val="uk-UA"/>
        </w:rPr>
        <w:t>забезпечення відсоткове співфінансування в повному обсязі, шляхом збільшення видатків на об’єкті: «Будівництво</w:t>
      </w:r>
      <w:r w:rsidRPr="0085479B">
        <w:rPr>
          <w:rFonts w:ascii="Times New Roman" w:hAnsi="Times New Roman" w:cs="Times New Roman"/>
          <w:sz w:val="28"/>
          <w:szCs w:val="28"/>
          <w:lang w:val="uk-UA"/>
        </w:rPr>
        <w:t xml:space="preserve"> зливової станції приймання стічних вод від асенізаційних машин за </w:t>
      </w:r>
      <w:proofErr w:type="spellStart"/>
      <w:r w:rsidRPr="0085479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5479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5479B"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Pr="0085479B">
        <w:rPr>
          <w:rFonts w:ascii="Times New Roman" w:hAnsi="Times New Roman" w:cs="Times New Roman"/>
          <w:sz w:val="28"/>
          <w:szCs w:val="28"/>
          <w:lang w:val="uk-UA"/>
        </w:rPr>
        <w:t xml:space="preserve">. Незалежності,28/3, </w:t>
      </w:r>
      <w:proofErr w:type="spellStart"/>
      <w:r w:rsidRPr="0085479B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85479B">
        <w:rPr>
          <w:rFonts w:ascii="Times New Roman" w:hAnsi="Times New Roman" w:cs="Times New Roman"/>
          <w:sz w:val="28"/>
          <w:szCs w:val="28"/>
          <w:lang w:val="uk-UA"/>
        </w:rPr>
        <w:t>, Броварський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24F76" w:rsidRPr="00240E1A" w:rsidRDefault="00D24F76" w:rsidP="00D24F7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D24F76" w:rsidRPr="00240E1A" w:rsidRDefault="00D24F76" w:rsidP="00D24F7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240E1A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D24F76" w:rsidRPr="00240E1A" w:rsidRDefault="00D24F76" w:rsidP="00D24F7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Драна Олена Миколаївна –заступник начальника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5"/>
    </w:p>
    <w:p w:rsidR="00D24F76" w:rsidRPr="007A3BFC" w:rsidRDefault="00D24F76" w:rsidP="00D24F76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6" w:name="_Hlk139880230"/>
      <w:bookmarkStart w:id="7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276"/>
        <w:gridCol w:w="1134"/>
        <w:gridCol w:w="1275"/>
        <w:gridCol w:w="1560"/>
      </w:tblGrid>
      <w:tr w:rsidR="00D24F76" w:rsidRPr="007A3BFC" w:rsidTr="000B2A48">
        <w:trPr>
          <w:trHeight w:val="2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Заходи </w:t>
            </w:r>
          </w:p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Програми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їх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фінансування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F76" w:rsidRPr="007A3BFC" w:rsidRDefault="00D24F76" w:rsidP="000B2A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7A3BFC" w:rsidRDefault="00D24F76" w:rsidP="000B2A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7A3BFC" w:rsidRDefault="00D24F76" w:rsidP="000B2A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7A3BFC" w:rsidRDefault="00D24F76" w:rsidP="000B2A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примітка</w:t>
            </w:r>
          </w:p>
        </w:tc>
      </w:tr>
      <w:tr w:rsidR="00D24F76" w:rsidRPr="007A3BFC" w:rsidTr="000B2A48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483 818,22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FD1074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9 989,8</w:t>
            </w:r>
            <w:r w:rsidR="00FD10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F76" w:rsidRPr="00FD1074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493 808,0</w:t>
            </w:r>
            <w:r w:rsidR="00FD10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24F76" w:rsidRPr="007A3BFC" w:rsidTr="000B2A48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1.1.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Вулично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245 652,45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10 210,00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255 862,45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24F76" w:rsidRPr="007A3BFC" w:rsidTr="000B2A48">
        <w:trPr>
          <w:trHeight w:val="2249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1.1.9.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76" w:rsidRPr="003716E1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СКП "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Броварська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ритуальна служба"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утримання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охорона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кладовищ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захоронення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тіл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непізнаних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та не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витребуваних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громадян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; доставка </w:t>
            </w:r>
            <w:proofErr w:type="gram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до моргу</w:t>
            </w:r>
            <w:proofErr w:type="gram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поховання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військовослужбовців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ЗСУ,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членів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територіальної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оборони та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добровольчих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формувань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правоохоронних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органів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що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загинули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під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час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участі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в заходах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щодо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забезпечення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відсічі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збройної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агресії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російської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федерації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охорони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>громадського</w:t>
            </w:r>
            <w:proofErr w:type="spellEnd"/>
            <w:r w:rsidRPr="003716E1">
              <w:rPr>
                <w:rFonts w:ascii="Times New Roman" w:hAnsi="Times New Roman" w:cs="Times New Roman"/>
                <w:sz w:val="18"/>
                <w:szCs w:val="18"/>
              </w:rPr>
              <w:t xml:space="preserve"> порядку.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11667,37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-2</w:t>
            </w:r>
            <w:r w:rsidR="00991E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bookmarkStart w:id="8" w:name="_GoBack"/>
            <w:bookmarkEnd w:id="8"/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9667,37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3716E1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3716E1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Економія, перерозподіл видатків за напрямками</w:t>
            </w:r>
          </w:p>
        </w:tc>
      </w:tr>
      <w:tr w:rsidR="00D24F76" w:rsidRPr="007A3BFC" w:rsidTr="000B2A48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1.1.10.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«Бровари – Благоустрій» благоустрій території Броварської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194 914,08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12</w:t>
            </w:r>
            <w:r w:rsidR="00991E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194 914,08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зарплата-(10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00,00) </w:t>
            </w:r>
            <w:proofErr w:type="spellStart"/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D24F76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(2000,00)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ТМЦ, послуги</w:t>
            </w:r>
          </w:p>
        </w:tc>
      </w:tr>
      <w:tr w:rsidR="00D24F76" w:rsidRPr="007A3BFC" w:rsidTr="000B2A48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1.1.13.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«Розробка місцевого плану управління відходами Броварської міської територіальної громади до 2035 року»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Перерозподіл видатків між Програмами</w:t>
            </w:r>
          </w:p>
        </w:tc>
      </w:tr>
      <w:tr w:rsidR="00D24F76" w:rsidRPr="007A3BFC" w:rsidTr="000B2A48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1.2.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238 165,77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-220,15625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237 945,62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24F76" w:rsidRPr="007A3BFC" w:rsidTr="000B2A48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1.2.3.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будівництво, реконструкція, капітальний ремонт та благоустрій об</w:t>
            </w:r>
            <w:r w:rsidRPr="007A3BF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єктів</w:t>
            </w:r>
            <w:proofErr w:type="spellEnd"/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територій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231 615,77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-220,15625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F76" w:rsidRPr="007A3BFC" w:rsidRDefault="00D24F76" w:rsidP="000B2A4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231 395,62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Будівництво загальноосвітньої школи І ступеню по </w:t>
            </w:r>
            <w:proofErr w:type="spellStart"/>
            <w:r w:rsidRPr="007A3BF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вул.Петлюри</w:t>
            </w:r>
            <w:proofErr w:type="spellEnd"/>
            <w:r w:rsidRPr="007A3BF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Симона (Черняховського),17-Б в </w:t>
            </w:r>
            <w:proofErr w:type="spellStart"/>
            <w:r w:rsidRPr="007A3BF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м.Бровари</w:t>
            </w:r>
            <w:proofErr w:type="spellEnd"/>
            <w:r w:rsidRPr="007A3BF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Київської області. Коригування</w:t>
            </w:r>
          </w:p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(-220,15625)</w:t>
            </w:r>
          </w:p>
          <w:p w:rsidR="00D24F76" w:rsidRPr="007A3BFC" w:rsidRDefault="00D24F76" w:rsidP="000B2A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A3BF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Pr="007A3BF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</w:tc>
      </w:tr>
      <w:bookmarkEnd w:id="6"/>
      <w:bookmarkEnd w:id="7"/>
    </w:tbl>
    <w:p w:rsidR="00D24F76" w:rsidRPr="007A3BFC" w:rsidRDefault="00D24F76" w:rsidP="00D24F76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:rsidR="009B7D79" w:rsidRPr="00D24F76" w:rsidRDefault="00D24F76" w:rsidP="00D24F76">
      <w:r w:rsidRPr="007A3BFC"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</w:p>
    <w:sectPr w:rsidR="009B7D79" w:rsidRPr="00D24F7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5BA50B23"/>
    <w:multiLevelType w:val="hybridMultilevel"/>
    <w:tmpl w:val="9CAAB886"/>
    <w:lvl w:ilvl="0" w:tplc="AC1637FE">
      <w:start w:val="2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91E3A"/>
    <w:rsid w:val="009B7D79"/>
    <w:rsid w:val="009C0EEF"/>
    <w:rsid w:val="00A218AE"/>
    <w:rsid w:val="00B35D4C"/>
    <w:rsid w:val="00B46089"/>
    <w:rsid w:val="00B80167"/>
    <w:rsid w:val="00BF6942"/>
    <w:rsid w:val="00D24F76"/>
    <w:rsid w:val="00D5049E"/>
    <w:rsid w:val="00D92C45"/>
    <w:rsid w:val="00DD7BFD"/>
    <w:rsid w:val="00FC33D9"/>
    <w:rsid w:val="00FD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32D1"/>
  <w15:docId w15:val="{C6F312BE-26AF-4703-A15F-C1E5B0EC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D2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3531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2025-10-06T08:23:00Z</dcterms:modified>
</cp:coreProperties>
</file>