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mallCaps w:val="0"/>
          <w:snapToGrid/>
          <w:spacing w:val="0"/>
          <w:w w:val="100"/>
          <w:position w:val="0"/>
          <w:sz w:val="28"/>
          <w:szCs w:val="22"/>
          <w:cs w:val="0"/>
          <w:lang w:val="ru-RU"/>
        </w:rPr>
      </w:pPr>
      <w:r>
        <w:rPr>
          <w:rFonts w:ascii="Times New Roman" w:hAnsi="Times New Roman"/>
          <w:sz w:val="28"/>
          <w:szCs w:val="28"/>
        </w:rPr>
        <w:t>Додаток</w:t>
      </w:r>
      <w:r>
        <w:rPr>
          <w:rFonts w:ascii="Times New Roman" w:hAnsi="Times New Roman"/>
          <w:sz w:val="28"/>
          <w:szCs w:val="28"/>
          <w:lang w:val="ru-RU"/>
        </w:rPr>
        <w:t xml:space="preserve"> </w:t>
      </w:r>
      <w:permStart w:id="0" w:edGrp="everyone"/>
      <w:r>
        <w:rPr>
          <w:rFonts w:ascii="Times New Roman" w:hAnsi="Times New Roman"/>
          <w:smallCaps w:val="0"/>
          <w:snapToGrid/>
          <w:spacing w:val="0"/>
          <w:w w:val="100"/>
          <w:position w:val="0"/>
          <w:sz w:val="28"/>
          <w:szCs w:val="22"/>
          <w:cs w:val="0"/>
          <w:lang w:val="ru-RU"/>
        </w:rPr>
        <w:t>1</w:t>
      </w:r>
    </w:p>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mallCaps w:val="0"/>
          <w:snapToGrid/>
          <w:spacing w:val="0"/>
          <w:w w:val="100"/>
          <w:position w:val="0"/>
          <w:sz w:val="28"/>
          <w:szCs w:val="22"/>
          <w:cs w:val="0"/>
          <w:lang w:val="ru-RU"/>
        </w:rPr>
        <w:t>ЗАТВЕРДЖЕНО</w:t>
      </w:r>
      <w:r>
        <w:rPr>
          <w:rFonts w:ascii="Times New Roman" w:hAnsi="Times New Roman"/>
          <w:sz w:val="28"/>
          <w:szCs w:val="28"/>
          <w:lang w:val="ru-RU"/>
        </w:rPr>
        <w:t xml:space="preserve">      </w:t>
      </w:r>
      <w:permEnd w:id="0"/>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szCs w:val="28"/>
        </w:rPr>
        <w:t>28.08.2025</w:t>
      </w:r>
      <w:r>
        <w:rPr>
          <w:rFonts w:ascii="Times New Roman" w:hAnsi="Times New Roman"/>
          <w:sz w:val="28"/>
          <w:szCs w:val="28"/>
        </w:rPr>
        <w:t xml:space="preserve"> № </w:t>
      </w:r>
      <w:r>
        <w:rPr>
          <w:rFonts w:ascii="Times New Roman" w:hAnsi="Times New Roman"/>
          <w:sz w:val="28"/>
          <w:szCs w:val="28"/>
        </w:rPr>
        <w:t>2245-99-08</w:t>
      </w: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permStart w:id="1" w:edGrp="everyone"/>
      <w:r>
        <w:rPr>
          <w:rFonts w:ascii="Times New Roman" w:hAnsi="Times New Roman"/>
          <w:b/>
          <w:bCs w:val="0"/>
          <w:i w:val="0"/>
          <w:caps w:val="0"/>
          <w:smallCaps w:val="0"/>
          <w:noProof w:val="0"/>
          <w:vanish w:val="0"/>
          <w:color w:val="auto"/>
          <w:sz w:val="28"/>
          <w:u w:val="none"/>
          <w:shd w:val="clear" w:color="auto" w:fill="auto"/>
          <w:vertAlign w:val="baseline"/>
          <w:lang w:val="x-none"/>
        </w:rPr>
        <w:t>Статут</w:t>
      </w: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Комунального закладу</w:t>
      </w: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«Броварський краєзнавчий музей»</w:t>
      </w: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Броварської міської ради</w:t>
      </w: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Броварського району Київської області</w:t>
      </w:r>
    </w:p>
    <w:p>
      <w:pPr>
        <w:spacing w:beforeAutospacing="0" w:after="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(нова редакція)</w:t>
      </w:r>
    </w:p>
    <w:p>
      <w:pPr>
        <w:spacing w:beforeAutospacing="0" w:after="0" w:afterAutospacing="0"/>
        <w:jc w:val="left"/>
        <w:rPr>
          <w:rFonts w:ascii="Times New Roman" w:hAnsi="Times New Roman"/>
          <w:b/>
          <w:bCs/>
          <w:sz w:val="28"/>
          <w:szCs w:val="28"/>
          <w:lang w:val="ru-RU"/>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Autospacing="0" w:line="240" w:lineRule="auto"/>
        <w:jc w:val="center"/>
        <w:rPr>
          <w:rFonts w:ascii="Times New Roman" w:hAnsi="Times New Roman"/>
          <w:b w:val="0"/>
          <w:bCs w:val="0"/>
          <w:i w:val="0"/>
          <w:caps w:val="0"/>
          <w:smallCaps w:val="0"/>
          <w:noProof w:val="0"/>
          <w:vanish w:val="0"/>
          <w:color w:val="auto"/>
          <w:sz w:val="24"/>
          <w:u w:val="none"/>
          <w:shd w:val="clear" w:color="auto" w:fill="auto"/>
          <w:vertAlign w:val="baseline"/>
          <w:lang w:val="x-none"/>
        </w:rPr>
      </w:pPr>
      <w:r>
        <w:rPr>
          <w:rFonts w:ascii="Times New Roman" w:hAnsi="Times New Roman"/>
          <w:b w:val="0"/>
          <w:bCs w:val="0"/>
          <w:i w:val="0"/>
          <w:caps w:val="0"/>
          <w:smallCaps w:val="0"/>
          <w:noProof w:val="0"/>
          <w:vanish w:val="0"/>
          <w:color w:val="auto"/>
          <w:sz w:val="24"/>
          <w:u w:val="none"/>
          <w:shd w:val="clear" w:color="auto" w:fill="auto"/>
          <w:vertAlign w:val="baseline"/>
          <w:lang w:val="x-none"/>
        </w:rPr>
        <w:t>м.Бровари</w:t>
      </w:r>
    </w:p>
    <w:p>
      <w:pPr>
        <w:spacing w:beforeAutospacing="0" w:afterAutospacing="0" w:line="240" w:lineRule="auto"/>
        <w:jc w:val="center"/>
        <w:rPr>
          <w:rFonts w:ascii="Times New Roman" w:hAnsi="Times New Roman"/>
          <w:b w:val="0"/>
          <w:bCs w:val="0"/>
          <w:i w:val="0"/>
          <w:caps w:val="0"/>
          <w:smallCaps w:val="0"/>
          <w:noProof w:val="0"/>
          <w:vanish w:val="0"/>
          <w:color w:val="auto"/>
          <w:sz w:val="24"/>
          <w:u w:val="none"/>
          <w:shd w:val="clear" w:color="auto" w:fill="auto"/>
          <w:vertAlign w:val="baseline"/>
          <w:lang w:val="x-none"/>
        </w:rPr>
      </w:pPr>
      <w:r>
        <w:rPr>
          <w:rFonts w:ascii="Times New Roman" w:hAnsi="Times New Roman"/>
          <w:b w:val="0"/>
          <w:bCs w:val="0"/>
          <w:i w:val="0"/>
          <w:caps w:val="0"/>
          <w:smallCaps w:val="0"/>
          <w:noProof w:val="0"/>
          <w:vanish w:val="0"/>
          <w:color w:val="auto"/>
          <w:sz w:val="24"/>
          <w:u w:val="none"/>
          <w:shd w:val="clear" w:color="auto" w:fill="auto"/>
          <w:vertAlign w:val="baseline"/>
          <w:lang w:val="x-none"/>
        </w:rPr>
        <w:t>2025 рік</w:t>
      </w:r>
    </w:p>
    <w:p>
      <w:pPr>
        <w:spacing w:beforeAutospacing="0" w:after="0" w:afterAutospacing="0"/>
        <w:jc w:val="both"/>
        <w:rPr>
          <w:rFonts w:ascii="Times New Roman" w:hAnsi="Times New Roman"/>
          <w:b/>
          <w:sz w:val="28"/>
          <w:szCs w:val="28"/>
        </w:rPr>
      </w:pPr>
    </w:p>
    <w:p>
      <w:pPr>
        <w:spacing w:beforeAutospacing="0" w:afterAutospacing="0" w:line="240" w:lineRule="auto"/>
        <w:jc w:val="center"/>
        <w:rPr>
          <w:rFonts w:ascii="Times New Roman" w:hAnsi="Times New Roman"/>
          <w:b/>
          <w:sz w:val="28"/>
          <w:szCs w:val="28"/>
        </w:rPr>
      </w:pPr>
      <w:r>
        <w:rPr>
          <w:rFonts w:ascii="Times New Roman" w:hAnsi="Times New Roman"/>
          <w:b/>
          <w:bCs w:val="0"/>
          <w:i w:val="0"/>
          <w:caps w:val="0"/>
          <w:smallCaps w:val="0"/>
          <w:noProof w:val="0"/>
          <w:vanish w:val="0"/>
          <w:color w:val="auto"/>
          <w:sz w:val="28"/>
          <w:u w:val="none"/>
          <w:shd w:val="clear" w:color="auto" w:fill="auto"/>
          <w:vertAlign w:val="baseline"/>
          <w:lang w:val="x-none"/>
        </w:rPr>
        <w:t>І. Загальні положення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 Комунальний заклад «Броварський краєзнавчий музей» Броварської міської ради Броварського району Київської області (надалі - Заклад) -музейний заклад, заснований на базі відокремленої частини майна комунальної власності Броварської міської територіальної громади (далі - територіальна громада),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1.2. 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1.3. 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1.4. 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1.5. 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1.6. Повне найменування Закладу - Комунальний заклад «Броварський краєзнавчий музей» Броварської міської ради Броварського району Київської області. Full name of the Institution - Brovary Local Lore Museum of Brovary City Council of Brovary district, Kyiv region.</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1.7. Скорочене найменування Закладу - КЗ «Броварський краєзнавчий музей» БМР БР КО. Short name of the Institution - Brovary MLL BCC BD KR.</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1.8. Організаційно-правова форма - комунальна організація (Установа, Заклад).</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1.9. Юридична адреса Закладу: Україна, 07400, Київська область, Броварський район, місто Бровари, вулиця Героїв України, 6. КОД ЕДРПО: 22208735.</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1.10.Заклад є юридичною особою, має печатку, бланк. Права та обов’язки юридичної особи Заклад набуває з дня його державної реєстрації.</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1.11. Заклад є бюджетною, неприбутковою установою, яка має самостійний кошторис, має розрахунковий рахунок в органах Державної казначейської служби України, печатку та штампи зі своїм найменуванням.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1.12. 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1.13. Заклад фінансується за рахунок коштів місцевого бюджет.</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1.14. 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1.15. 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1.16. 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1.17.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1.18. Статут Закладу затверджується рішенням Броварської міської ради Броварського району Київської області.</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ІІ. Основні завдання та напрями діяльності</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2.1. Основні завдання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збереження, комплектування, дослідження та використання в роботі музейної колекції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здійснення фондової, дослідницької, експозиційної, виставкової,</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культурно-просвітницької, екскурсійної та інших видів діяльності;</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систематичне здійснення національно-патріотичного, гуманістичного, естетичного, екологічного виховання усіх верств населення громади;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комплектування музейного фонду;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забезпечення екскурсійного та лекційного обслуговування відвідувачів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забезпечення підвищення кваліфікації фахівців Закладу, організації їхнього стажування;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складання тематико-експозиційних планів діючої експозиції і тимчасових виставок, паспортизація експонатів;</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них із результатами досліджень.</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2.2. Основні форми роботи з виконання завдань:</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екскурсії за експозиціями Закладу, виставками, пам'ятками історії та культури міста й населених пунктів територіальної громади;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організація стаціонарних та виїзних виставок;</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бесіди та лекції на краєзнавчу тематику;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краєзнавчі консультації для школярів та студентів, зокрема, для членів МАН, які пишуть роботи на краєзнавчу тематику;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поповнення музейного фонду експонатами, дослідження експонатів, документальних, літературних та архівних джерел;</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здійснення координації роботи краєзнавців регіону;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видавнича діяльність.</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ІІІ. Права та обов’язки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3.1. Музей планує свою діяльність, за погодженням з Органом Управління визначає стратегію та основні напрями свого розвитку.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3.2. Для реалізації статутних завдань відповідно до встановленого порядку Заклад має право: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проводити екскурсійну та експозиційну роботу;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вести виставкову роботу;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проводити культурно-масові заходи (робота з дітьми, зі школярами, студентами, молоддю, іншими категоріями відвідувачів);</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здійснювати збереження пам'яток культури та мистецтва й вести їхню наукову документацію;</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розробляти науково-інформаційні та рекламні матеріали за профілем діяльності Закладу (буклети, проспекти, афіші, аудіо- та відеопродукцію тощо);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здійснювати у встановленому чинним законодавством порядку міжнародне співробітництво;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 погодженням з Органом управління купувати в установленому порядку предмети старовини, народного побуту, твори живопису, декоративно-ужиткового та інших видів мистецтва, викопні артефакти тощо для поповнення фонду Музею, а також товари й матеріали, необхідні для утримання і збереження фонду;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надавати право в порядку, встановленому законодавством, на використання найменування, товарного знака,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виготовляти за рахунок добровільних фінансових внесків аудіо- та відеопродукцію для популяризації роботи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відтворювати за допомогою відео-зйомки, фотографування, ксерокопіювання та інших методів зображення музейних предметів, документів тощо, а також надавати консультації, науково-методичну та науково- дослідницьку інформацію, що не суперечить основним завданням діяльності Закладу в порядку, передбаченому законодавством України.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3.3. Заклад зобов’язаний:</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виконувати державні заходи з цивільної оборони відповідно до законодавства України;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здійснювати заходи з питань охорони праці та пожежної безпеки;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забезпечувати встановлений режим утримання, використання та збереження приміщення Закладу та території, прилеглої до нього;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здійснювати оперативну діяльність з матеріально-технічного забезпечення роботи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створювати належні умови для продуктивної праці, забезпечувати дотримання законодавства про працю, правил та норм охорони праці, соціального страхування.</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IV. Матеріально-технічна база</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4.1. Майно Закладу є комунальною власністю Броварської територіальної громади й закріплюється за ним на праві оперативного управління.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4.2. Засновник надає Закладу необхідне для роботи матеріально-технічне забезпечення.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4.3. Майно Закладу відображається в бухгалтерському і спеціальному фондовому обліках та звітності Органу управління.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4.4. 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визначеному чинним законодавством.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4.5. Для здійснення статутної діяльності Заклад має право: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одержувати майно в безоплатне користування у встановленому порядку на певний термін або безстроково.</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V. Музейний фонд</w:t>
      </w:r>
    </w:p>
    <w:p>
      <w:pPr>
        <w:spacing w:beforeAutospacing="0" w:afterAutospacing="0" w:line="240" w:lineRule="auto"/>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5.1. Усі матеріальні та культурні цінності, що перебувають у Закладі, мають</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вилученню з фондів Закладу способом, не передбаченим законодавством України.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5.2. 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національного культурного надбання.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5.3. Заклад, а також установи, яким він підпорядкований, зобов'язані забезпечувати збереження музейного фонду України та сприяти його поповненню. Керівник Закладу зобов'язаний створити належні умови, встановити спеціальний науково обґрунтований режим зберігання пам'яток. Знищення пам'яток Музейного фонду України не допускається.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5.4. Формування Музейного фонду України здійснюється: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передачею Закладу у встановленому порядку пам'яток, виявлених під час археологічних, етнографічних, науково-природничих та інших експедицій, ремонтних, будівельних, реставраційних робіт;</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безоплатною передачею Закладу пам'яток підприємствами, організаціями, громадянами;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передачею Закладу пам'яток, конфіскованих згідно з чинним законодавством;</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поверненням в Україну розшуканих пам'яток, які було незаконно вивезено;</w:t>
      </w:r>
    </w:p>
    <w:p>
      <w:pPr>
        <w:spacing w:beforeAutospacing="0" w:afterAutospacing="0" w:line="240" w:lineRule="auto"/>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іншими способами, що не суперечать чинному законодавству.</w:t>
      </w:r>
    </w:p>
    <w:p>
      <w:pPr>
        <w:spacing w:beforeAutospacing="0" w:afterAutospacing="0" w:line="240" w:lineRule="auto"/>
        <w:ind w:lef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5.5. Облік пам'яток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5.6. Вивезення предметів з музейної колекції за межі Закладу забороняється, крім таких випадків:</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тимчасове експонування в інших музейних та виставкових закладах, у тому числі за межами України;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передача експонатів для здійснення реставраційних, експертних робіт,</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проведення стаціонарних наукових оглядів та досліджень, які внаслідок різних</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обставин не можуть бути здійснені в музейних умовах.</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5.7. Музейні колекції та музейні предмети не підлягають відчуженню, за винятком обміну на інші музейні колекції та предмети, відповідно до чинного законодавства.</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VI. Управління Закладом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6.1. Управління Закладом здійснює Засновник безпосередньо через Орган Управління в межах повноважень, передбачених чинним законодавством.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6.2. 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w:t>
      </w:r>
    </w:p>
    <w:p>
      <w:pPr>
        <w:spacing w:beforeAutospacing="0" w:afterAutospacing="0" w:line="240" w:lineRule="auto"/>
        <w:ind w:left="0" w:firstLine="567"/>
        <w:jc w:val="left"/>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6.3. Директор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призначається на посаду та звільняється начальником Органу управління;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забезпечує в роботі Закладу реалізацію державної політики в галузі культури;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здійснює загальне керівництво Закладом, відповідає за організацію його діяльності;</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забезпечує пропаганду історико-краєзнавчої, художньої та літературної спадщини, здійснення дослідницької та культурно-просвітницької роботи;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організовує комплектування, дослідження й популяризацію фонду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відповідає за розробку календарних і перспективних планів роботи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укладає та розриває договори, що стосуються культурно-масової діяльності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здійснює заходи з поповнення матеріально-технічної бази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у межах своєї компетенції видає накази, призначає і звільняє працівників Закладу за погодженням Органу управління;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розробляє та подає на погодження Органу управління посадові інструкції працівників Закладу;</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створює умови для роботи працівників Закладу, дбає про підвищення їхнього кваліфікаційного рівня;</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здійснює керівництво системою забезпечення пожежної безпеки Закладу та несе персональну відповідальність за дотримання вимог пожежної безпеки;</w:t>
      </w:r>
    </w:p>
    <w:p>
      <w:pPr>
        <w:spacing w:beforeAutospacing="0" w:afterAutospacing="0" w:line="240" w:lineRule="auto"/>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 виконує інші функції, передбачені законодавством України.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6.4. Структура Закладу може змінюватися відповідно до потреб реалізації плану розвитку Закладу.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6.5. Трудовий колектив Закладу складається з його працівників, правовий і соціальний захист яких забезпечується державою і Засновником, відповідно до чинного законодавства України.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6.6. Повноваження трудового колективу реалізуються його загальними зборами та колективним договором.</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VII. Господарська, економічна і соціальна діяльність Закладу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7.1. Господарська, економічна і соціальна діяльність Закладу здійснюється відповідно до чинного законодавства України та цього Статуту.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7.2.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7.3. 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7.4.Відповідальність за стан обліку, своєчасної здачі звітності, покладається на Директора Закладу.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7.5. Контроль за фінансово-господарською діяльністю та ефективним використанням бюджетних коштів Закладу здійснюється згідно чинного законодавства.</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VIII. Порядок реорганізації та ліквідації закладу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8.1.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8.2. Перейменування Закладу можливе у порядку, передбаченому законодавством України.</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8.3. При реорганізації Закладу вся сукупність прав та обов’язків переходить до його правонаступників.</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8.4. Ліквідація Закладу здійснюється ліквідаційною комісією, яка утворюється Засновником. Порядок і терміни проведення ліквідації, а також терміни заявлення претензій кредиторам визначається згідно з чинним законодавством.</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8.5.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8.6. 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8.7.Під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pPr>
        <w:spacing w:beforeAutospacing="0" w:afterAutospacing="0" w:line="240" w:lineRule="auto"/>
        <w:jc w:val="center"/>
        <w:rPr>
          <w:rFonts w:ascii="Times New Roman" w:hAnsi="Times New Roman"/>
          <w:b/>
          <w:bCs w:val="0"/>
          <w:i w:val="0"/>
          <w:caps w:val="0"/>
          <w:smallCaps w:val="0"/>
          <w:noProof w:val="0"/>
          <w:vanish w:val="0"/>
          <w:color w:val="auto"/>
          <w:sz w:val="28"/>
          <w:u w:val="none"/>
          <w:shd w:val="clear" w:color="auto" w:fill="auto"/>
          <w:vertAlign w:val="baseline"/>
          <w:lang w:val="x-none"/>
        </w:rPr>
      </w:pPr>
      <w:r>
        <w:rPr>
          <w:rFonts w:ascii="Times New Roman" w:hAnsi="Times New Roman"/>
          <w:b/>
          <w:bCs w:val="0"/>
          <w:i w:val="0"/>
          <w:caps w:val="0"/>
          <w:smallCaps w:val="0"/>
          <w:noProof w:val="0"/>
          <w:vanish w:val="0"/>
          <w:color w:val="auto"/>
          <w:sz w:val="28"/>
          <w:u w:val="none"/>
          <w:shd w:val="clear" w:color="auto" w:fill="auto"/>
          <w:vertAlign w:val="baseline"/>
          <w:lang w:val="x-none"/>
        </w:rPr>
        <w:t>IХ. Порядок внесення змін до Статуту</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9.1.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pPr>
        <w:spacing w:beforeAutospacing="0" w:afterAutospacing="0" w:line="240" w:lineRule="auto"/>
        <w:ind w:left="0" w:firstLine="567"/>
        <w:jc w:val="both"/>
        <w:rPr>
          <w:rFonts w:ascii="Times New Roman" w:hAnsi="Times New Roman"/>
          <w:b w:val="0"/>
          <w:bCs w:val="0"/>
          <w:i w:val="0"/>
          <w:caps w:val="0"/>
          <w:smallCaps w:val="0"/>
          <w:noProof w:val="0"/>
          <w:vanish w:val="0"/>
          <w:color w:val="auto"/>
          <w:sz w:val="28"/>
          <w:u w:val="none"/>
          <w:shd w:val="clear" w:color="auto" w:fill="auto"/>
          <w:vertAlign w:val="baseline"/>
          <w:lang w:val="x-none"/>
        </w:rPr>
      </w:pPr>
      <w:r>
        <w:rPr>
          <w:rFonts w:ascii="Times New Roman" w:hAnsi="Times New Roman"/>
          <w:b w:val="0"/>
          <w:bCs w:val="0"/>
          <w:i w:val="0"/>
          <w:caps w:val="0"/>
          <w:smallCaps w:val="0"/>
          <w:noProof w:val="0"/>
          <w:vanish w:val="0"/>
          <w:color w:val="auto"/>
          <w:sz w:val="28"/>
          <w:u w:val="none"/>
          <w:shd w:val="clear" w:color="auto" w:fill="auto"/>
          <w:vertAlign w:val="baseline"/>
          <w:lang w:val="x-none"/>
        </w:rPr>
        <w:t>9.2. Зміни та доповнення до Статуту затверджуються в тому порядку, що і сам Статут.</w:t>
      </w: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22</cp:revision>
  <dcterms:created xsi:type="dcterms:W3CDTF">2023-03-27T06:26:00Z</dcterms:created>
  <dcterms:modified xsi:type="dcterms:W3CDTF">2025-08-28T11:37:38Z</dcterms:modified>
</cp:coreProperties>
</file>