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33F96" w:rsidP="00B3670E" w14:paraId="7A0D1C68" w14:textId="6407BFE2">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СХВАЛЕНО</w:t>
      </w:r>
    </w:p>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26.08.2025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757</w:t>
      </w:r>
    </w:p>
    <w:p w:rsidR="004208DA" w:rsidRPr="007C582E" w:rsidP="004208DA" w14:paraId="0A449B32" w14:textId="77777777">
      <w:pPr>
        <w:spacing w:after="0"/>
        <w:rPr>
          <w:rFonts w:ascii="Times New Roman" w:hAnsi="Times New Roman" w:cs="Times New Roman"/>
          <w:sz w:val="28"/>
          <w:szCs w:val="28"/>
        </w:rPr>
      </w:pPr>
    </w:p>
    <w:p w:rsidR="00B33F96" w:rsidP="00B33F96" w14:paraId="6CF0312C" w14:textId="77777777">
      <w:pPr>
        <w:spacing w:after="0" w:line="240" w:lineRule="auto"/>
        <w:ind w:right="-1"/>
        <w:jc w:val="center"/>
        <w:rPr>
          <w:rFonts w:ascii="Times New Roman" w:eastAsia="Calibri" w:hAnsi="Times New Roman" w:cs="Times New Roman"/>
          <w:b/>
          <w:sz w:val="28"/>
          <w:szCs w:val="28"/>
          <w:lang w:eastAsia="en-US"/>
        </w:rPr>
      </w:pPr>
      <w:permStart w:id="1" w:edGrp="everyone"/>
      <w:r>
        <w:rPr>
          <w:rFonts w:ascii="Times New Roman" w:eastAsia="Calibri" w:hAnsi="Times New Roman" w:cs="Times New Roman"/>
          <w:b/>
          <w:sz w:val="28"/>
          <w:szCs w:val="28"/>
          <w:lang w:eastAsia="en-US"/>
        </w:rPr>
        <w:t>ПРОГНОЗ</w:t>
      </w:r>
    </w:p>
    <w:p w:rsidR="00B33F96" w:rsidP="00B33F96" w14:paraId="559B62B7" w14:textId="77777777">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бюджету Броварської міської територіальної громади</w:t>
      </w:r>
    </w:p>
    <w:p w:rsidR="00B33F96" w:rsidP="00B33F96" w14:paraId="4526D861" w14:textId="77777777">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на 2026-2028 роки</w:t>
      </w:r>
    </w:p>
    <w:p w:rsidR="00B33F96" w:rsidP="00B33F96" w14:paraId="7E47C92A" w14:textId="77777777">
      <w:pPr>
        <w:spacing w:after="0" w:line="240" w:lineRule="auto"/>
        <w:jc w:val="center"/>
        <w:rPr>
          <w:rFonts w:ascii="Times New Roman" w:eastAsia="Calibri" w:hAnsi="Times New Roman" w:cs="Times New Roman"/>
          <w:b/>
          <w:sz w:val="28"/>
          <w:szCs w:val="28"/>
          <w:u w:val="single"/>
          <w:lang w:eastAsia="en-US"/>
        </w:rPr>
      </w:pPr>
      <w:r>
        <w:rPr>
          <w:rFonts w:ascii="Times New Roman" w:eastAsia="Calibri" w:hAnsi="Times New Roman" w:cs="Times New Roman"/>
          <w:b/>
          <w:sz w:val="28"/>
          <w:szCs w:val="28"/>
          <w:u w:val="single"/>
          <w:lang w:eastAsia="en-US"/>
        </w:rPr>
        <w:t xml:space="preserve">1053100000 </w:t>
      </w:r>
    </w:p>
    <w:p w:rsidR="00B33F96" w:rsidP="00B33F96" w14:paraId="22FD5ED9" w14:textId="77777777">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(код бюджету)</w:t>
      </w:r>
    </w:p>
    <w:p w:rsidR="00B33F96" w:rsidP="00B33F96" w14:paraId="6D2C77C8" w14:textId="77777777">
      <w:pPr>
        <w:spacing w:after="0" w:line="240" w:lineRule="auto"/>
        <w:jc w:val="center"/>
        <w:rPr>
          <w:rFonts w:ascii="Times New Roman" w:eastAsia="Calibri" w:hAnsi="Times New Roman" w:cs="Times New Roman"/>
          <w:b/>
          <w:sz w:val="28"/>
          <w:szCs w:val="28"/>
          <w:lang w:eastAsia="en-US"/>
        </w:rPr>
      </w:pPr>
    </w:p>
    <w:p w:rsidR="00B33F96" w:rsidP="00B33F96" w14:paraId="5DFC2266" w14:textId="77777777">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І. Загальна частина</w:t>
      </w:r>
    </w:p>
    <w:p w:rsidR="00B33F96" w:rsidP="00B33F96" w14:paraId="2CC08EBA" w14:textId="77777777">
      <w:pPr>
        <w:spacing w:after="0" w:line="240" w:lineRule="auto"/>
        <w:jc w:val="center"/>
        <w:rPr>
          <w:rFonts w:ascii="Times New Roman" w:eastAsia="Calibri" w:hAnsi="Times New Roman" w:cs="Times New Roman"/>
          <w:b/>
          <w:sz w:val="28"/>
          <w:szCs w:val="28"/>
          <w:lang w:eastAsia="en-US"/>
        </w:rPr>
      </w:pPr>
    </w:p>
    <w:p w:rsidR="00B33F96" w:rsidP="00B33F96" w14:paraId="72305015" w14:textId="77777777">
      <w:pPr>
        <w:tabs>
          <w:tab w:val="left" w:pos="709"/>
        </w:tabs>
        <w:spacing w:after="0" w:line="240" w:lineRule="auto"/>
        <w:ind w:firstLine="567"/>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 xml:space="preserve">Прогноз бюджету </w:t>
      </w:r>
      <w:r>
        <w:rPr>
          <w:rFonts w:ascii="Times New Roman" w:eastAsia="Calibri" w:hAnsi="Times New Roman" w:cs="Times New Roman"/>
          <w:sz w:val="28"/>
          <w:szCs w:val="28"/>
          <w:lang w:eastAsia="en-US"/>
        </w:rPr>
        <w:t>Броварської</w:t>
      </w:r>
      <w:r>
        <w:rPr>
          <w:rFonts w:ascii="Times New Roman" w:eastAsia="Times New Roman" w:hAnsi="Times New Roman" w:cs="Times New Roman"/>
          <w:sz w:val="28"/>
          <w:szCs w:val="28"/>
          <w:lang w:eastAsia="ru-RU"/>
        </w:rPr>
        <w:t xml:space="preserve"> міської територіальної громади                                                    на 2026-2028 роки (далі – Прогноз бюджету) розроблено </w:t>
      </w:r>
      <w:r>
        <w:rPr>
          <w:rFonts w:ascii="Times New Roman" w:eastAsia="Calibri" w:hAnsi="Times New Roman" w:cs="Times New Roman"/>
          <w:sz w:val="28"/>
          <w:szCs w:val="28"/>
          <w:lang w:eastAsia="en-US"/>
        </w:rPr>
        <w:t>на основі положень Податкового та  Бюджетного кодексів України, ст. 75</w:t>
      </w:r>
      <w:r>
        <w:rPr>
          <w:rFonts w:ascii="Times New Roman" w:eastAsia="Calibri" w:hAnsi="Times New Roman" w:cs="Times New Roman"/>
          <w:sz w:val="28"/>
          <w:szCs w:val="28"/>
          <w:vertAlign w:val="superscript"/>
          <w:lang w:eastAsia="en-US"/>
        </w:rPr>
        <w:t>1</w:t>
      </w:r>
      <w:r>
        <w:rPr>
          <w:rFonts w:ascii="Times New Roman" w:eastAsia="Calibri" w:hAnsi="Times New Roman" w:cs="Times New Roman"/>
          <w:sz w:val="28"/>
          <w:szCs w:val="28"/>
          <w:lang w:eastAsia="en-US"/>
        </w:rPr>
        <w:t xml:space="preserve"> Бюджетного кодексу України, дію якої відновлено Законом України від 18.09.2024 № 3979-ІХ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Основних прогнозних </w:t>
      </w:r>
      <w:r>
        <w:rPr>
          <w:rFonts w:ascii="Times New Roman" w:eastAsia="Calibri" w:hAnsi="Times New Roman" w:cs="Times New Roman"/>
          <w:sz w:val="28"/>
          <w:szCs w:val="28"/>
          <w:lang w:eastAsia="en-US"/>
        </w:rPr>
        <w:t>макропоказниках</w:t>
      </w:r>
      <w:r>
        <w:rPr>
          <w:rFonts w:ascii="Times New Roman" w:eastAsia="Calibri" w:hAnsi="Times New Roman" w:cs="Times New Roman"/>
          <w:sz w:val="28"/>
          <w:szCs w:val="28"/>
          <w:lang w:eastAsia="en-US"/>
        </w:rPr>
        <w:t xml:space="preserve"> економічного і соціального розвитку України на 2026-2028 роки (лист Мінекономіки від 14.04.2025 № 3011-02/30287-03), Програми діяльності Кабінету Міністрів України, Цілей сталого розвитку України на період до 2034 року, Національної економічної стратегії на період до 2030 року</w:t>
      </w:r>
      <w:r>
        <w:rPr>
          <w:rFonts w:ascii="Times New Roman" w:eastAsia="Times New Roman" w:hAnsi="Times New Roman" w:cs="Times New Roman"/>
          <w:sz w:val="28"/>
          <w:szCs w:val="28"/>
          <w:lang w:eastAsia="ru-RU"/>
        </w:rPr>
        <w:t xml:space="preserve">, постанови Кабінету Міністрів України від 27 червня 2025 року № 774 «Про схвалення Бюджетної декларації на 2026-2028 роки», </w:t>
      </w:r>
      <w:r>
        <w:rPr>
          <w:rFonts w:ascii="Times New Roman" w:eastAsia="Calibri" w:hAnsi="Times New Roman" w:cs="Times New Roman"/>
          <w:sz w:val="28"/>
          <w:szCs w:val="28"/>
          <w:lang w:eastAsia="en-US"/>
        </w:rPr>
        <w:t>враховуючи Методичні рекомендації та Інструкцію щодо складання місцевих бюджетів на середньострокову перспективу, затверджених наказом Міністерства фінансів України від  02.06.2021  № 314   (зі змінами</w:t>
      </w:r>
      <w:r>
        <w:rPr>
          <w:rFonts w:ascii="Times New Roman" w:eastAsia="Times New Roman" w:hAnsi="Times New Roman" w:cs="Times New Roman"/>
          <w:sz w:val="28"/>
          <w:szCs w:val="28"/>
          <w:lang w:eastAsia="ru-RU"/>
        </w:rPr>
        <w:t xml:space="preserve"> та доповненнями</w:t>
      </w:r>
      <w:r>
        <w:rPr>
          <w:rFonts w:ascii="Times New Roman" w:eastAsia="Calibri" w:hAnsi="Times New Roman" w:cs="Times New Roman"/>
          <w:sz w:val="28"/>
          <w:szCs w:val="28"/>
          <w:lang w:eastAsia="en-US"/>
        </w:rPr>
        <w:t xml:space="preserve">), Методичні рекомендації щодо організації середньострокового бюджетного планування на місцевому рівні, затверджених наказом Міністерства фінансів України від  23.05.2025  № 271, </w:t>
      </w:r>
      <w:r>
        <w:rPr>
          <w:rFonts w:ascii="Times New Roman" w:eastAsia="Times New Roman" w:hAnsi="Times New Roman" w:cs="Times New Roman"/>
          <w:sz w:val="28"/>
          <w:szCs w:val="28"/>
          <w:lang w:eastAsia="ru-RU"/>
        </w:rPr>
        <w:t xml:space="preserve"> лист Міністерства фінансів України від 09 липня 2025 року № 05120-08-6/19235 «Щодо особливостей середньострокового бюджетного планування та складання розрахунків до прогнозів місцевих бюджетів» </w:t>
      </w:r>
      <w:r>
        <w:rPr>
          <w:rFonts w:ascii="Times New Roman" w:eastAsia="Calibri" w:hAnsi="Times New Roman" w:cs="Times New Roman"/>
          <w:sz w:val="28"/>
          <w:szCs w:val="28"/>
          <w:lang w:eastAsia="en-US"/>
        </w:rPr>
        <w:t>та інші документи, що стосуються середньострокового планування.</w:t>
      </w:r>
    </w:p>
    <w:p w:rsidR="00B33F96" w:rsidP="00B33F96" w14:paraId="427D1FA7" w14:textId="77777777">
      <w:pPr>
        <w:tabs>
          <w:tab w:val="left" w:pos="709"/>
        </w:tabs>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ru-RU" w:eastAsia="en-US"/>
        </w:rPr>
        <w:t>Запровадження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середньострокового</w:t>
      </w:r>
      <w:r>
        <w:rPr>
          <w:rFonts w:ascii="Times New Roman" w:eastAsia="Calibri" w:hAnsi="Times New Roman" w:cs="Times New Roman"/>
          <w:sz w:val="28"/>
          <w:szCs w:val="28"/>
          <w:lang w:val="ru-RU" w:eastAsia="en-US"/>
        </w:rPr>
        <w:t xml:space="preserve"> бюджетного </w:t>
      </w:r>
      <w:r>
        <w:rPr>
          <w:rFonts w:ascii="Times New Roman" w:eastAsia="Calibri" w:hAnsi="Times New Roman" w:cs="Times New Roman"/>
          <w:sz w:val="28"/>
          <w:szCs w:val="28"/>
          <w:lang w:val="ru-RU" w:eastAsia="en-US"/>
        </w:rPr>
        <w:t>планування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сприятиме</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забезпеченню</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фінансової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стабільності</w:t>
      </w:r>
      <w:r>
        <w:rPr>
          <w:rFonts w:ascii="Times New Roman" w:eastAsia="Calibri" w:hAnsi="Times New Roman" w:cs="Times New Roman"/>
          <w:sz w:val="28"/>
          <w:szCs w:val="28"/>
          <w:lang w:val="ru-RU" w:eastAsia="en-US"/>
        </w:rPr>
        <w:t xml:space="preserve"> та </w:t>
      </w:r>
      <w:r>
        <w:rPr>
          <w:rFonts w:ascii="Times New Roman" w:eastAsia="Calibri" w:hAnsi="Times New Roman" w:cs="Times New Roman"/>
          <w:sz w:val="28"/>
          <w:szCs w:val="28"/>
          <w:lang w:val="ru-RU" w:eastAsia="en-US"/>
        </w:rPr>
        <w:t>зміцненню</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економічного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зростання</w:t>
      </w:r>
      <w:r>
        <w:rPr>
          <w:rFonts w:ascii="Times New Roman" w:eastAsia="Calibri" w:hAnsi="Times New Roman" w:cs="Times New Roman"/>
          <w:sz w:val="28"/>
          <w:szCs w:val="28"/>
          <w:lang w:val="ru-RU" w:eastAsia="en-US"/>
        </w:rPr>
        <w:t xml:space="preserve"> у </w:t>
      </w:r>
      <w:r>
        <w:rPr>
          <w:rFonts w:ascii="Times New Roman" w:eastAsia="Calibri" w:hAnsi="Times New Roman" w:cs="Times New Roman"/>
          <w:sz w:val="28"/>
          <w:szCs w:val="28"/>
          <w:lang w:val="ru-RU" w:eastAsia="en-US"/>
        </w:rPr>
        <w:t>середньостроковій</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перспективі</w:t>
      </w:r>
      <w:r>
        <w:rPr>
          <w:rFonts w:ascii="Times New Roman" w:eastAsia="Calibri" w:hAnsi="Times New Roman" w:cs="Times New Roman"/>
          <w:sz w:val="28"/>
          <w:szCs w:val="28"/>
          <w:lang w:val="ru-RU" w:eastAsia="en-US"/>
        </w:rPr>
        <w:t xml:space="preserve">. </w:t>
      </w:r>
      <w:r>
        <w:rPr>
          <w:rFonts w:ascii="Times New Roman" w:eastAsia="Times New Roman" w:hAnsi="Times New Roman" w:cs="Times New Roman"/>
          <w:sz w:val="28"/>
          <w:szCs w:val="28"/>
          <w:lang w:eastAsia="ru-RU"/>
        </w:rPr>
        <w:t xml:space="preserve">Процес планування бюджету на середньострокову перспективу, як метод удосконалення процесу прийняття бюджетних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 xml:space="preserve">ішень, </w:t>
      </w:r>
      <w:r>
        <w:rPr>
          <w:rFonts w:ascii="Times New Roman" w:eastAsia="Calibri" w:hAnsi="Times New Roman" w:cs="Times New Roman"/>
          <w:sz w:val="28"/>
          <w:szCs w:val="28"/>
          <w:lang w:eastAsia="en-US"/>
        </w:rPr>
        <w:t>с</w:t>
      </w:r>
      <w:r>
        <w:rPr>
          <w:rFonts w:ascii="Times New Roman" w:eastAsia="Calibri" w:hAnsi="Times New Roman" w:cs="Times New Roman"/>
          <w:sz w:val="28"/>
          <w:szCs w:val="28"/>
          <w:lang w:val="ru-RU" w:eastAsia="en-US"/>
        </w:rPr>
        <w:t>прямован</w:t>
      </w:r>
      <w:r>
        <w:rPr>
          <w:rFonts w:ascii="Times New Roman" w:eastAsia="Calibri" w:hAnsi="Times New Roman" w:cs="Times New Roman"/>
          <w:sz w:val="28"/>
          <w:szCs w:val="28"/>
          <w:lang w:eastAsia="en-US"/>
        </w:rPr>
        <w:t>ий</w:t>
      </w:r>
      <w:r>
        <w:rPr>
          <w:rFonts w:ascii="Times New Roman" w:eastAsia="Calibri" w:hAnsi="Times New Roman" w:cs="Times New Roman"/>
          <w:sz w:val="28"/>
          <w:szCs w:val="28"/>
          <w:lang w:val="ru-RU" w:eastAsia="en-US"/>
        </w:rPr>
        <w:t xml:space="preserve"> на </w:t>
      </w:r>
      <w:r>
        <w:rPr>
          <w:rFonts w:ascii="Times New Roman" w:eastAsia="Calibri" w:hAnsi="Times New Roman" w:cs="Times New Roman"/>
          <w:sz w:val="28"/>
          <w:szCs w:val="28"/>
          <w:lang w:val="ru-RU" w:eastAsia="en-US"/>
        </w:rPr>
        <w:t>забезпечення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економічного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зростання</w:t>
      </w:r>
      <w:r>
        <w:rPr>
          <w:rFonts w:ascii="Times New Roman" w:eastAsia="Calibri" w:hAnsi="Times New Roman" w:cs="Times New Roman"/>
          <w:sz w:val="28"/>
          <w:szCs w:val="28"/>
          <w:lang w:val="ru-RU" w:eastAsia="en-US"/>
        </w:rPr>
        <w:t xml:space="preserve"> та </w:t>
      </w:r>
      <w:r>
        <w:rPr>
          <w:rFonts w:ascii="Times New Roman" w:eastAsia="Calibri" w:hAnsi="Times New Roman" w:cs="Times New Roman"/>
          <w:sz w:val="28"/>
          <w:szCs w:val="28"/>
          <w:lang w:val="ru-RU" w:eastAsia="en-US"/>
        </w:rPr>
        <w:t>сталого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розвитку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громади</w:t>
      </w:r>
      <w:r>
        <w:rPr>
          <w:rFonts w:ascii="Times New Roman" w:eastAsia="Calibri" w:hAnsi="Times New Roman" w:cs="Times New Roman"/>
          <w:sz w:val="28"/>
          <w:szCs w:val="28"/>
          <w:lang w:val="ru-RU" w:eastAsia="en-US"/>
        </w:rPr>
        <w:t xml:space="preserve">. </w:t>
      </w:r>
    </w:p>
    <w:p w:rsidR="00B33F96" w:rsidP="00B33F96" w14:paraId="5534246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Законом України від 16 січня 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B33F96" w:rsidP="00B33F96" w14:paraId="4C65825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Прогноз бюджету Броварської  міської територіальної громади на 2026-2028 роки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розвитку громади, визначення довгострокових фінансових та інвестиційних програм, досягнення організаційної чіткості і ефективності виконання завдань, поставлених перед територіальною громадою. Середньострокове бюджетне планування передбачає раціональне залучення коштів та розподіл ресурсів щодо визначених пріоритетів Броварської міської територіальної громади.</w:t>
      </w:r>
    </w:p>
    <w:p w:rsidR="00B33F96" w:rsidP="00B33F96" w14:paraId="6D465EA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Метою Прогнозу є </w:t>
      </w:r>
      <w:r>
        <w:rPr>
          <w:rFonts w:ascii="Times New Roman" w:eastAsia="Calibri" w:hAnsi="Times New Roman" w:cs="Times New Roman"/>
          <w:sz w:val="28"/>
          <w:szCs w:val="28"/>
          <w:lang w:eastAsia="en-US"/>
        </w:rPr>
        <w:t>запровадження середньострокового бюджетного прогнозування для встановлення взаємозв’язку між стратегічними цілями розвитку міста та можливостями бюджету</w:t>
      </w:r>
      <w:r>
        <w:rPr>
          <w:rFonts w:ascii="Times New Roman" w:eastAsia="Times New Roman" w:hAnsi="Times New Roman" w:cs="Times New Roman"/>
          <w:sz w:val="28"/>
          <w:szCs w:val="28"/>
          <w:lang w:eastAsia="ru-RU"/>
        </w:rPr>
        <w:t xml:space="preserve"> у середньостроковій перспективі, забезпечення послідовності та передбачуваності бюджетної політики, створення дієвого механізму управління бюджетним процесом.</w:t>
      </w:r>
    </w:p>
    <w:p w:rsidR="00B33F96" w:rsidP="00B33F96" w14:paraId="3FA93F9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Прогноз є стратегічним документом планування показників бюджету Броварської міської територіальної громади на середньостроковий період і основою для складання </w:t>
      </w:r>
      <w:r>
        <w:rPr>
          <w:rFonts w:ascii="Times New Roman" w:eastAsia="Times New Roman" w:hAnsi="Times New Roman" w:cs="Times New Roman"/>
          <w:sz w:val="28"/>
          <w:szCs w:val="28"/>
          <w:lang w:eastAsia="ru-RU"/>
        </w:rPr>
        <w:t>проєкту</w:t>
      </w:r>
      <w:r>
        <w:rPr>
          <w:rFonts w:ascii="Times New Roman" w:eastAsia="Times New Roman" w:hAnsi="Times New Roman" w:cs="Times New Roman"/>
          <w:sz w:val="28"/>
          <w:szCs w:val="28"/>
          <w:lang w:eastAsia="ru-RU"/>
        </w:rPr>
        <w:t xml:space="preserve"> бюджету Броварської міської територіальної громади на 2026 рік.</w:t>
      </w:r>
    </w:p>
    <w:p w:rsidR="00B33F96" w:rsidP="00B33F96" w14:paraId="5AF8B24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Основними цілями  бюджетної політики Броварської міської територіальної громади є:</w:t>
      </w:r>
    </w:p>
    <w:p w:rsidR="00B33F96" w:rsidP="00B33F96" w14:paraId="11DB6F3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надходжень до бюджету Броварської міської територіальної громади з урахуванням позитивної динаміки у порівнянні з попередніми роками, </w:t>
      </w:r>
      <w:r>
        <w:rPr>
          <w:rFonts w:ascii="Times New Roman" w:eastAsia="Calibri" w:hAnsi="Times New Roman" w:cs="Times New Roman"/>
          <w:sz w:val="28"/>
          <w:szCs w:val="28"/>
          <w:lang w:eastAsia="en-US"/>
        </w:rPr>
        <w:t>визначення резервів росту доходів бюджету Броварської міської територіальної громади;</w:t>
      </w:r>
    </w:p>
    <w:p w:rsidR="00B33F96" w:rsidP="00B33F96" w14:paraId="2A4721C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вжиття заходів до залучення додаткових надходжень до бюджету Броварської міської територіальної громади, зокрема, шляхом забезпечення ефективного управління об’єктами комунальної власності та земельними ресурсами;</w:t>
      </w:r>
    </w:p>
    <w:p w:rsidR="00B33F96" w:rsidP="00B33F96" w14:paraId="05E8502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врахування основних положень бюджетно-податкової політики, дотримання фінансової дисципліни, підвищення рівня прозорості та раціональності бюджетного процесу;</w:t>
      </w:r>
    </w:p>
    <w:p w:rsidR="00B33F96" w:rsidP="00B33F96" w14:paraId="3C578EC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концентрація ресурсів бюджету на виконанні пріоритетних цілей та завдань, спрямованих на соціально-економічний розвиток Броварської міської територіальної громади, передбачених Стратегією розвитку Броварської </w:t>
      </w:r>
      <w:r>
        <w:rPr>
          <w:rFonts w:ascii="Times New Roman" w:eastAsia="Times New Roman" w:hAnsi="Times New Roman" w:cs="Times New Roman"/>
          <w:sz w:val="28"/>
          <w:szCs w:val="28"/>
          <w:lang w:eastAsia="ru-RU"/>
        </w:rPr>
        <w:t>міської територіальної громади;</w:t>
      </w:r>
    </w:p>
    <w:p w:rsidR="00B33F96" w:rsidP="00B33F96" w14:paraId="060C70D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рівня обґрунтованості бюджетного планування шляхом встановлення взаємозв'язку бюджетних показників із стратегічними цілями соціально-економічного розвитку Броварської міської територіальної громади та планування бюджету на середньострокову перспективу;</w:t>
      </w:r>
    </w:p>
    <w:p w:rsidR="00B33F96" w:rsidP="00B33F96" w14:paraId="26526D3C"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здійснення видатків бюджету відповідно до соціальних стандартів; </w:t>
      </w:r>
    </w:p>
    <w:p w:rsidR="00B33F96" w:rsidP="00B33F96" w14:paraId="43354AF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підвищення фінансової дисципліни, посилення прозорості, ефективності витрачання бюджетних коштів та якісне надання публічних послуг, здійснення оптимізації витрат шляхом виключення непріоритетних та неефективних видатків; </w:t>
      </w:r>
    </w:p>
    <w:p w:rsidR="00B33F96" w:rsidP="00B33F96" w14:paraId="6E890FE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гендерної рівності, кліматичної стійкості та соціальної справедливості, а також підвищенню якості життя населення Броварської міської територіальної громади;</w:t>
      </w:r>
    </w:p>
    <w:p w:rsidR="00B33F96" w:rsidP="00B33F96" w14:paraId="1B3544D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стабільного функціонування бюджетних установ Броварської міської територіальної громади та виконання заходів, передбачених місцевими цільовими програмами;</w:t>
      </w:r>
    </w:p>
    <w:p w:rsidR="00B33F96" w:rsidP="00B33F96" w14:paraId="659F30C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фінансування проектів (програм), що мають термін реалізації більше одного року;</w:t>
      </w:r>
    </w:p>
    <w:p w:rsidR="00B33F96" w:rsidP="00B33F96" w14:paraId="271FAE2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впровадження нової моделі управління публічними інвестиціями з метою створення прозорої, єдиної системи управління фінансовими ресурсами бюджету.</w:t>
      </w:r>
    </w:p>
    <w:p w:rsidR="00B33F96" w:rsidP="00B33F96" w14:paraId="056979F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Основними завданнями Прогнозу бюджету </w:t>
      </w:r>
      <w:r>
        <w:rPr>
          <w:rFonts w:ascii="Times New Roman" w:eastAsia="Calibri" w:hAnsi="Times New Roman" w:cs="Times New Roman"/>
          <w:sz w:val="28"/>
          <w:szCs w:val="28"/>
          <w:lang w:eastAsia="en-US"/>
        </w:rPr>
        <w:t>Броварської</w:t>
      </w:r>
      <w:r>
        <w:rPr>
          <w:rFonts w:ascii="Times New Roman" w:eastAsia="Times New Roman" w:hAnsi="Times New Roman" w:cs="Times New Roman"/>
          <w:sz w:val="28"/>
          <w:szCs w:val="28"/>
          <w:lang w:eastAsia="ru-RU"/>
        </w:rPr>
        <w:t xml:space="preserve"> міської територіальної громади є: </w:t>
      </w:r>
    </w:p>
    <w:p w:rsidR="00B33F96" w:rsidP="00B33F96" w14:paraId="3A78EA7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планування реальних надходжень бюджету </w:t>
      </w:r>
      <w:r>
        <w:rPr>
          <w:rFonts w:ascii="Times New Roman" w:eastAsia="Calibri" w:hAnsi="Times New Roman" w:cs="Times New Roman"/>
          <w:sz w:val="28"/>
          <w:szCs w:val="28"/>
          <w:lang w:eastAsia="en-US"/>
        </w:rPr>
        <w:t>Броварської</w:t>
      </w:r>
      <w:r>
        <w:rPr>
          <w:rFonts w:ascii="Times New Roman" w:eastAsia="Times New Roman" w:hAnsi="Times New Roman" w:cs="Times New Roman"/>
          <w:sz w:val="28"/>
          <w:szCs w:val="28"/>
          <w:lang w:eastAsia="ru-RU"/>
        </w:rPr>
        <w:t xml:space="preserve"> міської територіальної громади на основі макроекономічних показників економічного і соціального розвитку територіальної громади з урахування норм бюджетного та податкового законодавства і фактичного рівня відповідних надходжень;</w:t>
      </w:r>
    </w:p>
    <w:p w:rsidR="00B33F96" w:rsidP="00B33F96" w14:paraId="4BC7F37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вжиття заходів до залучення додаткових надходжень до бюджету </w:t>
      </w:r>
      <w:r>
        <w:rPr>
          <w:rFonts w:ascii="Times New Roman" w:eastAsia="Calibri" w:hAnsi="Times New Roman" w:cs="Times New Roman"/>
          <w:sz w:val="28"/>
          <w:szCs w:val="28"/>
          <w:lang w:eastAsia="en-US"/>
        </w:rPr>
        <w:t>Броварської</w:t>
      </w:r>
      <w:r>
        <w:rPr>
          <w:rFonts w:ascii="Times New Roman" w:eastAsia="Times New Roman" w:hAnsi="Times New Roman" w:cs="Times New Roman"/>
          <w:sz w:val="28"/>
          <w:szCs w:val="28"/>
          <w:lang w:eastAsia="ru-RU"/>
        </w:rPr>
        <w:t xml:space="preserve"> міської територіальної громади, зокрема, шляхом забезпечення ефективного управління об’єктами комунальної власності та земельними ресурсами; </w:t>
      </w:r>
    </w:p>
    <w:p w:rsidR="00B33F96" w:rsidP="00B33F96" w14:paraId="50D39EA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макроекономічної стабільності, стійкості та збалансованості бюджетної системи;</w:t>
      </w:r>
    </w:p>
    <w:p w:rsidR="00B33F96" w:rsidP="00B33F96" w14:paraId="6179592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B33F96" w:rsidP="00B33F96" w14:paraId="075D549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посилення бюджетної дисципліни та контролю за витратами бюджету; </w:t>
      </w:r>
    </w:p>
    <w:p w:rsidR="00B33F96" w:rsidP="00B33F96" w14:paraId="22837D53"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забезпечення стабільного функціонування бюджетних установ та виконання заходів, передбачених міськими цільовими (комплексними) програмами; </w:t>
      </w:r>
    </w:p>
    <w:p w:rsidR="00B33F96" w:rsidP="00B33F96" w14:paraId="296BA9C7"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забезпечення у повному обсязі видатків на оплату праці 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w:t>
      </w:r>
      <w:r>
        <w:rPr>
          <w:rFonts w:ascii="Times New Roman" w:eastAsia="Calibri" w:hAnsi="Times New Roman" w:cs="Times New Roman"/>
          <w:sz w:val="28"/>
          <w:szCs w:val="28"/>
          <w:lang w:eastAsia="en-US"/>
        </w:rPr>
        <w:t xml:space="preserve"> </w:t>
      </w:r>
    </w:p>
    <w:p w:rsidR="00B33F96" w:rsidP="00B33F96" w14:paraId="225CFBDB"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запровадження дієвих заходів з енергозбереження; </w:t>
      </w:r>
    </w:p>
    <w:p w:rsidR="00B33F96" w:rsidP="00B33F96" w14:paraId="6436BBC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впровадження нової моделі управління публічними інвестиціями з метою створення прозорої, єдиної системи управління фінансовими ресурсами бюджету.</w:t>
      </w:r>
    </w:p>
    <w:p w:rsidR="00B33F96" w:rsidP="00B33F96" w14:paraId="22CDA19F"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Прогноз бюджету Броварської міської територіальної громади на 2026-2028 роки зорієнтований на:</w:t>
      </w:r>
    </w:p>
    <w:p w:rsidR="00B33F96" w:rsidP="00B33F96" w14:paraId="45BE27AE"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формування сприятливого економічного середовища, забезпечення збалансованості та стабільного функціонування бюджетної системи Броварської міської територіальної громади;</w:t>
      </w:r>
    </w:p>
    <w:p w:rsidR="00B33F96" w:rsidP="00B33F96" w14:paraId="2B050CAA"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забезпечення виконання гарантованих державою соціальних зобов’язань;</w:t>
      </w:r>
    </w:p>
    <w:p w:rsidR="00B33F96" w:rsidP="00B33F96" w14:paraId="7BC3900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балансу між надходженнями та видатками до бюджету Броварської міської територіальної громади на кожний рік Прогнозу; </w:t>
      </w:r>
    </w:p>
    <w:p w:rsidR="00B33F96" w:rsidP="00B33F96" w14:paraId="187A28B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головними розпорядниками бюджетних коштів плану своєї діяльності на середньостроковий період, визначення обсягів необхідних коштів для досягнення поставлених цілей у середньостроковій перспективі;</w:t>
      </w:r>
    </w:p>
    <w:p w:rsidR="00B33F96" w:rsidP="00B33F96" w14:paraId="21783D1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досягнення максимальної ефективності використання бюджетних коштів в процесі виконання бюджетних програм (з врахуванням змін у бюджетному законодавстві), забезпечення ефективності розподілу ресурсів бюджету Броварської  міської територіальної громади;</w:t>
      </w:r>
    </w:p>
    <w:p w:rsidR="00B33F96" w:rsidP="00B33F96" w14:paraId="1CCD2C1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сприяння розвитку інноваційного потенціалу та інвестиційної привабливості.</w:t>
      </w:r>
    </w:p>
    <w:p w:rsidR="00B33F96" w:rsidP="00B33F96" w14:paraId="0621752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Невиконання прогнозних показників бюджету Броварської міської територіальної громади на 2026 – 2028 роки може відбутись у разі змін в макроекономічному середовищі, спричинених продовженням країною-агресором бойових дій та ракетних атак на енергосистему та цілеспрямованим руйнуванням об’єктів критичної інфраструктури, промисловості, змінами бюджетного та податкового законодавства, з погіршенням внутрішніх та зовнішніх умов функціонування економіки, ризики бюджетної системи, поширення неплатоспроможності реального сектору економіки, невідповідності основних прогнозних показників економічного і соціального розвитку громади показникам, врахованим під час формування прогнозу. </w:t>
      </w:r>
    </w:p>
    <w:p w:rsidR="00B33F96" w:rsidP="00B33F96" w14:paraId="225811CE" w14:textId="77777777">
      <w:pPr>
        <w:spacing w:after="0" w:line="240" w:lineRule="auto"/>
        <w:ind w:firstLine="567"/>
        <w:jc w:val="both"/>
        <w:rPr>
          <w:rFonts w:ascii="Times New Roman" w:eastAsia="Calibri" w:hAnsi="Times New Roman" w:cs="Times New Roman"/>
          <w:sz w:val="28"/>
          <w:szCs w:val="28"/>
          <w:lang w:eastAsia="en-US"/>
        </w:rPr>
      </w:pPr>
    </w:p>
    <w:p w:rsidR="00B33F96" w:rsidP="00B33F96" w14:paraId="27AFD172" w14:textId="77777777">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ІІ. Основні прогнозні показники економічного та соціального розвитку</w:t>
      </w:r>
    </w:p>
    <w:p w:rsidR="00B33F96" w:rsidP="00B33F96" w14:paraId="1F02D271" w14:textId="77777777">
      <w:pPr>
        <w:spacing w:after="0" w:line="240" w:lineRule="auto"/>
        <w:ind w:firstLine="567"/>
        <w:jc w:val="both"/>
        <w:rPr>
          <w:rFonts w:ascii="Times New Roman" w:eastAsia="Calibri" w:hAnsi="Times New Roman" w:cs="Times New Roman"/>
          <w:b/>
          <w:sz w:val="28"/>
          <w:szCs w:val="28"/>
          <w:lang w:eastAsia="en-US"/>
        </w:rPr>
      </w:pPr>
    </w:p>
    <w:p w:rsidR="00B33F96" w:rsidP="00B33F96" w14:paraId="4A4FEC3A"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Поточний стан соціально-економічного розвитку</w:t>
      </w:r>
    </w:p>
    <w:p w:rsidR="00B33F96" w:rsidP="00B33F96" w14:paraId="7726493B" w14:textId="77777777">
      <w:pPr>
        <w:spacing w:after="0" w:line="240" w:lineRule="auto"/>
        <w:ind w:firstLine="567"/>
        <w:jc w:val="center"/>
        <w:rPr>
          <w:rFonts w:ascii="Times New Roman" w:eastAsia="Calibri" w:hAnsi="Times New Roman" w:cs="Times New Roman"/>
          <w:b/>
          <w:sz w:val="16"/>
          <w:szCs w:val="16"/>
          <w:lang w:eastAsia="en-US"/>
        </w:rPr>
      </w:pPr>
    </w:p>
    <w:p w:rsidR="00B33F96" w:rsidP="00B33F96" w14:paraId="12D4464F"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 ході адміністративно-територіальної реформи розпорядженням Кабінету Міністрів України № 715-р від 12.06.2020 р. утворено Броварську міську територіальну громаду шляхом об’єднання чотирьох адміністративних одиниць Броварського району Київської області: міста Бровари, сіл Княжичі, </w:t>
      </w:r>
      <w:r>
        <w:rPr>
          <w:rFonts w:ascii="Times New Roman" w:eastAsia="Times New Roman" w:hAnsi="Times New Roman" w:cs="Times New Roman"/>
          <w:sz w:val="28"/>
          <w:szCs w:val="28"/>
        </w:rPr>
        <w:t>Требухів</w:t>
      </w:r>
      <w:r>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Сотницьке</w:t>
      </w:r>
      <w:r>
        <w:rPr>
          <w:rFonts w:ascii="Times New Roman" w:eastAsia="Times New Roman" w:hAnsi="Times New Roman" w:cs="Times New Roman"/>
          <w:sz w:val="28"/>
          <w:szCs w:val="28"/>
        </w:rPr>
        <w:t>, яка фактично сформувалась     9 лютого 2021 року. Бровари -  адміністративний центр громади, центр Броварського району. </w:t>
      </w:r>
    </w:p>
    <w:p w:rsidR="00B33F96" w:rsidP="00B33F96" w14:paraId="749A117F"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Громада займає площу 124,138 </w:t>
      </w:r>
      <w:r>
        <w:rPr>
          <w:rFonts w:ascii="Times New Roman" w:eastAsia="Times New Roman" w:hAnsi="Times New Roman" w:cs="Times New Roman"/>
          <w:sz w:val="28"/>
          <w:szCs w:val="28"/>
          <w:shd w:val="clear" w:color="auto" w:fill="FFFFFF"/>
        </w:rPr>
        <w:t>км²</w:t>
      </w:r>
      <w:r>
        <w:rPr>
          <w:rFonts w:ascii="Times New Roman" w:eastAsia="Times New Roman" w:hAnsi="Times New Roman" w:cs="Times New Roman"/>
          <w:sz w:val="28"/>
          <w:szCs w:val="28"/>
        </w:rPr>
        <w:t xml:space="preserve">, що становить 4,3% площі Броварського району.  Загальна площа земель м. Бровари складає  34 </w:t>
      </w:r>
      <w:r>
        <w:rPr>
          <w:rFonts w:ascii="Times New Roman" w:eastAsia="Times New Roman" w:hAnsi="Times New Roman" w:cs="Times New Roman"/>
          <w:sz w:val="28"/>
          <w:szCs w:val="28"/>
          <w:shd w:val="clear" w:color="auto" w:fill="FFFFFF"/>
        </w:rPr>
        <w:t>км²</w:t>
      </w:r>
      <w:r>
        <w:rPr>
          <w:rFonts w:ascii="Times New Roman" w:eastAsia="Times New Roman" w:hAnsi="Times New Roman" w:cs="Times New Roman"/>
          <w:sz w:val="28"/>
          <w:szCs w:val="28"/>
        </w:rPr>
        <w:t xml:space="preserve"> ,    с. </w:t>
      </w:r>
      <w:r>
        <w:rPr>
          <w:rFonts w:ascii="Times New Roman" w:eastAsia="Times New Roman" w:hAnsi="Times New Roman" w:cs="Times New Roman"/>
          <w:sz w:val="28"/>
          <w:szCs w:val="28"/>
        </w:rPr>
        <w:t xml:space="preserve">Княжичі – 35,4697 </w:t>
      </w:r>
      <w:r>
        <w:rPr>
          <w:rFonts w:ascii="Times New Roman" w:eastAsia="Times New Roman" w:hAnsi="Times New Roman" w:cs="Times New Roman"/>
          <w:sz w:val="28"/>
          <w:szCs w:val="28"/>
          <w:shd w:val="clear" w:color="auto" w:fill="FFFFFF"/>
        </w:rPr>
        <w:t>км²</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Требухів</w:t>
      </w:r>
      <w:r>
        <w:rPr>
          <w:rFonts w:ascii="Times New Roman" w:eastAsia="Times New Roman" w:hAnsi="Times New Roman" w:cs="Times New Roman"/>
          <w:sz w:val="28"/>
          <w:szCs w:val="28"/>
        </w:rPr>
        <w:t xml:space="preserve">  14,0906 </w:t>
      </w:r>
      <w:r>
        <w:rPr>
          <w:rFonts w:ascii="Times New Roman" w:eastAsia="Times New Roman" w:hAnsi="Times New Roman" w:cs="Times New Roman"/>
          <w:sz w:val="28"/>
          <w:szCs w:val="28"/>
          <w:shd w:val="clear" w:color="auto" w:fill="FFFFFF"/>
        </w:rPr>
        <w:t>км²</w:t>
      </w:r>
      <w:r>
        <w:rPr>
          <w:rFonts w:ascii="Times New Roman" w:eastAsia="Times New Roman" w:hAnsi="Times New Roman" w:cs="Times New Roman"/>
          <w:sz w:val="28"/>
          <w:szCs w:val="28"/>
          <w:shd w:val="clear" w:color="auto" w:fill="FFFFFF"/>
        </w:rPr>
        <w:t xml:space="preserve">, с. </w:t>
      </w:r>
      <w:r>
        <w:rPr>
          <w:rFonts w:ascii="Times New Roman" w:eastAsia="Times New Roman" w:hAnsi="Times New Roman" w:cs="Times New Roman"/>
          <w:sz w:val="28"/>
          <w:szCs w:val="28"/>
          <w:shd w:val="clear" w:color="auto" w:fill="FFFFFF"/>
        </w:rPr>
        <w:t>Сотницьке</w:t>
      </w:r>
      <w:r>
        <w:rPr>
          <w:rFonts w:ascii="Times New Roman" w:eastAsia="Times New Roman" w:hAnsi="Times New Roman" w:cs="Times New Roman"/>
          <w:sz w:val="28"/>
          <w:szCs w:val="28"/>
        </w:rPr>
        <w:t xml:space="preserve"> – 0,3818 </w:t>
      </w:r>
      <w:r>
        <w:rPr>
          <w:rFonts w:ascii="Times New Roman" w:eastAsia="Times New Roman" w:hAnsi="Times New Roman" w:cs="Times New Roman"/>
          <w:sz w:val="28"/>
          <w:szCs w:val="28"/>
          <w:shd w:val="clear" w:color="auto" w:fill="FFFFFF"/>
        </w:rPr>
        <w:t>км²</w:t>
      </w:r>
      <w:r>
        <w:rPr>
          <w:rFonts w:ascii="Times New Roman" w:eastAsia="Times New Roman" w:hAnsi="Times New Roman" w:cs="Times New Roman"/>
          <w:sz w:val="28"/>
          <w:szCs w:val="28"/>
          <w:shd w:val="clear" w:color="auto" w:fill="FFFFFF"/>
        </w:rPr>
        <w:t xml:space="preserve">, землі за межами населених пунктів сіл громади – 40,1959 </w:t>
      </w:r>
      <w:r>
        <w:rPr>
          <w:rFonts w:ascii="Times New Roman" w:eastAsia="Times New Roman" w:hAnsi="Times New Roman" w:cs="Times New Roman"/>
          <w:sz w:val="28"/>
          <w:szCs w:val="28"/>
          <w:shd w:val="clear" w:color="auto" w:fill="FFFFFF"/>
        </w:rPr>
        <w:t>км²</w:t>
      </w:r>
      <w:r>
        <w:rPr>
          <w:rFonts w:ascii="Times New Roman" w:eastAsia="Times New Roman" w:hAnsi="Times New Roman" w:cs="Times New Roman"/>
          <w:sz w:val="28"/>
          <w:szCs w:val="28"/>
          <w:shd w:val="clear" w:color="auto" w:fill="FFFFFF"/>
        </w:rPr>
        <w:t>.</w:t>
      </w:r>
    </w:p>
    <w:p w:rsidR="00B33F96" w:rsidP="00B33F96" w14:paraId="559E3C4E"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Броварська міська територіальна громада за чисельністю населення – це друга громада з 69-ох в Київській області і найбільша з 8-ми громад у Броварському районі.</w:t>
      </w:r>
    </w:p>
    <w:p w:rsidR="00B33F96" w:rsidP="00B33F96" w14:paraId="327C7040"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Відповідно реєстру Броварської міської територіальної громади станом на 01.01.2025 року в громаді зареєстровано 116 664 особи.</w:t>
      </w:r>
    </w:p>
    <w:p w:rsidR="00B33F96" w:rsidP="00B33F96" w14:paraId="6AEB2103"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Станом на 01.01.2025 в Єдиній інформаційній базі даних внутрішньо переміщених осіб (далі - ВПО) починаючи з 2014 року на обліку перебувало 22097  осіб, в тому числі 15483 особи переміщені після 24.02.2022, в тому числі 4459 дітей.</w:t>
      </w:r>
    </w:p>
    <w:p w:rsidR="00B33F96" w:rsidP="00B33F96" w14:paraId="595E6128" w14:textId="77777777">
      <w:pPr>
        <w:spacing w:after="0" w:line="240" w:lineRule="auto"/>
        <w:ind w:firstLine="567"/>
        <w:jc w:val="both"/>
        <w:rPr>
          <w:rFonts w:ascii="Times New Roman" w:eastAsia="Times New Roman" w:hAnsi="Times New Roman" w:cs="Times New Roman"/>
          <w:sz w:val="28"/>
          <w:szCs w:val="28"/>
        </w:rPr>
      </w:pPr>
    </w:p>
    <w:p w:rsidR="00B33F96" w:rsidP="00B33F96" w14:paraId="14C2191F"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Транспорт та житлово-комунальне господарство</w:t>
      </w:r>
    </w:p>
    <w:p w:rsidR="00B33F96" w:rsidP="00B33F96" w14:paraId="754A68B7" w14:textId="77777777">
      <w:pPr>
        <w:spacing w:after="0" w:line="240" w:lineRule="auto"/>
        <w:ind w:firstLine="567"/>
        <w:jc w:val="center"/>
        <w:rPr>
          <w:rFonts w:ascii="Times New Roman" w:eastAsia="Times New Roman" w:hAnsi="Times New Roman" w:cs="Times New Roman"/>
          <w:b/>
          <w:sz w:val="28"/>
          <w:szCs w:val="28"/>
        </w:rPr>
      </w:pPr>
    </w:p>
    <w:p w:rsidR="00B33F96" w:rsidP="00B33F96" w14:paraId="42A025FF"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Зовнішні транспортні </w:t>
      </w:r>
      <w:r>
        <w:rPr>
          <w:rFonts w:ascii="Times New Roman" w:eastAsia="Times New Roman" w:hAnsi="Times New Roman" w:cs="Times New Roman"/>
          <w:sz w:val="28"/>
          <w:szCs w:val="28"/>
        </w:rPr>
        <w:t>звꞌязки</w:t>
      </w:r>
      <w:r>
        <w:rPr>
          <w:rFonts w:ascii="Times New Roman" w:eastAsia="Times New Roman" w:hAnsi="Times New Roman" w:cs="Times New Roman"/>
          <w:sz w:val="28"/>
          <w:szCs w:val="28"/>
        </w:rPr>
        <w:t xml:space="preserve"> громади забезпечуються автомобільним та залізничним сполученням.</w:t>
      </w:r>
    </w:p>
    <w:p w:rsidR="00B33F96" w:rsidP="00B33F96" w14:paraId="14DE88AC"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Залізничне сполучення забезпечує двоколійна електрифікована лінія «Ніжин-Київ»</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пасажирська та вантажна станція «Бровари», пасажирські платформи «Княжичі» та «Ялинка».</w:t>
      </w:r>
    </w:p>
    <w:p w:rsidR="00B33F96" w:rsidP="00B33F96" w14:paraId="382DEA94"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Послуги з перевезення пасажирів на території Броварської міської територіальної громади надають виключно приватні перевізники. </w:t>
      </w:r>
    </w:p>
    <w:p w:rsidR="00B33F96" w:rsidP="00B33F96" w14:paraId="548CFD2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населення якісними комунальними послугами є одним з пріоритетних завдань міської влади. </w:t>
      </w:r>
    </w:p>
    <w:p w:rsidR="00B33F96" w:rsidP="00B33F96" w14:paraId="3FD9267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01.01.2025 року у житловому фонді Броварської міської територіальної громади знаходиться 514 багатоквартирних житлових будинків, 56 котелень, 5 артезіанських свердловин, на прибудинкових територіях житлових багатоквартирних будинків розміщені водозабірні колонки.</w:t>
      </w:r>
    </w:p>
    <w:p w:rsidR="00B33F96" w:rsidP="00B33F96" w14:paraId="08A4DCBA"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Комунальні послуги з постачання та розподілу природного газу, електричної енергії, теплової енергії, централізованого водопостачання та водовідведення, поводження з побутовими відходами та управління багатоквартирними будинками на території Броварської міської територіальної громади надаються у повному обсязі. </w:t>
      </w:r>
    </w:p>
    <w:p w:rsidR="00B33F96" w:rsidP="00B33F96" w14:paraId="37B481F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території міста Бровари є 4 парки, 4 сквери, пішохідний бульвар в 34-му мікрорайоні, 4 зони відпочинку та парк відпочинку в с. Княжичі. Прибирання території та догляд за зеленими насадженнями на територіях парків та скверів здійснює КП «Бровари-Благоустрій». </w:t>
      </w:r>
    </w:p>
    <w:p w:rsidR="00B33F96" w:rsidP="00B33F96" w14:paraId="22EADBF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Надавачем</w:t>
      </w:r>
      <w:r>
        <w:rPr>
          <w:rFonts w:ascii="Times New Roman" w:eastAsia="Times New Roman" w:hAnsi="Times New Roman" w:cs="Times New Roman"/>
          <w:sz w:val="28"/>
          <w:szCs w:val="28"/>
        </w:rPr>
        <w:t xml:space="preserve"> послуг з вивезення побутових відходів у Броварській територіальній громаді є ТОВ «</w:t>
      </w:r>
      <w:r>
        <w:rPr>
          <w:rFonts w:ascii="Times New Roman" w:eastAsia="Times New Roman" w:hAnsi="Times New Roman" w:cs="Times New Roman"/>
          <w:sz w:val="28"/>
          <w:szCs w:val="28"/>
        </w:rPr>
        <w:t>Селтік</w:t>
      </w:r>
      <w:r>
        <w:rPr>
          <w:rFonts w:ascii="Times New Roman" w:eastAsia="Times New Roman" w:hAnsi="Times New Roman" w:cs="Times New Roman"/>
          <w:sz w:val="28"/>
          <w:szCs w:val="28"/>
        </w:rPr>
        <w:t xml:space="preserve"> ТБО».  </w:t>
      </w:r>
    </w:p>
    <w:p w:rsidR="00B33F96" w:rsidP="00B33F96" w14:paraId="27064B09" w14:textId="77777777">
      <w:pPr>
        <w:spacing w:after="0" w:line="240" w:lineRule="auto"/>
        <w:ind w:firstLine="567"/>
        <w:jc w:val="both"/>
        <w:rPr>
          <w:rFonts w:ascii="Times New Roman" w:eastAsia="Times New Roman" w:hAnsi="Times New Roman" w:cs="Times New Roman"/>
          <w:sz w:val="28"/>
          <w:szCs w:val="28"/>
        </w:rPr>
      </w:pPr>
    </w:p>
    <w:p w:rsidR="00B33F96" w:rsidP="00B33F96" w14:paraId="185935EB" w14:textId="77777777">
      <w:pPr>
        <w:spacing w:after="0" w:line="240" w:lineRule="auto"/>
        <w:ind w:firstLine="567"/>
        <w:jc w:val="both"/>
        <w:rPr>
          <w:rFonts w:ascii="Times New Roman" w:eastAsia="Times New Roman" w:hAnsi="Times New Roman" w:cs="Times New Roman"/>
          <w:sz w:val="28"/>
          <w:szCs w:val="28"/>
        </w:rPr>
      </w:pPr>
    </w:p>
    <w:p w:rsidR="00B33F96" w:rsidP="00B33F96" w14:paraId="317632AB" w14:textId="77777777">
      <w:pPr>
        <w:spacing w:after="0" w:line="240" w:lineRule="auto"/>
        <w:ind w:firstLine="567"/>
        <w:jc w:val="both"/>
        <w:rPr>
          <w:rFonts w:ascii="Times New Roman" w:eastAsia="Times New Roman" w:hAnsi="Times New Roman" w:cs="Times New Roman"/>
          <w:sz w:val="28"/>
          <w:szCs w:val="28"/>
        </w:rPr>
      </w:pPr>
    </w:p>
    <w:p w:rsidR="00B33F96" w:rsidP="00B33F96" w14:paraId="1E8289BD" w14:textId="77777777">
      <w:pPr>
        <w:spacing w:after="0" w:line="240" w:lineRule="auto"/>
        <w:ind w:firstLine="567"/>
        <w:jc w:val="both"/>
        <w:rPr>
          <w:rFonts w:ascii="Times New Roman" w:eastAsia="Times New Roman" w:hAnsi="Times New Roman" w:cs="Times New Roman"/>
          <w:sz w:val="28"/>
          <w:szCs w:val="28"/>
        </w:rPr>
      </w:pPr>
    </w:p>
    <w:p w:rsidR="00B33F96" w:rsidP="00B33F96" w14:paraId="10EAD34E" w14:textId="77777777">
      <w:pPr>
        <w:spacing w:after="0" w:line="240" w:lineRule="auto"/>
        <w:ind w:firstLine="567"/>
        <w:jc w:val="both"/>
        <w:rPr>
          <w:rFonts w:ascii="Times New Roman" w:eastAsia="Times New Roman" w:hAnsi="Times New Roman" w:cs="Times New Roman"/>
          <w:sz w:val="28"/>
          <w:szCs w:val="28"/>
        </w:rPr>
      </w:pPr>
    </w:p>
    <w:p w:rsidR="00B33F96" w:rsidP="00B33F96" w14:paraId="37794EBE"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Освіта</w:t>
      </w:r>
    </w:p>
    <w:p w:rsidR="00B33F96" w:rsidP="00B33F96" w14:paraId="43CEAAE3" w14:textId="77777777">
      <w:pPr>
        <w:spacing w:after="0" w:line="240" w:lineRule="auto"/>
        <w:ind w:firstLine="567"/>
        <w:jc w:val="center"/>
        <w:rPr>
          <w:rFonts w:ascii="Times New Roman" w:eastAsia="Times New Roman" w:hAnsi="Times New Roman" w:cs="Times New Roman"/>
          <w:b/>
          <w:sz w:val="28"/>
          <w:szCs w:val="28"/>
        </w:rPr>
      </w:pPr>
    </w:p>
    <w:p w:rsidR="00B33F96" w:rsidP="00B33F96" w14:paraId="6A7E9477"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Мережу закладів дошкільної освіти громади складають 23 заклади комунальної власності та 9 інших форм власності. Різними формами дошкільної освіти охоплено 4676 дітей (243 групи), з них у комунальних закладах – 4340 дітей (213 груп). За останні роки  мережа ЗДО поповнилася двома приватними закладами. </w:t>
      </w:r>
    </w:p>
    <w:p w:rsidR="00B33F96" w:rsidP="00B33F96" w14:paraId="15127672" w14:textId="77777777">
      <w:pPr>
        <w:spacing w:after="0" w:line="240" w:lineRule="auto"/>
        <w:ind w:right="-12"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Мережу  закладів загальної середньої освіти становлять 13 ліцеїв і 1 гімназія. У 2024–2025 навчальному році на навчання зараховано 17810 мешканців громади (665 класів), для 1604 учнів відкрито 51 групу подовженого дня. У 2024–2025 навчальному році для 5745 учнів (196 класів) організовано навчання у другу зміну.</w:t>
      </w:r>
    </w:p>
    <w:p w:rsidR="00B33F96" w:rsidP="00B33F96" w14:paraId="0056A565" w14:textId="7777777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громаді налагоджено роботу щодо інклюзивної освіти дітей з особливими освітніми потребами. </w:t>
      </w:r>
    </w:p>
    <w:p w:rsidR="00B33F96" w:rsidP="00B33F96" w14:paraId="1713CD17" w14:textId="7777777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дітей ВПО, які відвідують ЗЗСО, зросла за останні чотири роки майже в 2 рази, також на 62 % збільшилася кількість дітей у інклюзивних класах. </w:t>
      </w:r>
    </w:p>
    <w:p w:rsidR="00B33F96" w:rsidP="00B33F96" w14:paraId="6DAFA413" w14:textId="7777777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громаді працює 5 закладів позашкільної освіти комунальної власності, приватний позашкільний заклад ТОВ «Центр іноземних мов «Спік </w:t>
      </w:r>
      <w:r>
        <w:rPr>
          <w:rFonts w:ascii="Times New Roman" w:eastAsia="Times New Roman" w:hAnsi="Times New Roman" w:cs="Times New Roman"/>
          <w:sz w:val="28"/>
          <w:szCs w:val="28"/>
        </w:rPr>
        <w:t>Інглиш</w:t>
      </w:r>
      <w:r>
        <w:rPr>
          <w:rFonts w:ascii="Times New Roman" w:eastAsia="Times New Roman" w:hAnsi="Times New Roman" w:cs="Times New Roman"/>
          <w:sz w:val="28"/>
          <w:szCs w:val="28"/>
        </w:rPr>
        <w:t xml:space="preserve">». </w:t>
      </w:r>
    </w:p>
    <w:p w:rsidR="00B33F96" w:rsidP="00B33F96" w14:paraId="0636685F"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На належному рівні у закладах освіти громади організовано харчування дітей. В усіх комунальних закладах</w:t>
      </w:r>
      <w:r>
        <w:rPr>
          <w:rFonts w:ascii="Times New Roman" w:eastAsia="Times New Roman" w:hAnsi="Times New Roman" w:cs="Times New Roman"/>
          <w:sz w:val="28"/>
          <w:szCs w:val="28"/>
        </w:rPr>
        <w:t xml:space="preserve"> освіти громади організовано безкоштовне харчування дітей пільгової категорії та учнів 1-4 класів закладів загальної середньої освіти. </w:t>
      </w:r>
    </w:p>
    <w:p w:rsidR="00B33F96" w:rsidP="00B33F96" w14:paraId="704EA69A"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 закладах освіти в 2022-2024 роках розширено площі захисних споруд цивільного захисту та приведено їх у відповідність до санітарно-гігієнічних вимог, </w:t>
      </w:r>
      <w:r>
        <w:rPr>
          <w:rFonts w:ascii="Times New Roman" w:eastAsia="Times New Roman" w:hAnsi="Times New Roman" w:cs="Times New Roman"/>
          <w:sz w:val="28"/>
          <w:szCs w:val="28"/>
        </w:rPr>
        <w:t>вимог</w:t>
      </w:r>
      <w:r>
        <w:rPr>
          <w:rFonts w:ascii="Times New Roman" w:eastAsia="Times New Roman" w:hAnsi="Times New Roman" w:cs="Times New Roman"/>
          <w:sz w:val="28"/>
          <w:szCs w:val="28"/>
        </w:rPr>
        <w:t xml:space="preserve"> пожежної та техногенної безпеки. </w:t>
      </w:r>
    </w:p>
    <w:p w:rsidR="00B33F96" w:rsidP="00B33F96" w14:paraId="145A549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Потребує подальшого розвитку мережа закладів освіти, створення інклюзивного освітнього середовища у закладах освіти, </w:t>
      </w:r>
      <w:r>
        <w:rPr>
          <w:rFonts w:ascii="Times New Roman" w:eastAsia="Times New Roman" w:hAnsi="Times New Roman" w:cs="Times New Roman"/>
          <w:sz w:val="28"/>
          <w:szCs w:val="28"/>
        </w:rPr>
        <w:t>безбар’єрного</w:t>
      </w:r>
      <w:r>
        <w:rPr>
          <w:rFonts w:ascii="Times New Roman" w:eastAsia="Times New Roman" w:hAnsi="Times New Roman" w:cs="Times New Roman"/>
          <w:sz w:val="28"/>
          <w:szCs w:val="28"/>
        </w:rPr>
        <w:t xml:space="preserve"> простору для дітей з особливими освітніми потребами. </w:t>
      </w:r>
    </w:p>
    <w:p w:rsidR="00B33F96" w:rsidP="00B33F96" w14:paraId="686BD4E2" w14:textId="77777777">
      <w:pPr>
        <w:spacing w:after="0" w:line="240" w:lineRule="auto"/>
        <w:ind w:firstLine="567"/>
        <w:jc w:val="both"/>
        <w:rPr>
          <w:rFonts w:ascii="Times New Roman" w:eastAsia="Times New Roman" w:hAnsi="Times New Roman" w:cs="Times New Roman"/>
          <w:sz w:val="28"/>
          <w:szCs w:val="28"/>
        </w:rPr>
      </w:pPr>
    </w:p>
    <w:p w:rsidR="00B33F96" w:rsidP="00B33F96" w14:paraId="0BD2CC81"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Охорона здоров’я</w:t>
      </w:r>
    </w:p>
    <w:p w:rsidR="00B33F96" w:rsidP="00B33F96" w14:paraId="30FC21A5" w14:textId="77777777">
      <w:pPr>
        <w:spacing w:after="0" w:line="240" w:lineRule="auto"/>
        <w:jc w:val="center"/>
        <w:rPr>
          <w:rFonts w:ascii="Times New Roman" w:eastAsia="Times New Roman" w:hAnsi="Times New Roman" w:cs="Times New Roman"/>
          <w:b/>
          <w:bCs/>
          <w:sz w:val="28"/>
          <w:szCs w:val="28"/>
        </w:rPr>
      </w:pPr>
    </w:p>
    <w:p w:rsidR="00B33F96" w:rsidP="00B33F96" w14:paraId="53A373EF"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станція екстреної медичної допомоги, Комунальне некомерційне підприємство </w:t>
      </w:r>
      <w:r>
        <w:rPr>
          <w:rFonts w:ascii="Times New Roman" w:eastAsia="Times New Roman" w:hAnsi="Times New Roman" w:cs="Times New Roman"/>
          <w:sz w:val="28"/>
          <w:szCs w:val="28"/>
          <w:shd w:val="clear" w:color="auto" w:fill="FFFFFF"/>
        </w:rPr>
        <w:t>Броварської міської ради Броварського району Київської області</w:t>
      </w:r>
      <w:r>
        <w:rPr>
          <w:rFonts w:ascii="Times New Roman" w:eastAsia="Times New Roman" w:hAnsi="Times New Roman" w:cs="Times New Roman"/>
          <w:shd w:val="clear" w:color="auto" w:fill="FFFFFF"/>
        </w:rPr>
        <w:t> </w:t>
      </w:r>
      <w:r>
        <w:rPr>
          <w:rFonts w:ascii="Times New Roman" w:eastAsia="Times New Roman" w:hAnsi="Times New Roman" w:cs="Times New Roman"/>
          <w:sz w:val="28"/>
          <w:szCs w:val="28"/>
        </w:rPr>
        <w:t>«Броварський міський центр первинної медико-санітарної допомоги» та Комунальне некомерційне підприємство Броварської міської ради Броварського району Київської області «Броварська стоматологічна поліклініка». </w:t>
      </w:r>
    </w:p>
    <w:p w:rsidR="00B33F96" w:rsidP="00B33F96" w14:paraId="40A36C1E"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Комунальне некомерційне підприємство «Броварська багатопрофільна клінічна лікарня» надає медичну допомогу жителям Броварської міської територіальної громади та Броварського району.</w:t>
      </w:r>
      <w:r>
        <w:rPr>
          <w:rFonts w:ascii="Times New Roman" w:eastAsia="Times New Roman" w:hAnsi="Times New Roman" w:cs="Times New Roman"/>
        </w:rPr>
        <w:t xml:space="preserve"> </w:t>
      </w:r>
      <w:r>
        <w:rPr>
          <w:rFonts w:ascii="Times New Roman" w:eastAsia="Times New Roman" w:hAnsi="Times New Roman" w:cs="Times New Roman"/>
          <w:sz w:val="28"/>
          <w:szCs w:val="28"/>
        </w:rPr>
        <w:t>В стаціонарних відділеннях «дорослої» лікарні - 628 ліжок та в Центрі «Дитяча лікарня» - 80 ліжок.  </w:t>
      </w:r>
    </w:p>
    <w:p w:rsidR="00B33F96" w:rsidP="00B33F96" w14:paraId="5877A200"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Основною метою діяльності</w:t>
      </w:r>
      <w:r>
        <w:rPr>
          <w:rFonts w:ascii="Times New Roman" w:eastAsia="Times New Roman" w:hAnsi="Times New Roman" w:cs="Times New Roman"/>
          <w:sz w:val="28"/>
          <w:szCs w:val="28"/>
        </w:rPr>
        <w:t xml:space="preserve"> Комунальне некомерційне підприємство </w:t>
      </w:r>
      <w:r>
        <w:rPr>
          <w:rFonts w:ascii="Times New Roman" w:eastAsia="Times New Roman" w:hAnsi="Times New Roman" w:cs="Times New Roman"/>
          <w:sz w:val="28"/>
          <w:szCs w:val="28"/>
          <w:shd w:val="clear" w:color="auto" w:fill="FFFFFF"/>
        </w:rPr>
        <w:t>Броварської міської ради Броварського району Київської області</w:t>
      </w:r>
      <w:r>
        <w:rPr>
          <w:rFonts w:ascii="Times New Roman" w:eastAsia="Times New Roman" w:hAnsi="Times New Roman" w:cs="Times New Roman"/>
          <w:shd w:val="clear" w:color="auto" w:fill="FFFFFF"/>
        </w:rPr>
        <w:t> </w:t>
      </w:r>
      <w:r>
        <w:rPr>
          <w:rFonts w:ascii="Times New Roman" w:eastAsia="Times New Roman" w:hAnsi="Times New Roman" w:cs="Times New Roman"/>
          <w:sz w:val="28"/>
          <w:szCs w:val="28"/>
        </w:rPr>
        <w:t>«Броварський міський центр первинної медико-санітарної допомоги»</w:t>
      </w:r>
      <w:r>
        <w:rPr>
          <w:rFonts w:ascii="Times New Roman" w:eastAsia="Times New Roman" w:hAnsi="Times New Roman" w:cs="Times New Roman"/>
          <w:sz w:val="28"/>
          <w:szCs w:val="28"/>
          <w:shd w:val="clear" w:color="auto" w:fill="FFFFFF"/>
        </w:rPr>
        <w:t xml:space="preserve"> є забезпечення населення </w:t>
      </w:r>
      <w:r>
        <w:rPr>
          <w:rFonts w:ascii="Times New Roman" w:eastAsia="Times New Roman" w:hAnsi="Times New Roman" w:cs="Times New Roman"/>
          <w:sz w:val="28"/>
          <w:szCs w:val="28"/>
        </w:rPr>
        <w:t>первинною медичною допомогою.</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В його структурі функціонує 9 амбулаторій, відділення невідкладної допомоги, клініко-діагностична  лабораторія, кабінети акушерів – гінекологів, консультативно-діагностичні кабінети лікарів з ультразвукової діагностики,  кардіолога, гастроентеролога, невропатолога, ендокринолога, </w:t>
      </w:r>
      <w:r>
        <w:rPr>
          <w:rFonts w:ascii="Times New Roman" w:eastAsia="Times New Roman" w:hAnsi="Times New Roman" w:cs="Times New Roman"/>
          <w:sz w:val="28"/>
          <w:szCs w:val="28"/>
        </w:rPr>
        <w:t>лікаря-ендоскопіста</w:t>
      </w:r>
      <w:r>
        <w:rPr>
          <w:rFonts w:ascii="Times New Roman" w:eastAsia="Times New Roman" w:hAnsi="Times New Roman" w:cs="Times New Roman"/>
          <w:sz w:val="28"/>
          <w:szCs w:val="28"/>
        </w:rPr>
        <w:t xml:space="preserve">, лікаря-фтизіатра. </w:t>
      </w:r>
    </w:p>
    <w:p w:rsidR="00B33F96" w:rsidP="00B33F96" w14:paraId="008EB17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Станом на 01.01.2025 згідно приписної кампанії «Лікар для кожної сім’ї» укладено 102398 декларацій з лікарями закладу. </w:t>
      </w:r>
    </w:p>
    <w:p w:rsidR="00B33F96" w:rsidP="00B33F96" w14:paraId="7D3A14EA"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Комунальне некомерційне підприємство Броварської міської ради Броварського району Київської області «Броварська стоматологічна поліклініка» проводить свою діяльність у сфері надання стоматологічних, ортопедичних та </w:t>
      </w:r>
      <w:r>
        <w:rPr>
          <w:rFonts w:ascii="Times New Roman" w:eastAsia="Times New Roman" w:hAnsi="Times New Roman" w:cs="Times New Roman"/>
          <w:sz w:val="28"/>
          <w:szCs w:val="28"/>
        </w:rPr>
        <w:t>ортодонтичних</w:t>
      </w:r>
      <w:r>
        <w:rPr>
          <w:rFonts w:ascii="Times New Roman" w:eastAsia="Times New Roman" w:hAnsi="Times New Roman" w:cs="Times New Roman"/>
          <w:sz w:val="28"/>
          <w:szCs w:val="28"/>
        </w:rPr>
        <w:t xml:space="preserve"> послуг дорослому та дитячому населенню громади. Для забезпечення надання кваліфікованої стоматологічної допомоги закуплено сучасне</w:t>
      </w:r>
      <w:r>
        <w:rPr>
          <w:rFonts w:ascii="Calibri" w:eastAsia="Times New Roman" w:hAnsi="Calibri" w:cs="Calibri"/>
          <w:sz w:val="28"/>
          <w:szCs w:val="28"/>
        </w:rPr>
        <w:t xml:space="preserve"> </w:t>
      </w:r>
      <w:r>
        <w:rPr>
          <w:rFonts w:ascii="Times New Roman" w:eastAsia="Times New Roman" w:hAnsi="Times New Roman" w:cs="Times New Roman"/>
          <w:sz w:val="28"/>
          <w:szCs w:val="28"/>
        </w:rPr>
        <w:t>стоматологічне обладнання. Великий спектр послуг надається окремим  громадянам пільгових категорій громади безкоштовно. </w:t>
      </w:r>
    </w:p>
    <w:p w:rsidR="00B33F96" w:rsidP="00B33F96" w14:paraId="38413F2F"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w:t>
      </w:r>
      <w:r>
        <w:rPr>
          <w:rFonts w:ascii="Times New Roman" w:eastAsia="Times New Roman" w:hAnsi="Times New Roman" w:cs="Times New Roman"/>
          <w:sz w:val="28"/>
          <w:szCs w:val="28"/>
        </w:rPr>
        <w:t>Бахмут</w:t>
      </w:r>
      <w:r>
        <w:rPr>
          <w:rFonts w:ascii="Times New Roman" w:eastAsia="Times New Roman" w:hAnsi="Times New Roman" w:cs="Times New Roman"/>
          <w:sz w:val="28"/>
          <w:szCs w:val="28"/>
        </w:rPr>
        <w:t xml:space="preserve">», який </w:t>
      </w:r>
      <w:r>
        <w:rPr>
          <w:rFonts w:ascii="Times New Roman" w:eastAsia="Times New Roman" w:hAnsi="Times New Roman" w:cs="Times New Roman"/>
          <w:sz w:val="28"/>
          <w:szCs w:val="28"/>
        </w:rPr>
        <w:t>релоковано</w:t>
      </w:r>
      <w:r>
        <w:rPr>
          <w:rFonts w:ascii="Times New Roman" w:eastAsia="Times New Roman" w:hAnsi="Times New Roman" w:cs="Times New Roman"/>
          <w:sz w:val="28"/>
          <w:szCs w:val="28"/>
        </w:rPr>
        <w:t xml:space="preserve"> з міста </w:t>
      </w:r>
      <w:r>
        <w:rPr>
          <w:rFonts w:ascii="Times New Roman" w:eastAsia="Times New Roman" w:hAnsi="Times New Roman" w:cs="Times New Roman"/>
          <w:sz w:val="28"/>
          <w:szCs w:val="28"/>
        </w:rPr>
        <w:t>Бахмут</w:t>
      </w:r>
      <w:r>
        <w:rPr>
          <w:rFonts w:ascii="Times New Roman" w:eastAsia="Times New Roman" w:hAnsi="Times New Roman" w:cs="Times New Roman"/>
          <w:sz w:val="28"/>
          <w:szCs w:val="28"/>
        </w:rPr>
        <w:t xml:space="preserve">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B33F96" w:rsidP="00B33F96" w14:paraId="3A21BBC7" w14:textId="7777777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 громаді активно розвиваються приватні медичні заклади.</w:t>
      </w:r>
    </w:p>
    <w:p w:rsidR="00B33F96" w:rsidP="00B33F96" w14:paraId="3B2D82A2" w14:textId="77777777">
      <w:pPr>
        <w:shd w:val="clear" w:color="auto" w:fill="FFFFFF"/>
        <w:spacing w:after="0" w:line="240" w:lineRule="auto"/>
        <w:ind w:firstLine="567"/>
        <w:jc w:val="both"/>
        <w:rPr>
          <w:rFonts w:ascii="Times New Roman" w:eastAsia="Times New Roman" w:hAnsi="Times New Roman" w:cs="Times New Roman"/>
          <w:sz w:val="24"/>
          <w:szCs w:val="24"/>
        </w:rPr>
      </w:pPr>
    </w:p>
    <w:p w:rsidR="00B33F96" w:rsidP="00B33F96" w14:paraId="5BF94350"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Соціальна сфера</w:t>
      </w:r>
    </w:p>
    <w:p w:rsidR="00B33F96" w:rsidP="00B33F96" w14:paraId="04983254" w14:textId="77777777">
      <w:pPr>
        <w:spacing w:after="0" w:line="240" w:lineRule="auto"/>
        <w:jc w:val="center"/>
        <w:rPr>
          <w:rFonts w:ascii="Times New Roman" w:eastAsia="Times New Roman" w:hAnsi="Times New Roman" w:cs="Times New Roman"/>
          <w:b/>
          <w:bCs/>
          <w:sz w:val="28"/>
          <w:szCs w:val="28"/>
        </w:rPr>
      </w:pPr>
    </w:p>
    <w:p w:rsidR="00B33F96" w:rsidP="00B33F96" w14:paraId="5DCF60F5"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 основу пріоритетів соціальної політики громади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 </w:t>
      </w:r>
    </w:p>
    <w:p w:rsidR="00B33F96" w:rsidP="00B33F96" w14:paraId="77C789CA"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З метою підтримки найбільш вразливих та соціально-незахищених верств населення в громаді діє Програма «З турботою про кожного», для забезпечення всебічною підтримкою Захисників та Захисниць України та членів їх сімей діє Програма </w:t>
      </w:r>
      <w:r>
        <w:rPr>
          <w:rFonts w:ascii="Times New Roman" w:eastAsia="Times New Roman" w:hAnsi="Times New Roman" w:cs="Times New Roman"/>
          <w:sz w:val="28"/>
          <w:szCs w:val="28"/>
          <w:shd w:val="clear" w:color="auto" w:fill="FFFFFF"/>
        </w:rPr>
        <w:t>підтримки Захисників та Захисниць України, членів сімей загиблих</w:t>
      </w:r>
      <w:r>
        <w:rPr>
          <w:rFonts w:ascii="Times New Roman" w:eastAsia="Times New Roman" w:hAnsi="Times New Roman" w:cs="Times New Roman"/>
          <w:sz w:val="28"/>
          <w:szCs w:val="28"/>
        </w:rPr>
        <w:t xml:space="preserve"> на 2024-2026 роки. </w:t>
      </w:r>
    </w:p>
    <w:p w:rsidR="00B33F96" w:rsidP="00B33F96" w14:paraId="3CFE1513" w14:textId="77777777">
      <w:pPr>
        <w:spacing w:after="0" w:line="240" w:lineRule="auto"/>
        <w:ind w:right="-141"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 громаді налагоджений механізм підтримки ВПО, який забезпечує надання гуманітарної допомоги, юридичних консультацій, медичних послуг тощо. З листопада 2022 року для тимчасового проживання ВПО в громаді функціонує модульне містечко, розраховане на 352 людини. </w:t>
      </w:r>
      <w:r>
        <w:rPr>
          <w:rFonts w:ascii="Times New Roman" w:eastAsia="Times New Roman" w:hAnsi="Times New Roman" w:cs="Times New Roman"/>
          <w:sz w:val="28"/>
          <w:szCs w:val="28"/>
          <w:shd w:val="clear" w:color="auto" w:fill="FFFFFF"/>
        </w:rPr>
        <w:t xml:space="preserve">Проживання в модульному містечку безкоштовне. </w:t>
      </w:r>
    </w:p>
    <w:p w:rsidR="00B33F96" w:rsidP="00B33F96" w14:paraId="7A7B5C21"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Особлива увага в громаді приділяється розвитку соціальних послуг. </w:t>
      </w:r>
    </w:p>
    <w:p w:rsidR="00B33F96" w:rsidP="00B33F96" w14:paraId="698A6335"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Мережа закладів комунальної форми власності, що надають соціальні послуги в громаді, представлена Броварським міським територіальним центром соціального обслуговування Броварського району Київської області, Міським центром комплексної реабілітації дітей з інвалідністю Броварської міської ради Броварського району Київської області,  Центром соціальних служб Броварської міської ради Броварського району Київської області.</w:t>
      </w:r>
      <w:r>
        <w:rPr>
          <w:rFonts w:ascii="Times New Roman" w:eastAsia="Times New Roman" w:hAnsi="Times New Roman" w:cs="Times New Roman"/>
          <w:color w:val="FF0000"/>
          <w:sz w:val="28"/>
          <w:szCs w:val="28"/>
        </w:rPr>
        <w:t xml:space="preserve"> </w:t>
      </w:r>
    </w:p>
    <w:p w:rsidR="00B33F96" w:rsidP="00B33F96" w14:paraId="7D0CE6C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Мережа закладів приватної форми власності, що надають соціальні послуги в громаді, представлена</w:t>
      </w:r>
      <w:r>
        <w:rPr>
          <w:rFonts w:ascii="Calibri" w:eastAsia="Times New Roman" w:hAnsi="Calibri" w:cs="Calibri"/>
        </w:rPr>
        <w:t xml:space="preserve"> </w:t>
      </w:r>
      <w:r>
        <w:rPr>
          <w:rFonts w:ascii="Times New Roman" w:eastAsia="Times New Roman" w:hAnsi="Times New Roman" w:cs="Times New Roman"/>
          <w:sz w:val="28"/>
          <w:szCs w:val="28"/>
        </w:rPr>
        <w:t>Благодійною</w:t>
      </w:r>
      <w:r>
        <w:rPr>
          <w:rFonts w:ascii="Calibri" w:eastAsia="Times New Roman" w:hAnsi="Calibri" w:cs="Calibri"/>
        </w:rPr>
        <w:t xml:space="preserve"> </w:t>
      </w:r>
      <w:r>
        <w:rPr>
          <w:rFonts w:ascii="Times New Roman" w:eastAsia="Times New Roman" w:hAnsi="Times New Roman" w:cs="Times New Roman"/>
          <w:sz w:val="28"/>
          <w:szCs w:val="28"/>
        </w:rPr>
        <w:t>організацією «Перспектива 21.3»,</w:t>
      </w:r>
      <w:r>
        <w:rPr>
          <w:rFonts w:ascii="Calibri" w:eastAsia="Times New Roman" w:hAnsi="Calibri" w:cs="Calibri"/>
        </w:rPr>
        <w:t xml:space="preserve"> </w:t>
      </w:r>
      <w:r>
        <w:rPr>
          <w:rFonts w:ascii="Times New Roman" w:eastAsia="Times New Roman" w:hAnsi="Times New Roman" w:cs="Times New Roman"/>
          <w:sz w:val="28"/>
          <w:szCs w:val="28"/>
        </w:rPr>
        <w:t>Благодійним фондом «СОС Дитяче Містечко» Бровари, Міжнародним благодійним фондом «Дитячий соціально-реабілітаційний центр «Сонячне світло».</w:t>
      </w:r>
    </w:p>
    <w:p w:rsidR="00B33F96" w:rsidP="00B33F96" w14:paraId="72FF6505"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в громаді реалізуються дві програми: «Програма відпочинку та оздоровлення дітей на 2022-2026 роки» та «Програма підтримки сім’ї та захисту прав дітей «Щаслива родина – успішна країна» на 2023-2027 роки».</w:t>
      </w:r>
      <w:r>
        <w:rPr>
          <w:rFonts w:ascii="Times New Roman" w:eastAsia="Times New Roman" w:hAnsi="Times New Roman" w:cs="Times New Roman"/>
          <w:sz w:val="24"/>
          <w:szCs w:val="24"/>
        </w:rPr>
        <w:t xml:space="preserve"> </w:t>
      </w:r>
    </w:p>
    <w:p w:rsidR="00B33F96" w:rsidP="00B33F96" w14:paraId="4AD35824" w14:textId="7777777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сьогоднішній день актуальним залишається вирішення проблем соціального обслуговування населення, підвищення життєвого рівня малозабезпечених громадян, осіб з інвалідністю, одиноких пенсіонерів, осіб, які перебувають у складних життєвих обставинах, ветеранів війни та праці та членів їхніх родин, забезпечення житлом дітей-сиріт та дітей, позбавлених батьківського піклування, реабілітація та соціальний захист Захисників та Захисниць України, їх сімей.</w:t>
      </w:r>
    </w:p>
    <w:p w:rsidR="00B33F96" w:rsidP="00B33F96" w14:paraId="28E94980" w14:textId="77777777">
      <w:pPr>
        <w:shd w:val="clear" w:color="auto" w:fill="FFFFFF"/>
        <w:spacing w:after="0" w:line="240" w:lineRule="auto"/>
        <w:ind w:firstLine="567"/>
        <w:jc w:val="both"/>
        <w:rPr>
          <w:rFonts w:ascii="Times New Roman" w:eastAsia="Times New Roman" w:hAnsi="Times New Roman" w:cs="Times New Roman"/>
          <w:sz w:val="28"/>
          <w:szCs w:val="28"/>
        </w:rPr>
      </w:pPr>
    </w:p>
    <w:p w:rsidR="00B33F96" w:rsidP="00B33F96" w14:paraId="18B586F9"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Культура</w:t>
      </w:r>
    </w:p>
    <w:p w:rsidR="00B33F96" w:rsidP="00B33F96" w14:paraId="0707BF46" w14:textId="77777777">
      <w:pPr>
        <w:spacing w:after="0" w:line="240" w:lineRule="auto"/>
        <w:jc w:val="center"/>
        <w:rPr>
          <w:rFonts w:ascii="Times New Roman" w:eastAsia="Times New Roman" w:hAnsi="Times New Roman" w:cs="Times New Roman"/>
          <w:b/>
          <w:bCs/>
          <w:sz w:val="28"/>
          <w:szCs w:val="28"/>
        </w:rPr>
      </w:pPr>
    </w:p>
    <w:p w:rsidR="00B33F96" w:rsidP="00B33F96" w14:paraId="4F41987A"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 території Броварської міської територіальної громади діють заклади культури комунальної власності: Броварська міська дитяча музична школа, Броварська міська дитяча школа мистецтв, Броварський будинок творчості та аматорського мистецтва, Броварський краєзнавчий музей, Броварський міський клуб, Комунальний заклад «Міський культурний центр», Комунальний заклад клубного типу «Культурно-інноваційна платформа «</w:t>
      </w:r>
      <w:r>
        <w:rPr>
          <w:rFonts w:ascii="Times New Roman" w:eastAsia="Times New Roman" w:hAnsi="Times New Roman" w:cs="Times New Roman"/>
          <w:sz w:val="28"/>
          <w:szCs w:val="28"/>
        </w:rPr>
        <w:t>ТепЛиця</w:t>
      </w:r>
      <w:r>
        <w:rPr>
          <w:rFonts w:ascii="Times New Roman" w:eastAsia="Times New Roman" w:hAnsi="Times New Roman" w:cs="Times New Roman"/>
          <w:sz w:val="28"/>
          <w:szCs w:val="28"/>
        </w:rPr>
        <w:t>», Культурно-просвітницький центр «</w:t>
      </w:r>
      <w:r>
        <w:rPr>
          <w:rFonts w:ascii="Times New Roman" w:eastAsia="Times New Roman" w:hAnsi="Times New Roman" w:cs="Times New Roman"/>
          <w:sz w:val="28"/>
          <w:szCs w:val="28"/>
        </w:rPr>
        <w:t>СвітЛиця</w:t>
      </w:r>
      <w:r>
        <w:rPr>
          <w:rFonts w:ascii="Times New Roman" w:eastAsia="Times New Roman" w:hAnsi="Times New Roman" w:cs="Times New Roman"/>
          <w:sz w:val="28"/>
          <w:szCs w:val="28"/>
        </w:rPr>
        <w:t xml:space="preserve">», будинок культури </w:t>
      </w:r>
      <w:r>
        <w:rPr>
          <w:rFonts w:ascii="Times New Roman" w:eastAsia="Times New Roman" w:hAnsi="Times New Roman" w:cs="Times New Roman"/>
          <w:sz w:val="28"/>
          <w:szCs w:val="28"/>
        </w:rPr>
        <w:t>с.Требухів</w:t>
      </w:r>
      <w:r>
        <w:rPr>
          <w:rFonts w:ascii="Times New Roman" w:eastAsia="Times New Roman" w:hAnsi="Times New Roman" w:cs="Times New Roman"/>
          <w:sz w:val="28"/>
          <w:szCs w:val="28"/>
        </w:rPr>
        <w:t xml:space="preserve">, будинок культури </w:t>
      </w:r>
      <w:r>
        <w:rPr>
          <w:rFonts w:ascii="Times New Roman" w:eastAsia="Times New Roman" w:hAnsi="Times New Roman" w:cs="Times New Roman"/>
          <w:sz w:val="28"/>
          <w:szCs w:val="28"/>
        </w:rPr>
        <w:t>с.Княжичі</w:t>
      </w:r>
      <w:r>
        <w:rPr>
          <w:rFonts w:ascii="Times New Roman" w:eastAsia="Times New Roman" w:hAnsi="Times New Roman" w:cs="Times New Roman"/>
          <w:sz w:val="28"/>
          <w:szCs w:val="28"/>
        </w:rPr>
        <w:t xml:space="preserve">, сільський клуб </w:t>
      </w:r>
      <w:r>
        <w:rPr>
          <w:rFonts w:ascii="Times New Roman" w:eastAsia="Times New Roman" w:hAnsi="Times New Roman" w:cs="Times New Roman"/>
          <w:sz w:val="28"/>
          <w:szCs w:val="28"/>
        </w:rPr>
        <w:t>с.Сотницьке</w:t>
      </w:r>
      <w:r>
        <w:rPr>
          <w:rFonts w:ascii="Times New Roman" w:eastAsia="Times New Roman" w:hAnsi="Times New Roman" w:cs="Times New Roman"/>
          <w:sz w:val="28"/>
          <w:szCs w:val="28"/>
        </w:rPr>
        <w:t xml:space="preserve">, Броварська міська бібліотека, Броварська міська бібліотека для дітей, Броварська міська публічна бібліотека, </w:t>
      </w:r>
      <w:r>
        <w:rPr>
          <w:rFonts w:ascii="Times New Roman" w:eastAsia="Times New Roman" w:hAnsi="Times New Roman" w:cs="Times New Roman"/>
          <w:sz w:val="28"/>
          <w:szCs w:val="28"/>
        </w:rPr>
        <w:t>бібліотека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с.Требухів</w:t>
      </w:r>
      <w:r>
        <w:rPr>
          <w:rFonts w:ascii="Times New Roman" w:eastAsia="Times New Roman" w:hAnsi="Times New Roman" w:cs="Times New Roman"/>
          <w:sz w:val="28"/>
          <w:szCs w:val="28"/>
        </w:rPr>
        <w:t>, бібліотека        с. Княжичі.</w:t>
      </w:r>
    </w:p>
    <w:p w:rsidR="00B33F96" w:rsidP="00B33F96" w14:paraId="2283551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подальшого розвитку культури в громаді є потреба у розширенні мережі культурних закладів, капітальні ремонти діючих закладів, будівництво мистецьких шкіл в нових мікрорайонах міста, хореографічних залів, створення нових клубних формувань різних форм власності, активізація діяльності в селах громади.</w:t>
      </w:r>
    </w:p>
    <w:p w:rsidR="00B33F96" w:rsidP="00B33F96" w14:paraId="2363315D" w14:textId="77777777">
      <w:pPr>
        <w:spacing w:after="0" w:line="240" w:lineRule="auto"/>
        <w:ind w:firstLine="567"/>
        <w:jc w:val="both"/>
        <w:rPr>
          <w:rFonts w:ascii="Times New Roman" w:eastAsia="Times New Roman" w:hAnsi="Times New Roman" w:cs="Times New Roman"/>
          <w:sz w:val="24"/>
          <w:szCs w:val="24"/>
        </w:rPr>
      </w:pPr>
    </w:p>
    <w:p w:rsidR="00B33F96" w:rsidP="00B33F96" w14:paraId="2F697B80"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Фізична культура та спорт</w:t>
      </w:r>
    </w:p>
    <w:p w:rsidR="00B33F96" w:rsidP="00B33F96" w14:paraId="7CB3B89C" w14:textId="77777777">
      <w:pPr>
        <w:spacing w:after="0" w:line="240" w:lineRule="auto"/>
        <w:jc w:val="center"/>
        <w:rPr>
          <w:rFonts w:ascii="Times New Roman" w:eastAsia="Times New Roman" w:hAnsi="Times New Roman" w:cs="Times New Roman"/>
          <w:b/>
          <w:bCs/>
          <w:sz w:val="28"/>
          <w:szCs w:val="28"/>
        </w:rPr>
      </w:pPr>
    </w:p>
    <w:p w:rsidR="00B33F96" w:rsidP="00B33F96" w14:paraId="15BE3415"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Броварська міська територіальна громада налічує понад 111 спортивних закладів: 3 ДЮСШ, 17 спортзалів, 1 стадіон, 72 спортмайданчика, 2 басейни, 1 шаховий клуб, 15 інших спортивних об’єктів.</w:t>
      </w:r>
    </w:p>
    <w:p w:rsidR="00B33F96" w:rsidP="00B33F96" w14:paraId="3CE0C366"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 спортивних закладах працює 92 тренери та відвідує 4683 особи.</w:t>
      </w:r>
    </w:p>
    <w:p w:rsidR="00B33F96" w:rsidP="00B33F96" w14:paraId="15B4FB9F"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На базі спортивного комплексу «Світлотехнік» діють секції та гуртки з акробатики, боксу, гандболу, тенісу, таїландського боксу, фехтування, футболу, а також проводить свою роботу дитячо-юнацька спортивна школа з </w:t>
      </w:r>
      <w:r>
        <w:rPr>
          <w:rFonts w:ascii="Times New Roman" w:eastAsia="Times New Roman" w:hAnsi="Times New Roman" w:cs="Times New Roman"/>
          <w:sz w:val="28"/>
          <w:szCs w:val="28"/>
        </w:rPr>
        <w:t>ушу</w:t>
      </w:r>
      <w:r>
        <w:rPr>
          <w:rFonts w:ascii="Times New Roman" w:eastAsia="Times New Roman" w:hAnsi="Times New Roman" w:cs="Times New Roman"/>
          <w:sz w:val="28"/>
          <w:szCs w:val="28"/>
        </w:rPr>
        <w:t xml:space="preserve"> та єдиноборств. </w:t>
      </w:r>
    </w:p>
    <w:p w:rsidR="00B33F96" w:rsidP="00B33F96" w14:paraId="5B25B4E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Працює Міський футбольний клуб «Бровари», в якому тренується 400 вихованців від 4 до 16 років. </w:t>
      </w:r>
    </w:p>
    <w:p w:rsidR="00B33F96" w:rsidP="00B33F96" w14:paraId="5099562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w:t>
      </w:r>
      <w:r>
        <w:rPr>
          <w:rFonts w:ascii="Times New Roman" w:eastAsia="Times New Roman" w:hAnsi="Times New Roman" w:cs="Times New Roman"/>
          <w:sz w:val="28"/>
          <w:szCs w:val="28"/>
        </w:rPr>
        <w:t>із найбільших центрів оздоровлення жите</w:t>
      </w:r>
      <w:r>
        <w:rPr>
          <w:rFonts w:ascii="Times New Roman" w:eastAsia="Times New Roman" w:hAnsi="Times New Roman" w:cs="Times New Roman"/>
          <w:sz w:val="28"/>
          <w:szCs w:val="28"/>
        </w:rPr>
        <w:t xml:space="preserve">лів м. Бровари є фізкультурно-оздоровчий заклад «Оздоровчо-реабілітаційний центр» та «Плавальний басейн «Купава». У басейні «Купава» тренуються учні ДЮСШ, </w:t>
      </w:r>
      <w:r>
        <w:rPr>
          <w:rFonts w:ascii="Times New Roman" w:eastAsia="Times New Roman" w:hAnsi="Times New Roman" w:cs="Times New Roman"/>
          <w:sz w:val="28"/>
          <w:szCs w:val="28"/>
        </w:rPr>
        <w:t>Київського спортивно-фахов</w:t>
      </w:r>
      <w:r>
        <w:rPr>
          <w:rFonts w:ascii="Times New Roman" w:eastAsia="Times New Roman" w:hAnsi="Times New Roman" w:cs="Times New Roman"/>
          <w:sz w:val="28"/>
          <w:szCs w:val="28"/>
        </w:rPr>
        <w:t xml:space="preserve">ого коледжу, ЦОПУ, </w:t>
      </w:r>
      <w:r>
        <w:rPr>
          <w:rFonts w:ascii="Times New Roman" w:eastAsia="Times New Roman" w:hAnsi="Times New Roman" w:cs="Times New Roman"/>
          <w:sz w:val="28"/>
          <w:szCs w:val="28"/>
        </w:rPr>
        <w:t>Іваспорту</w:t>
      </w:r>
      <w:r>
        <w:rPr>
          <w:rFonts w:ascii="Times New Roman" w:eastAsia="Times New Roman" w:hAnsi="Times New Roman" w:cs="Times New Roman"/>
          <w:sz w:val="28"/>
          <w:szCs w:val="28"/>
        </w:rPr>
        <w:t xml:space="preserve">, збірні команди Київської області та України. </w:t>
      </w:r>
      <w:r>
        <w:rPr>
          <w:rFonts w:ascii="Times New Roman" w:eastAsia="Times New Roman" w:hAnsi="Times New Roman" w:cs="Times New Roman"/>
          <w:sz w:val="28"/>
          <w:szCs w:val="28"/>
        </w:rPr>
        <w:t>Басейн приймає змагання на</w:t>
      </w:r>
      <w:r>
        <w:rPr>
          <w:rFonts w:ascii="Times New Roman" w:eastAsia="Times New Roman" w:hAnsi="Times New Roman" w:cs="Times New Roman"/>
          <w:sz w:val="28"/>
          <w:szCs w:val="28"/>
        </w:rPr>
        <w:t xml:space="preserve">йвищого рівня.  Щоденно «Купаву» відвідує 500-700 чоловік. </w:t>
      </w:r>
    </w:p>
    <w:p w:rsidR="00B33F96" w:rsidP="00B33F96" w14:paraId="258B39BD"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Також на території громади працює Київський обласний спортивний фаховий коледж, де викладаються наступні види спорту: бокс, вільна боротьба, гандбол, легка атлетика, лижні гонки, плавання, веслування академічне, хокей з шайбою.</w:t>
      </w:r>
    </w:p>
    <w:p w:rsidR="00B33F96" w:rsidP="00B33F96" w14:paraId="6932CF2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громаді буде продовжено роботу в впровадженні здорового способу життя мешканців громади, активного їх </w:t>
      </w:r>
      <w:r>
        <w:rPr>
          <w:rFonts w:ascii="Times New Roman" w:eastAsia="Times New Roman" w:hAnsi="Times New Roman" w:cs="Times New Roman"/>
          <w:sz w:val="28"/>
          <w:szCs w:val="28"/>
        </w:rPr>
        <w:t>долучення</w:t>
      </w:r>
      <w:r>
        <w:rPr>
          <w:rFonts w:ascii="Times New Roman" w:eastAsia="Times New Roman" w:hAnsi="Times New Roman" w:cs="Times New Roman"/>
          <w:sz w:val="28"/>
          <w:szCs w:val="28"/>
        </w:rPr>
        <w:t xml:space="preserve"> до занять фізкультурою та спортом.</w:t>
      </w:r>
    </w:p>
    <w:p w:rsidR="00B33F96" w:rsidP="00B33F96" w14:paraId="5D417CDB" w14:textId="77777777">
      <w:pPr>
        <w:spacing w:after="0" w:line="240" w:lineRule="auto"/>
        <w:ind w:firstLine="567"/>
        <w:jc w:val="both"/>
        <w:rPr>
          <w:rFonts w:ascii="Times New Roman" w:eastAsia="Times New Roman" w:hAnsi="Times New Roman" w:cs="Times New Roman"/>
          <w:sz w:val="28"/>
          <w:szCs w:val="28"/>
        </w:rPr>
      </w:pPr>
    </w:p>
    <w:p w:rsidR="00B33F96" w:rsidP="00B33F96" w14:paraId="345FC32A"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Промисловість та сільське господарство</w:t>
      </w:r>
    </w:p>
    <w:p w:rsidR="00B33F96" w:rsidP="00B33F96" w14:paraId="58CEE16C" w14:textId="77777777">
      <w:pPr>
        <w:spacing w:after="0" w:line="240" w:lineRule="auto"/>
        <w:jc w:val="center"/>
        <w:rPr>
          <w:rFonts w:ascii="Times New Roman" w:eastAsia="Times New Roman" w:hAnsi="Times New Roman" w:cs="Times New Roman"/>
          <w:b/>
          <w:bCs/>
          <w:sz w:val="28"/>
          <w:szCs w:val="28"/>
        </w:rPr>
      </w:pPr>
    </w:p>
    <w:p w:rsidR="00B33F96" w:rsidP="00B33F96" w14:paraId="13AACACC"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 xml:space="preserve">Провідною галуззю економіки громади є промисловість. </w:t>
      </w:r>
      <w:r>
        <w:rPr>
          <w:rFonts w:ascii="Times New Roman" w:eastAsia="Times New Roman" w:hAnsi="Times New Roman" w:cs="Times New Roman"/>
          <w:sz w:val="28"/>
          <w:szCs w:val="28"/>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w:t>
      </w:r>
      <w:r>
        <w:rPr>
          <w:rFonts w:ascii="Times New Roman" w:eastAsia="Times New Roman" w:hAnsi="Times New Roman" w:cs="Times New Roman"/>
          <w:sz w:val="28"/>
          <w:szCs w:val="28"/>
        </w:rPr>
        <w:t>виробництвом</w:t>
      </w:r>
      <w:r>
        <w:rPr>
          <w:rFonts w:ascii="Times New Roman" w:eastAsia="Times New Roman" w:hAnsi="Times New Roman" w:cs="Times New Roman"/>
          <w:sz w:val="28"/>
          <w:szCs w:val="28"/>
        </w:rPr>
        <w:t xml:space="preserve">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w:t>
      </w:r>
    </w:p>
    <w:p w:rsidR="00B33F96" w:rsidP="00B33F96" w14:paraId="1A32B06E"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За оперативними даними найбільшими за обсягами реалізації продукції  в 2024 році стали: ТОВ «</w:t>
      </w:r>
      <w:r>
        <w:rPr>
          <w:rFonts w:ascii="Times New Roman" w:eastAsia="Times New Roman" w:hAnsi="Times New Roman" w:cs="Times New Roman"/>
          <w:sz w:val="28"/>
          <w:szCs w:val="28"/>
        </w:rPr>
        <w:t>Орієнтир-Буделемент</w:t>
      </w:r>
      <w:r>
        <w:rPr>
          <w:rFonts w:ascii="Times New Roman" w:eastAsia="Times New Roman" w:hAnsi="Times New Roman" w:cs="Times New Roman"/>
          <w:sz w:val="28"/>
          <w:szCs w:val="28"/>
        </w:rPr>
        <w:t>» (виробництво виробів із бетону для будівництва), ТОВ «</w:t>
      </w:r>
      <w:r>
        <w:rPr>
          <w:rFonts w:ascii="Times New Roman" w:eastAsia="Times New Roman" w:hAnsi="Times New Roman" w:cs="Times New Roman"/>
          <w:sz w:val="28"/>
          <w:szCs w:val="28"/>
        </w:rPr>
        <w:t>Спецбудмаш</w:t>
      </w:r>
      <w:r>
        <w:rPr>
          <w:rFonts w:ascii="Times New Roman" w:eastAsia="Times New Roman" w:hAnsi="Times New Roman" w:cs="Times New Roman"/>
          <w:sz w:val="28"/>
          <w:szCs w:val="28"/>
        </w:rPr>
        <w:t>» (виробництво комунальної, дорожньої, будівельної та спеціальної техніки), ТОВ «</w:t>
      </w:r>
      <w:r>
        <w:rPr>
          <w:rFonts w:ascii="Times New Roman" w:eastAsia="Times New Roman" w:hAnsi="Times New Roman" w:cs="Times New Roman"/>
          <w:sz w:val="28"/>
          <w:szCs w:val="28"/>
        </w:rPr>
        <w:t>Київгума</w:t>
      </w:r>
      <w:r>
        <w:rPr>
          <w:rFonts w:ascii="Times New Roman" w:eastAsia="Times New Roman" w:hAnsi="Times New Roman" w:cs="Times New Roman"/>
          <w:sz w:val="28"/>
          <w:szCs w:val="28"/>
        </w:rPr>
        <w:t xml:space="preserve">» (виготовлення гумових виробів медичного призначення та товарів для дітей, виробів сільськогосподарського призначення, формових та </w:t>
      </w:r>
      <w:r>
        <w:rPr>
          <w:rFonts w:ascii="Times New Roman" w:eastAsia="Times New Roman" w:hAnsi="Times New Roman" w:cs="Times New Roman"/>
          <w:sz w:val="28"/>
          <w:szCs w:val="28"/>
        </w:rPr>
        <w:t>неформових</w:t>
      </w:r>
      <w:r>
        <w:rPr>
          <w:rFonts w:ascii="Times New Roman" w:eastAsia="Times New Roman" w:hAnsi="Times New Roman" w:cs="Times New Roman"/>
          <w:sz w:val="28"/>
          <w:szCs w:val="28"/>
        </w:rPr>
        <w:t xml:space="preserve"> гумотехнічних виробів для різних галузей промисловості, виробів з силікону, </w:t>
      </w:r>
      <w:r>
        <w:rPr>
          <w:rFonts w:ascii="Times New Roman" w:eastAsia="Times New Roman" w:hAnsi="Times New Roman" w:cs="Times New Roman"/>
          <w:sz w:val="28"/>
          <w:szCs w:val="28"/>
        </w:rPr>
        <w:t>ПВХ та ТЕП, гумових виробів захисту людей від ураження струмом), ТОВ «Київський Пекарний Дім» (випуск хлібобулочних та кондитерських виробів). </w:t>
      </w:r>
    </w:p>
    <w:p w:rsidR="00B33F96" w:rsidP="00B33F96" w14:paraId="25A727E8"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 2024 році почали свою роботу на території громади такі нові промислові підприємства: ТОВ «Патріот-Пласт», яке займається виготовленням сучасних підвіконь німецької якості різної цінової категорії та ТОВ «</w:t>
      </w:r>
      <w:r>
        <w:rPr>
          <w:rFonts w:ascii="Times New Roman" w:eastAsia="Times New Roman" w:hAnsi="Times New Roman" w:cs="Times New Roman"/>
          <w:sz w:val="28"/>
          <w:szCs w:val="28"/>
        </w:rPr>
        <w:t>Хатжет</w:t>
      </w:r>
      <w:r>
        <w:rPr>
          <w:rFonts w:ascii="Times New Roman" w:eastAsia="Times New Roman" w:hAnsi="Times New Roman" w:cs="Times New Roman"/>
          <w:sz w:val="28"/>
          <w:szCs w:val="28"/>
        </w:rPr>
        <w:t xml:space="preserve">», яке виготовляє модульні будинки під ключ, застосовуючи </w:t>
      </w:r>
      <w:r>
        <w:rPr>
          <w:rFonts w:ascii="Times New Roman" w:eastAsia="Times New Roman" w:hAnsi="Times New Roman" w:cs="Times New Roman"/>
          <w:sz w:val="28"/>
          <w:szCs w:val="28"/>
        </w:rPr>
        <w:t>енергоефективні</w:t>
      </w:r>
      <w:r>
        <w:rPr>
          <w:rFonts w:ascii="Times New Roman" w:eastAsia="Times New Roman" w:hAnsi="Times New Roman" w:cs="Times New Roman"/>
          <w:sz w:val="28"/>
          <w:szCs w:val="28"/>
        </w:rPr>
        <w:t xml:space="preserve"> технології. Будинки </w:t>
      </w:r>
      <w:r>
        <w:rPr>
          <w:rFonts w:ascii="Times New Roman" w:eastAsia="Times New Roman" w:hAnsi="Times New Roman" w:cs="Times New Roman"/>
          <w:sz w:val="28"/>
          <w:szCs w:val="28"/>
        </w:rPr>
        <w:t>облаштовані</w:t>
      </w:r>
      <w:r>
        <w:rPr>
          <w:rFonts w:ascii="Times New Roman" w:eastAsia="Times New Roman" w:hAnsi="Times New Roman" w:cs="Times New Roman"/>
          <w:sz w:val="28"/>
          <w:szCs w:val="28"/>
        </w:rPr>
        <w:t xml:space="preserve"> усіма зручностями, меблями, та побутовою технікою.</w:t>
      </w:r>
    </w:p>
    <w:p w:rsidR="00B33F96" w:rsidP="00B33F96" w14:paraId="18B2AEC0" w14:textId="77777777">
      <w:pPr>
        <w:spacing w:after="0" w:line="240" w:lineRule="auto"/>
        <w:ind w:right="141"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Проблемним питанням для бізнесу залишається </w:t>
      </w:r>
      <w:r>
        <w:rPr>
          <w:rFonts w:ascii="Times New Roman" w:eastAsia="Times New Roman" w:hAnsi="Times New Roman" w:cs="Times New Roman"/>
          <w:sz w:val="28"/>
          <w:szCs w:val="28"/>
        </w:rPr>
        <w:t>непрогнозованість</w:t>
      </w:r>
      <w:r>
        <w:rPr>
          <w:rFonts w:ascii="Times New Roman" w:eastAsia="Times New Roman" w:hAnsi="Times New Roman" w:cs="Times New Roman"/>
          <w:sz w:val="28"/>
          <w:szCs w:val="28"/>
        </w:rPr>
        <w:t xml:space="preserve"> розвитку ситуації в країні, складність передбачити, як будуть розвиватися події в майбутньому, що викликано умовами війни, у яких перебуває Україна. Також перешкодами для бізнесу залишаються: брак кадрів, зростання цін на сировину, зниження попиту, порушення ланцюгів постачання.</w:t>
      </w:r>
    </w:p>
    <w:p w:rsidR="00B33F96" w:rsidP="00B33F96" w14:paraId="19E6A975" w14:textId="77777777">
      <w:pPr>
        <w:spacing w:after="0" w:line="240" w:lineRule="auto"/>
        <w:ind w:right="14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території Броварської міської територіальної громади в селах Княжичі та </w:t>
      </w:r>
      <w:r>
        <w:rPr>
          <w:rFonts w:ascii="Times New Roman" w:eastAsia="Times New Roman" w:hAnsi="Times New Roman" w:cs="Times New Roman"/>
          <w:sz w:val="28"/>
          <w:szCs w:val="28"/>
        </w:rPr>
        <w:t>Требухів</w:t>
      </w:r>
      <w:r>
        <w:rPr>
          <w:rFonts w:ascii="Times New Roman" w:eastAsia="Times New Roman" w:hAnsi="Times New Roman" w:cs="Times New Roman"/>
          <w:sz w:val="28"/>
          <w:szCs w:val="28"/>
        </w:rPr>
        <w:t xml:space="preserve"> працюють чотири суб’єкти господарювання, пріоритетами розвитку яких є рослинництво. Мешканці громади займаються бджільництвом. В громаді зареєстровано 11 пасік.</w:t>
      </w:r>
    </w:p>
    <w:p w:rsidR="00B33F96" w:rsidP="00B33F96" w14:paraId="40FFBFB3" w14:textId="77777777">
      <w:pPr>
        <w:spacing w:after="0" w:line="240" w:lineRule="auto"/>
        <w:ind w:right="140" w:firstLine="567"/>
        <w:jc w:val="both"/>
        <w:rPr>
          <w:rFonts w:ascii="Times New Roman" w:eastAsia="Times New Roman" w:hAnsi="Times New Roman" w:cs="Times New Roman"/>
          <w:sz w:val="28"/>
          <w:szCs w:val="28"/>
        </w:rPr>
      </w:pPr>
    </w:p>
    <w:p w:rsidR="00B33F96" w:rsidP="00B33F96" w14:paraId="2E6A19D5"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Інвестиційна діяльність, </w:t>
      </w:r>
      <w:r>
        <w:rPr>
          <w:rFonts w:ascii="Times New Roman" w:eastAsia="Times New Roman" w:hAnsi="Times New Roman" w:cs="Times New Roman"/>
          <w:b/>
          <w:bCs/>
          <w:sz w:val="28"/>
          <w:szCs w:val="28"/>
        </w:rPr>
        <w:t>зовнішньо-економічна</w:t>
      </w:r>
      <w:r>
        <w:rPr>
          <w:rFonts w:ascii="Times New Roman" w:eastAsia="Times New Roman" w:hAnsi="Times New Roman" w:cs="Times New Roman"/>
          <w:b/>
          <w:bCs/>
          <w:sz w:val="28"/>
          <w:szCs w:val="28"/>
        </w:rPr>
        <w:t xml:space="preserve"> діяльність                         та міжнародне співробітництво</w:t>
      </w:r>
    </w:p>
    <w:p w:rsidR="00B33F96" w:rsidP="00B33F96" w14:paraId="376DD81F" w14:textId="77777777">
      <w:pPr>
        <w:spacing w:after="0" w:line="240" w:lineRule="auto"/>
        <w:jc w:val="center"/>
        <w:rPr>
          <w:rFonts w:ascii="Times New Roman" w:eastAsia="Times New Roman" w:hAnsi="Times New Roman" w:cs="Times New Roman"/>
          <w:sz w:val="28"/>
          <w:szCs w:val="28"/>
        </w:rPr>
      </w:pPr>
    </w:p>
    <w:p w:rsidR="00B33F96" w:rsidP="00B33F96" w14:paraId="0C08EBA4"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 Броварській міській територіальній громаді сприяння залученню інвестицій визнається одним з пріоритетних завдань.</w:t>
      </w:r>
    </w:p>
    <w:p w:rsidR="00B33F96" w:rsidP="00B33F96" w14:paraId="4D44A5E7"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Головними галузями інвестування в економіку громади у довоєнний період були промисловість, будівництво, логістика, торгівля та складське господарство. Протягом 2022-2024 років завершувались </w:t>
      </w:r>
      <w:r>
        <w:rPr>
          <w:rFonts w:ascii="Times New Roman" w:eastAsia="Times New Roman" w:hAnsi="Times New Roman" w:cs="Times New Roman"/>
          <w:sz w:val="28"/>
          <w:szCs w:val="28"/>
        </w:rPr>
        <w:t>проєкти</w:t>
      </w:r>
      <w:r>
        <w:rPr>
          <w:rFonts w:ascii="Times New Roman" w:eastAsia="Times New Roman" w:hAnsi="Times New Roman" w:cs="Times New Roman"/>
          <w:sz w:val="28"/>
          <w:szCs w:val="28"/>
        </w:rPr>
        <w:t xml:space="preserve"> розпочаті в довоєнному періоді. Реалізацію інвестиційних </w:t>
      </w:r>
      <w:r>
        <w:rPr>
          <w:rFonts w:ascii="Times New Roman" w:eastAsia="Times New Roman" w:hAnsi="Times New Roman" w:cs="Times New Roman"/>
          <w:sz w:val="28"/>
          <w:szCs w:val="28"/>
        </w:rPr>
        <w:t>проєктів</w:t>
      </w:r>
      <w:r>
        <w:rPr>
          <w:rFonts w:ascii="Times New Roman" w:eastAsia="Times New Roman" w:hAnsi="Times New Roman" w:cs="Times New Roman"/>
          <w:sz w:val="28"/>
          <w:szCs w:val="28"/>
        </w:rPr>
        <w:t xml:space="preserve"> суб’єкти підприємницької діяльності здійснюють переважно за рахунок власних, кредитних та інших коштів.</w:t>
      </w:r>
    </w:p>
    <w:p w:rsidR="00B33F96" w:rsidP="00B33F96" w14:paraId="5D9D7904"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 громаді впроваджено низку ініціатив для сприяння інвестиційній діяльності та покращенню бізнес-іміджу громади: оновлено інвестиційний паспорт громади, формується набір інвестиційних </w:t>
      </w:r>
      <w:r>
        <w:rPr>
          <w:rFonts w:ascii="Times New Roman" w:eastAsia="Times New Roman" w:hAnsi="Times New Roman" w:cs="Times New Roman"/>
          <w:sz w:val="28"/>
          <w:szCs w:val="28"/>
        </w:rPr>
        <w:t>проєктів</w:t>
      </w:r>
      <w:r>
        <w:rPr>
          <w:rFonts w:ascii="Times New Roman" w:eastAsia="Times New Roman" w:hAnsi="Times New Roman" w:cs="Times New Roman"/>
          <w:sz w:val="28"/>
          <w:szCs w:val="28"/>
        </w:rPr>
        <w:t>, земельних ділянок для пропозиції інвесторам, впроваджуються заходи щодо промоції інвестиційних пропозицій громади. </w:t>
      </w:r>
    </w:p>
    <w:p w:rsidR="00B33F96" w:rsidP="00B33F96" w14:paraId="7D387015"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Здійснюють діяльність понад 80 підприємств із засновниками з країн близького та далекого зарубіжжя. Основними країнами–інвесторами виступають Кіпр, Німеччина, США, Туреччина, Австрія, Польща, Бельгія, Беліз та Латвія. </w:t>
      </w:r>
    </w:p>
    <w:p w:rsidR="00B33F96" w:rsidP="00B33F96" w14:paraId="7930C97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Громада має потужний промисловий сектор, з якого до 40% - </w:t>
      </w:r>
      <w:r>
        <w:rPr>
          <w:rFonts w:ascii="Times New Roman" w:eastAsia="Times New Roman" w:hAnsi="Times New Roman" w:cs="Times New Roman"/>
          <w:sz w:val="28"/>
          <w:szCs w:val="28"/>
        </w:rPr>
        <w:t>експортоорієнтовані</w:t>
      </w:r>
      <w:r>
        <w:rPr>
          <w:rFonts w:ascii="Times New Roman" w:eastAsia="Times New Roman" w:hAnsi="Times New Roman" w:cs="Times New Roman"/>
          <w:sz w:val="28"/>
          <w:szCs w:val="28"/>
        </w:rPr>
        <w:t xml:space="preserve"> підприємства, які відправляють свою продукцію до більше ніж 30 країн Європейського Союзу, Північної Америки, Азії та Африки. </w:t>
      </w:r>
    </w:p>
    <w:p w:rsidR="00B33F96" w:rsidP="00B33F96" w14:paraId="5FADD363"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Активно розширюється співпраця із міжнародною донорською спільнотою. </w:t>
      </w:r>
    </w:p>
    <w:p w:rsidR="00B33F96" w:rsidP="00B33F96" w14:paraId="2A93723B"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Броварська міська територіальна громада стала асоційованим партнером Європейського альянсу міст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B33F96" w:rsidP="00B33F96" w14:paraId="7591FF2C"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Також громада приєдналась до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 </w:t>
      </w:r>
    </w:p>
    <w:p w:rsidR="00B33F96" w:rsidP="00B33F96" w14:paraId="7CF72E9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Співробітництво здебільшого включає як соціально-гуманітарні питання, так і питання в сфері економіки, розвитку підприємництва, водовідведення та водопостачання, поводження з відходами, роботи комунальної  сфери тощо. </w:t>
      </w:r>
    </w:p>
    <w:p w:rsidR="00B33F96" w:rsidP="00B33F96" w14:paraId="31C387EA"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4"/>
          <w:szCs w:val="24"/>
        </w:rPr>
        <w:br/>
      </w:r>
      <w:r>
        <w:rPr>
          <w:rFonts w:ascii="Times New Roman" w:eastAsia="Times New Roman" w:hAnsi="Times New Roman" w:cs="Times New Roman"/>
          <w:b/>
          <w:bCs/>
          <w:sz w:val="28"/>
          <w:szCs w:val="28"/>
        </w:rPr>
        <w:t>Підприємництво, споживчий ринок та туризм</w:t>
      </w:r>
    </w:p>
    <w:p w:rsidR="00B33F96" w:rsidP="00B33F96" w14:paraId="3541D7E0" w14:textId="77777777">
      <w:pPr>
        <w:spacing w:after="0" w:line="240" w:lineRule="auto"/>
        <w:jc w:val="center"/>
        <w:rPr>
          <w:rFonts w:ascii="Times New Roman" w:eastAsia="Times New Roman" w:hAnsi="Times New Roman" w:cs="Times New Roman"/>
          <w:b/>
          <w:bCs/>
          <w:sz w:val="28"/>
          <w:szCs w:val="28"/>
        </w:rPr>
      </w:pPr>
    </w:p>
    <w:p w:rsidR="00B33F96" w:rsidP="00B33F96" w14:paraId="3A038B3C"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Пристоли</w:t>
      </w:r>
      <w:r>
        <w:rPr>
          <w:rFonts w:ascii="Times New Roman" w:eastAsia="Times New Roman" w:hAnsi="Times New Roman" w:cs="Times New Roman"/>
          <w:sz w:val="28"/>
          <w:szCs w:val="28"/>
        </w:rPr>
        <w:t xml:space="preserve">чне розташування громади надає низку переваг для місцевого економічного розвитку. У рейтингу найкращих міст для ведення бізнесу </w:t>
      </w:r>
      <w:r>
        <w:rPr>
          <w:rFonts w:ascii="Times New Roman" w:eastAsia="Times New Roman" w:hAnsi="Times New Roman" w:cs="Times New Roman"/>
          <w:sz w:val="28"/>
          <w:szCs w:val="28"/>
        </w:rPr>
        <w:t>Forbes</w:t>
      </w:r>
      <w:r>
        <w:rPr>
          <w:rFonts w:ascii="Times New Roman" w:eastAsia="Times New Roman" w:hAnsi="Times New Roman" w:cs="Times New Roman"/>
          <w:sz w:val="28"/>
          <w:szCs w:val="28"/>
        </w:rPr>
        <w:t xml:space="preserve"> за 2021 рік Бровари зайняли 10 місце серед громад України з населенням більше 90 тисяч мешканців.</w:t>
      </w:r>
    </w:p>
    <w:p w:rsidR="00B33F96" w:rsidP="00B33F96" w14:paraId="350154FD"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З метою підтримки бізнесу та мешканців громади працює Центр надання адміністративних послуг (далі ЦНАП), який створений у 2013 році. </w:t>
      </w:r>
    </w:p>
    <w:p w:rsidR="00B33F96" w:rsidP="00B33F96" w14:paraId="0F263FB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Сектор туризму у довоєнний час розглядався як один із перспективних. Наразі прогнозувати жвавість цього сектору є проблематичним. Втім громада має туристичний потенціал. Це </w:t>
      </w:r>
      <w:r>
        <w:rPr>
          <w:rFonts w:ascii="Times New Roman" w:eastAsia="Times New Roman" w:hAnsi="Times New Roman" w:cs="Times New Roman"/>
          <w:sz w:val="28"/>
          <w:szCs w:val="28"/>
        </w:rPr>
        <w:t>крафтове</w:t>
      </w:r>
      <w:r>
        <w:rPr>
          <w:rFonts w:ascii="Times New Roman" w:eastAsia="Times New Roman" w:hAnsi="Times New Roman" w:cs="Times New Roman"/>
          <w:sz w:val="28"/>
          <w:szCs w:val="28"/>
        </w:rPr>
        <w:t xml:space="preserve"> виробництво «Медовий спас»,  голландська пекарня «21.3»,  культурно-інноваційна платформа «</w:t>
      </w:r>
      <w:r>
        <w:rPr>
          <w:rFonts w:ascii="Times New Roman" w:eastAsia="Times New Roman" w:hAnsi="Times New Roman" w:cs="Times New Roman"/>
          <w:sz w:val="28"/>
          <w:szCs w:val="28"/>
        </w:rPr>
        <w:t>ТепЛиця</w:t>
      </w:r>
      <w:r>
        <w:rPr>
          <w:rFonts w:ascii="Times New Roman" w:eastAsia="Times New Roman" w:hAnsi="Times New Roman" w:cs="Times New Roman"/>
          <w:sz w:val="28"/>
          <w:szCs w:val="28"/>
        </w:rPr>
        <w:t>» та  культурно-просвітницький центр «</w:t>
      </w:r>
      <w:r>
        <w:rPr>
          <w:rFonts w:ascii="Times New Roman" w:eastAsia="Times New Roman" w:hAnsi="Times New Roman" w:cs="Times New Roman"/>
          <w:sz w:val="28"/>
          <w:szCs w:val="28"/>
        </w:rPr>
        <w:t>СвітЛиця</w:t>
      </w:r>
      <w:r>
        <w:rPr>
          <w:rFonts w:ascii="Times New Roman" w:eastAsia="Times New Roman" w:hAnsi="Times New Roman" w:cs="Times New Roman"/>
          <w:sz w:val="28"/>
          <w:szCs w:val="28"/>
        </w:rPr>
        <w:t>», парк ім. Т.Г. Шевченка, міський краєзнавчий музей, Майдан Свободи, Парк культури та відпочинку «Перемога», пам’ятний знак «Захисникам України», пам’ятний знак жертвам голодомору та політичних репресій, пам’ятник «Героям Чорнобиля», приватний музей «Історія зброї та етнографії», торговельно-розважальний центр «Термінал», низка закладів ресторанного, готельного господарства, торгівлі, ресторанно-готельних комплексів, бізнес-центрів, фітнес центрів тощо.</w:t>
      </w:r>
    </w:p>
    <w:p w:rsidR="00B33F96" w:rsidP="00B33F96" w14:paraId="4967D042" w14:textId="77777777">
      <w:pPr>
        <w:spacing w:after="0" w:line="240" w:lineRule="auto"/>
        <w:jc w:val="both"/>
        <w:rPr>
          <w:rFonts w:ascii="Times New Roman" w:eastAsia="Times New Roman" w:hAnsi="Times New Roman" w:cs="Times New Roman"/>
          <w:sz w:val="16"/>
          <w:szCs w:val="16"/>
        </w:rPr>
      </w:pPr>
    </w:p>
    <w:p w:rsidR="00B33F96" w:rsidP="00B33F96" w14:paraId="2EAD6053" w14:textId="77777777">
      <w:pPr>
        <w:spacing w:after="0" w:line="240" w:lineRule="auto"/>
        <w:jc w:val="both"/>
        <w:rPr>
          <w:rFonts w:ascii="Times New Roman" w:eastAsia="Times New Roman" w:hAnsi="Times New Roman" w:cs="Times New Roman"/>
          <w:sz w:val="16"/>
          <w:szCs w:val="16"/>
        </w:rPr>
      </w:pPr>
    </w:p>
    <w:p w:rsidR="00B33F96" w:rsidP="00B33F96" w14:paraId="4C551CA7"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Безпека життєдіяльності та цивільний захист</w:t>
      </w:r>
    </w:p>
    <w:p w:rsidR="00B33F96" w:rsidP="00B33F96" w14:paraId="78391DF6" w14:textId="77777777">
      <w:pPr>
        <w:spacing w:after="0" w:line="240" w:lineRule="auto"/>
        <w:jc w:val="center"/>
        <w:rPr>
          <w:rFonts w:ascii="Times New Roman" w:eastAsia="Times New Roman" w:hAnsi="Times New Roman" w:cs="Times New Roman"/>
          <w:b/>
          <w:bCs/>
          <w:sz w:val="28"/>
          <w:szCs w:val="28"/>
        </w:rPr>
      </w:pPr>
    </w:p>
    <w:p w:rsidR="00B33F96" w:rsidP="00B33F96" w14:paraId="423F6AC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умовах війни вжиття заходів щодо цивільного захисту, безпеки та оборони має домінуюче значення. </w:t>
      </w:r>
    </w:p>
    <w:p w:rsidR="00B33F96" w:rsidP="00B33F96" w14:paraId="15EFB98C"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У Броварській міській територіальній громаді створено місцеву систему центрального оповіщення, діє система відеоспостереження  на дорогах, як засіб профілактики та протидії злочинності, запобігання дорожньо-транспортних аварій, створено місцевий матеріальний резерв для запобігання, ліквідації надзвичайних ситуацій техногенного і природного характеру та їх наслідків,  надається допомога військовим.</w:t>
      </w:r>
    </w:p>
    <w:p w:rsidR="00B33F96" w:rsidP="00B33F96" w14:paraId="28ADE942"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 селах </w:t>
      </w:r>
      <w:r>
        <w:rPr>
          <w:rFonts w:ascii="Times New Roman" w:eastAsia="Times New Roman" w:hAnsi="Times New Roman" w:cs="Times New Roman"/>
          <w:sz w:val="28"/>
          <w:szCs w:val="28"/>
        </w:rPr>
        <w:t>Требухів</w:t>
      </w:r>
      <w:r>
        <w:rPr>
          <w:rFonts w:ascii="Times New Roman" w:eastAsia="Times New Roman" w:hAnsi="Times New Roman" w:cs="Times New Roman"/>
          <w:sz w:val="28"/>
          <w:szCs w:val="28"/>
        </w:rPr>
        <w:t xml:space="preserve"> та Княжичі працюють поліцейські станції, які мають необхідне обладнання та транспорт. Правопорядок у м. Бровари забезпечується Броварським районним управлінням поліції ГУ Національної поліції України в Київській області.</w:t>
      </w:r>
    </w:p>
    <w:p w:rsidR="00B33F96" w:rsidP="00B33F96" w14:paraId="32DA41B3" w14:textId="7777777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B33F96" w:rsidP="00B33F96" w14:paraId="7A1736C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p>
    <w:p w:rsidR="00B33F96" w:rsidP="00B33F96" w14:paraId="679C9C4C" w14:textId="77777777">
      <w:pPr>
        <w:spacing w:after="0" w:line="240" w:lineRule="auto"/>
        <w:ind w:firstLine="567"/>
        <w:jc w:val="both"/>
        <w:rPr>
          <w:rFonts w:ascii="Times New Roman" w:eastAsia="Times New Roman" w:hAnsi="Times New Roman" w:cs="Times New Roman"/>
          <w:sz w:val="28"/>
          <w:szCs w:val="28"/>
        </w:rPr>
      </w:pPr>
    </w:p>
    <w:p w:rsidR="00B33F96" w:rsidP="00B33F96" w14:paraId="7E24F822"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Цілі та пріоритети соціально-економічного розвитку на середньостроковий період та очікувані результати їх досягнення</w:t>
      </w:r>
    </w:p>
    <w:p w:rsidR="00B33F96" w:rsidP="00B33F96" w14:paraId="6B501919" w14:textId="77777777">
      <w:pPr>
        <w:spacing w:after="0" w:line="240" w:lineRule="auto"/>
        <w:ind w:firstLine="567"/>
        <w:jc w:val="center"/>
        <w:rPr>
          <w:rFonts w:ascii="Times New Roman" w:eastAsia="Times New Roman" w:hAnsi="Times New Roman" w:cs="Times New Roman"/>
          <w:b/>
          <w:sz w:val="28"/>
          <w:szCs w:val="28"/>
        </w:rPr>
      </w:pPr>
    </w:p>
    <w:p w:rsidR="00B33F96" w:rsidP="00B33F96" w14:paraId="7ADFD1BC" w14:textId="77777777">
      <w:pPr>
        <w:spacing w:after="0" w:line="240" w:lineRule="auto"/>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       </w:t>
      </w:r>
      <w:r>
        <w:rPr>
          <w:rFonts w:ascii="Times New Roman" w:eastAsia="Calibri" w:hAnsi="Times New Roman" w:cs="Times New Roman"/>
          <w:sz w:val="28"/>
          <w:szCs w:val="28"/>
          <w:lang w:eastAsia="en-US"/>
        </w:rPr>
        <w:t>Соціально – економічний розвиток громади в 2026 – 2028 роках, перш за все, має відповідати Стратегії розвитку Броварської міської територіальної громади до 2027 року, при розробці якої</w:t>
      </w:r>
      <w:r>
        <w:rPr>
          <w:rFonts w:ascii="Times New Roman" w:eastAsia="Calibri" w:hAnsi="Times New Roman" w:cs="Times New Roman"/>
          <w:b/>
          <w:sz w:val="28"/>
          <w:szCs w:val="28"/>
          <w:lang w:eastAsia="en-US"/>
        </w:rPr>
        <w:t xml:space="preserve">  </w:t>
      </w:r>
      <w:r>
        <w:rPr>
          <w:rFonts w:ascii="Times New Roman" w:eastAsia="Calibri" w:hAnsi="Times New Roman" w:cs="Times New Roman"/>
          <w:sz w:val="28"/>
          <w:szCs w:val="28"/>
          <w:lang w:eastAsia="en-US"/>
        </w:rPr>
        <w:t xml:space="preserve">було проведено детальний аналіз всіх напрямків та сфер діяльності громади, визначено стратегічні пріоритети розвитку, </w:t>
      </w:r>
      <w:r>
        <w:rPr>
          <w:rFonts w:ascii="Times New Roman" w:eastAsia="Calibri" w:hAnsi="Times New Roman" w:cs="Times New Roman"/>
          <w:sz w:val="28"/>
          <w:szCs w:val="28"/>
          <w:lang w:eastAsia="en-US"/>
        </w:rPr>
        <w:t>напрацювано</w:t>
      </w:r>
      <w:r>
        <w:rPr>
          <w:rFonts w:ascii="Times New Roman" w:eastAsia="Calibri" w:hAnsi="Times New Roman" w:cs="Times New Roman"/>
          <w:sz w:val="28"/>
          <w:szCs w:val="28"/>
          <w:lang w:eastAsia="en-US"/>
        </w:rPr>
        <w:t xml:space="preserve"> алгоритм дій на майбутнє та розроблено План заходів з її реалізації.</w:t>
      </w:r>
    </w:p>
    <w:p w:rsidR="00B33F96" w:rsidP="00B33F96" w14:paraId="777E0AA9"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Стратегія є документом стратегічного планування місцевого рівня, що визначає стратегічні, оперативні цілі та завдання для сталого розвитку територіальної громади відповідно до Державної стратегії регіонального розвитку та оновленої Стратегії розвитку Київської області, та враховує спільні інтереси та бачення розвитку громади в умовах воєнної агресії </w:t>
      </w:r>
      <w:r>
        <w:rPr>
          <w:rFonts w:ascii="Times New Roman" w:eastAsia="Calibri" w:hAnsi="Times New Roman" w:cs="Times New Roman"/>
          <w:sz w:val="28"/>
          <w:szCs w:val="28"/>
          <w:lang w:eastAsia="en-US"/>
        </w:rPr>
        <w:t>росії</w:t>
      </w:r>
      <w:r>
        <w:rPr>
          <w:rFonts w:ascii="Times New Roman" w:eastAsia="Calibri" w:hAnsi="Times New Roman" w:cs="Times New Roman"/>
          <w:sz w:val="28"/>
          <w:szCs w:val="28"/>
          <w:lang w:eastAsia="en-US"/>
        </w:rPr>
        <w:t xml:space="preserve"> та повоєнного відновлення,  зорієнтована на забезпечення економічного розвитку громади і покращення рівня життя її мешканців.</w:t>
      </w:r>
    </w:p>
    <w:p w:rsidR="00B33F96" w:rsidP="00B33F96" w14:paraId="396BEED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стратегічного бачення громади сформовано стратегічні та оперативні цілі, які у середньостроковій перспективі сприятимуть підвищенню якості життя населення в умовах обраного сценарію розвитку. </w:t>
      </w:r>
    </w:p>
    <w:p w:rsidR="00B33F96" w:rsidP="00B33F96" w14:paraId="7CB70BF7" w14:textId="77777777">
      <w:pPr>
        <w:spacing w:after="0" w:line="240" w:lineRule="auto"/>
        <w:ind w:firstLine="567"/>
        <w:jc w:val="both"/>
        <w:rPr>
          <w:rFonts w:ascii="Times New Roman" w:eastAsia="Times New Roman" w:hAnsi="Times New Roman" w:cs="Times New Roman"/>
          <w:sz w:val="16"/>
          <w:szCs w:val="16"/>
        </w:rPr>
      </w:pPr>
    </w:p>
    <w:p w:rsidR="00B33F96" w:rsidP="00B33F96" w14:paraId="1BB9214B" w14:textId="77777777">
      <w:pPr>
        <w:spacing w:after="0" w:line="240" w:lineRule="auto"/>
        <w:ind w:firstLine="567"/>
        <w:jc w:val="both"/>
        <w:rPr>
          <w:rFonts w:ascii="Times New Roman" w:eastAsia="Times New Roman" w:hAnsi="Times New Roman" w:cs="Times New Roman"/>
          <w:sz w:val="16"/>
          <w:szCs w:val="16"/>
        </w:rPr>
      </w:pPr>
    </w:p>
    <w:p w:rsidR="00B33F96" w:rsidP="00B33F96" w14:paraId="283EF870" w14:textId="77777777">
      <w:pPr>
        <w:spacing w:after="0" w:line="240" w:lineRule="auto"/>
        <w:ind w:firstLine="567"/>
        <w:jc w:val="both"/>
        <w:rPr>
          <w:rFonts w:ascii="Times New Roman" w:eastAsia="Times New Roman" w:hAnsi="Times New Roman" w:cs="Times New Roman"/>
          <w:sz w:val="16"/>
          <w:szCs w:val="16"/>
        </w:rPr>
      </w:pPr>
    </w:p>
    <w:p w:rsidR="00B33F96" w:rsidP="00B33F96" w14:paraId="12CDB163" w14:textId="77777777">
      <w:pPr>
        <w:spacing w:after="0" w:line="240" w:lineRule="auto"/>
        <w:ind w:firstLine="567"/>
        <w:jc w:val="both"/>
        <w:rPr>
          <w:rFonts w:ascii="Times New Roman" w:eastAsia="Times New Roman" w:hAnsi="Times New Roman" w:cs="Times New Roman"/>
          <w:sz w:val="16"/>
          <w:szCs w:val="16"/>
        </w:rPr>
      </w:pPr>
    </w:p>
    <w:p w:rsidR="00B33F96" w:rsidP="00B33F96" w14:paraId="781AEE7D" w14:textId="77777777">
      <w:pPr>
        <w:spacing w:after="0" w:line="240" w:lineRule="auto"/>
        <w:ind w:firstLine="567"/>
        <w:jc w:val="both"/>
        <w:rPr>
          <w:rFonts w:ascii="Times New Roman" w:eastAsia="Times New Roman" w:hAnsi="Times New Roman" w:cs="Times New Roman"/>
          <w:sz w:val="16"/>
          <w:szCs w:val="16"/>
        </w:rPr>
      </w:pPr>
    </w:p>
    <w:p w:rsidR="00B33F96" w:rsidP="00B33F96" w14:paraId="3C3C3536" w14:textId="77777777">
      <w:pPr>
        <w:spacing w:after="0" w:line="240" w:lineRule="auto"/>
        <w:ind w:firstLine="567"/>
        <w:jc w:val="both"/>
        <w:rPr>
          <w:rFonts w:ascii="Times New Roman" w:eastAsia="Times New Roman" w:hAnsi="Times New Roman" w:cs="Times New Roman"/>
          <w:sz w:val="16"/>
          <w:szCs w:val="16"/>
        </w:rPr>
      </w:pPr>
    </w:p>
    <w:p w:rsidR="00B33F96" w:rsidP="00B33F96" w14:paraId="6CD21F92" w14:textId="77777777">
      <w:pPr>
        <w:spacing w:after="0" w:line="240" w:lineRule="auto"/>
        <w:ind w:firstLine="567"/>
        <w:jc w:val="both"/>
        <w:rPr>
          <w:rFonts w:ascii="Times New Roman" w:eastAsia="Times New Roman" w:hAnsi="Times New Roman" w:cs="Times New Roman"/>
          <w:sz w:val="16"/>
          <w:szCs w:val="16"/>
        </w:rPr>
      </w:pPr>
    </w:p>
    <w:p w:rsidR="00B33F96" w:rsidP="00B33F96" w14:paraId="541224C4" w14:textId="77777777">
      <w:pPr>
        <w:spacing w:after="0" w:line="240" w:lineRule="auto"/>
        <w:ind w:firstLine="567"/>
        <w:jc w:val="both"/>
        <w:rPr>
          <w:rFonts w:ascii="Times New Roman" w:eastAsia="Times New Roman" w:hAnsi="Times New Roman" w:cs="Times New Roman"/>
          <w:sz w:val="16"/>
          <w:szCs w:val="16"/>
        </w:rPr>
      </w:pPr>
    </w:p>
    <w:p w:rsidR="00B33F96" w:rsidP="00B33F96" w14:paraId="57194F4A" w14:textId="77777777">
      <w:pPr>
        <w:spacing w:after="0" w:line="240" w:lineRule="auto"/>
        <w:ind w:firstLine="567"/>
        <w:jc w:val="both"/>
        <w:rPr>
          <w:rFonts w:ascii="Times New Roman" w:eastAsia="Times New Roman" w:hAnsi="Times New Roman" w:cs="Times New Roman"/>
          <w:sz w:val="16"/>
          <w:szCs w:val="16"/>
        </w:rPr>
      </w:pPr>
    </w:p>
    <w:p w:rsidR="00B33F96" w:rsidP="00B33F96" w14:paraId="0103ACCB" w14:textId="77777777">
      <w:pPr>
        <w:spacing w:after="0" w:line="240" w:lineRule="auto"/>
        <w:ind w:firstLine="567"/>
        <w:jc w:val="both"/>
        <w:rPr>
          <w:rFonts w:ascii="Times New Roman" w:eastAsia="Times New Roman" w:hAnsi="Times New Roman" w:cs="Times New Roman"/>
          <w:sz w:val="16"/>
          <w:szCs w:val="16"/>
        </w:rPr>
      </w:pPr>
    </w:p>
    <w:p w:rsidR="00B33F96" w:rsidP="00B33F96" w14:paraId="0508923C" w14:textId="77777777">
      <w:pPr>
        <w:spacing w:after="0" w:line="240" w:lineRule="auto"/>
        <w:ind w:firstLine="567"/>
        <w:jc w:val="both"/>
        <w:rPr>
          <w:rFonts w:ascii="Times New Roman" w:eastAsia="Times New Roman" w:hAnsi="Times New Roman" w:cs="Times New Roman"/>
          <w:sz w:val="16"/>
          <w:szCs w:val="16"/>
        </w:rPr>
      </w:pPr>
    </w:p>
    <w:p w:rsidR="00B33F96" w:rsidP="00B33F96" w14:paraId="34DEBAE6" w14:textId="77777777">
      <w:pPr>
        <w:spacing w:after="0" w:line="240" w:lineRule="auto"/>
        <w:ind w:firstLine="567"/>
        <w:jc w:val="both"/>
        <w:rPr>
          <w:rFonts w:ascii="Times New Roman" w:eastAsia="Times New Roman" w:hAnsi="Times New Roman" w:cs="Times New Roman"/>
          <w:sz w:val="16"/>
          <w:szCs w:val="16"/>
        </w:rPr>
      </w:pPr>
    </w:p>
    <w:p w:rsidR="00B33F96" w:rsidP="00B33F96" w14:paraId="5FB4EA3F" w14:textId="77777777">
      <w:pPr>
        <w:spacing w:after="0" w:line="240" w:lineRule="auto"/>
        <w:ind w:firstLine="567"/>
        <w:jc w:val="both"/>
        <w:rPr>
          <w:rFonts w:ascii="Times New Roman" w:eastAsia="Times New Roman" w:hAnsi="Times New Roman" w:cs="Times New Roman"/>
          <w:sz w:val="16"/>
          <w:szCs w:val="16"/>
        </w:rPr>
      </w:pPr>
    </w:p>
    <w:p w:rsidR="00B33F96" w:rsidP="00B33F96" w14:paraId="1552FCB7"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Стратегічні, оперативні цілі та пріоритети соціально-економічного розвитку Броварської міської територіальної громади </w:t>
      </w:r>
    </w:p>
    <w:tbl>
      <w:tblPr>
        <w:tblW w:w="9645" w:type="dxa"/>
        <w:tblInd w:w="-34" w:type="dxa"/>
        <w:tblLayout w:type="fixed"/>
        <w:tblLook w:val="04A0"/>
      </w:tblPr>
      <w:tblGrid>
        <w:gridCol w:w="1136"/>
        <w:gridCol w:w="2552"/>
        <w:gridCol w:w="5957"/>
      </w:tblGrid>
      <w:tr w14:paraId="06820945" w14:textId="77777777" w:rsidTr="00B33F96">
        <w:tblPrEx>
          <w:tblW w:w="9645" w:type="dxa"/>
          <w:tblInd w:w="-34" w:type="dxa"/>
          <w:tblLayout w:type="fixed"/>
          <w:tblLook w:val="04A0"/>
        </w:tblPrEx>
        <w:trPr>
          <w:trHeight w:val="1084"/>
        </w:trPr>
        <w:tc>
          <w:tcPr>
            <w:tcW w:w="1135" w:type="dxa"/>
            <w:tcBorders>
              <w:top w:val="single" w:sz="4" w:space="0" w:color="auto"/>
              <w:left w:val="single" w:sz="4" w:space="0" w:color="auto"/>
              <w:bottom w:val="single" w:sz="4" w:space="0" w:color="auto"/>
              <w:right w:val="single" w:sz="4" w:space="0" w:color="auto"/>
            </w:tcBorders>
            <w:textDirection w:val="btLr"/>
            <w:vAlign w:val="center"/>
            <w:hideMark/>
          </w:tcPr>
          <w:p w:rsidR="00B33F96" w14:paraId="2BB5C73B" w14:textId="77777777">
            <w:pPr>
              <w:rPr>
                <w:rFonts w:ascii="Times New Roman" w:eastAsia="Calibri" w:hAnsi="Times New Roman" w:cs="Times New Roman"/>
                <w:lang w:val="ru-RU" w:eastAsia="en-US"/>
              </w:rPr>
            </w:pPr>
            <w:r>
              <w:rPr>
                <w:rFonts w:ascii="Times New Roman" w:eastAsia="Calibri" w:hAnsi="Times New Roman" w:cs="Times New Roman"/>
                <w:sz w:val="20"/>
                <w:szCs w:val="20"/>
                <w:lang w:val="ru-RU" w:eastAsia="en-US"/>
              </w:rPr>
              <w:t>Стратегічні</w:t>
            </w:r>
            <w:r>
              <w:rPr>
                <w:rFonts w:ascii="Times New Roman" w:eastAsia="Calibri" w:hAnsi="Times New Roman" w:cs="Times New Roman"/>
                <w:lang w:val="ru-RU" w:eastAsia="en-US"/>
              </w:rPr>
              <w:t xml:space="preserve"> </w:t>
            </w:r>
            <w:r>
              <w:rPr>
                <w:rFonts w:ascii="Times New Roman" w:eastAsia="Calibri" w:hAnsi="Times New Roman" w:cs="Times New Roman"/>
                <w:sz w:val="20"/>
                <w:szCs w:val="20"/>
                <w:lang w:val="ru-RU" w:eastAsia="en-US"/>
              </w:rPr>
              <w:t>цілі</w:t>
            </w:r>
          </w:p>
        </w:tc>
        <w:tc>
          <w:tcPr>
            <w:tcW w:w="2551" w:type="dxa"/>
            <w:tcBorders>
              <w:top w:val="single" w:sz="4" w:space="0" w:color="auto"/>
              <w:left w:val="nil"/>
              <w:bottom w:val="single" w:sz="4" w:space="0" w:color="auto"/>
              <w:right w:val="single" w:sz="4" w:space="0" w:color="auto"/>
            </w:tcBorders>
            <w:vAlign w:val="center"/>
            <w:hideMark/>
          </w:tcPr>
          <w:p w:rsidR="00B33F96" w14:paraId="77A8F89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Оперативні цілі</w:t>
            </w:r>
          </w:p>
        </w:tc>
        <w:tc>
          <w:tcPr>
            <w:tcW w:w="5954" w:type="dxa"/>
            <w:tcBorders>
              <w:top w:val="single" w:sz="4" w:space="0" w:color="auto"/>
              <w:left w:val="nil"/>
              <w:bottom w:val="single" w:sz="4" w:space="0" w:color="auto"/>
              <w:right w:val="single" w:sz="4" w:space="0" w:color="auto"/>
            </w:tcBorders>
            <w:vAlign w:val="center"/>
            <w:hideMark/>
          </w:tcPr>
          <w:p w:rsidR="00B33F96" w14:paraId="2856017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Пріоритети</w:t>
            </w:r>
          </w:p>
        </w:tc>
      </w:tr>
      <w:tr w14:paraId="78529AE1" w14:textId="77777777" w:rsidTr="00B33F96">
        <w:tblPrEx>
          <w:tblW w:w="9645" w:type="dxa"/>
          <w:tblInd w:w="-34" w:type="dxa"/>
          <w:tblLayout w:type="fixed"/>
          <w:tblLook w:val="04A0"/>
        </w:tblPrEx>
        <w:trPr>
          <w:trHeight w:val="945"/>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B33F96" w14:paraId="45AA5EE7"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Відновлення та розвиток людського потенціалу</w:t>
            </w: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34079EA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Розбудова освіченого, інклюзивного та інноваційного суспільства, в якому кожен громадянин має рівні можливості для навчання та розвитку</w:t>
            </w:r>
          </w:p>
        </w:tc>
        <w:tc>
          <w:tcPr>
            <w:tcW w:w="5954" w:type="dxa"/>
            <w:tcBorders>
              <w:top w:val="nil"/>
              <w:left w:val="nil"/>
              <w:bottom w:val="single" w:sz="4" w:space="0" w:color="auto"/>
              <w:right w:val="single" w:sz="4" w:space="0" w:color="auto"/>
            </w:tcBorders>
            <w:vAlign w:val="center"/>
            <w:hideMark/>
          </w:tcPr>
          <w:p w:rsidR="00B33F96" w14:paraId="235E6B9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 Забезпечення функціонування оптимальної мережі різних типів надавачів освітніх послуг для дітей раннього і дошкільного віку у безпечних умовах.</w:t>
            </w:r>
          </w:p>
        </w:tc>
      </w:tr>
      <w:tr w14:paraId="4382120B"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140CA2D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3CF408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0EA9C7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 Сприяння створенню оптимальної мережі закладів загальної середньої освіти, яка забезпечить здобуття її третього рівня.</w:t>
            </w:r>
          </w:p>
        </w:tc>
      </w:tr>
      <w:tr w14:paraId="062F9AC2"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6FFB1765"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EBD7C7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165CEE5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 Підвищення матеріально-технічного забезпечення навчальних закладів, якості надання освітніх послуг.</w:t>
            </w:r>
          </w:p>
        </w:tc>
      </w:tr>
      <w:tr w14:paraId="540D20AC"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6B50A538"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FDF3DA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24CB6C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Підтримка процесів </w:t>
            </w:r>
            <w:r>
              <w:rPr>
                <w:rFonts w:ascii="Times New Roman" w:eastAsia="Times New Roman" w:hAnsi="Times New Roman" w:cs="Times New Roman"/>
                <w:sz w:val="24"/>
                <w:szCs w:val="24"/>
              </w:rPr>
              <w:t>цифровізації</w:t>
            </w:r>
            <w:r>
              <w:rPr>
                <w:rFonts w:ascii="Times New Roman" w:eastAsia="Times New Roman" w:hAnsi="Times New Roman" w:cs="Times New Roman"/>
                <w:sz w:val="24"/>
                <w:szCs w:val="24"/>
              </w:rPr>
              <w:t xml:space="preserve"> освіти, застосування сучасних інформаційних технологій в освітньому процесі. </w:t>
            </w:r>
          </w:p>
        </w:tc>
      </w:tr>
      <w:tr w14:paraId="0F75AE15"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16AB56A8"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628324A"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F1E10C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 Сприяння розвитку кадрового потенціалу у сфері освіти.</w:t>
            </w:r>
          </w:p>
        </w:tc>
      </w:tr>
      <w:tr w14:paraId="7D77CBB7"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30A419A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22799E3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2EB8AAA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 Сприяння розвитку сучасної позашкільної освіти відповідно до інтересів та запитів дітей.</w:t>
            </w:r>
          </w:p>
        </w:tc>
      </w:tr>
      <w:tr w14:paraId="3033DDA6"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77CF1FC4"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60029EC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5F9347B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 Забезпечення доступності освітніх послуг для дітей з особливими освітніми потребами, сприяння створенню інклюзивного освітнього середовища в закладах освіти.</w:t>
            </w:r>
          </w:p>
        </w:tc>
      </w:tr>
      <w:tr w14:paraId="24939FE5" w14:textId="77777777" w:rsidTr="00B33F96">
        <w:tblPrEx>
          <w:tblW w:w="9645" w:type="dxa"/>
          <w:tblInd w:w="-34" w:type="dxa"/>
          <w:tblLayout w:type="fixed"/>
          <w:tblLook w:val="04A0"/>
        </w:tblPrEx>
        <w:trPr>
          <w:trHeight w:val="414"/>
        </w:trPr>
        <w:tc>
          <w:tcPr>
            <w:tcW w:w="1135" w:type="dxa"/>
            <w:vMerge/>
            <w:tcBorders>
              <w:top w:val="nil"/>
              <w:left w:val="single" w:sz="4" w:space="0" w:color="auto"/>
              <w:bottom w:val="single" w:sz="4" w:space="0" w:color="000000"/>
              <w:right w:val="single" w:sz="4" w:space="0" w:color="auto"/>
            </w:tcBorders>
            <w:vAlign w:val="center"/>
            <w:hideMark/>
          </w:tcPr>
          <w:p w:rsidR="00B33F96" w14:paraId="50CB07C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7F6AC1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6D34FB2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 Сприяння розвитку професійної (професійно-технічної) освіти у відповідності до потреб  ринку праці, сприяння здобуттю професійної підготовки за дуальною формою навчання.</w:t>
            </w:r>
          </w:p>
        </w:tc>
      </w:tr>
      <w:tr w14:paraId="4DDBBBAC"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4E69EBC8"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0873E75"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6F73F06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1.1.9. Поширення ефективних профорієнтаційних заходів у закладах загальної середньої освіти. </w:t>
            </w:r>
          </w:p>
        </w:tc>
      </w:tr>
      <w:tr w14:paraId="793EFF5E"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01BB9E2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5AF5B3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34B426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1.1.10. Створення рівних можливостей для особистого та професійного розвитку особи впродовж життя.</w:t>
            </w:r>
          </w:p>
        </w:tc>
      </w:tr>
      <w:tr w14:paraId="253A2F5B"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00D7C1D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0336BA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7FB6DC9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1.1.11. Сприяння розвитку національно-патріотичного виховання населення.</w:t>
            </w:r>
          </w:p>
        </w:tc>
      </w:tr>
      <w:tr w14:paraId="559C0A64"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44377214"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1E202FB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Формування доступної та спроможної мережі для надання якісних медичних послуг з урахуванням потреб різних верств населення</w:t>
            </w:r>
          </w:p>
        </w:tc>
        <w:tc>
          <w:tcPr>
            <w:tcW w:w="5954" w:type="dxa"/>
            <w:tcBorders>
              <w:top w:val="nil"/>
              <w:left w:val="nil"/>
              <w:bottom w:val="single" w:sz="4" w:space="0" w:color="auto"/>
              <w:right w:val="single" w:sz="4" w:space="0" w:color="auto"/>
            </w:tcBorders>
            <w:vAlign w:val="center"/>
            <w:hideMark/>
          </w:tcPr>
          <w:p w:rsidR="00B33F96" w14:paraId="53D2B5F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 Забезпечення функціонування спроможної системи громадського здоров’я у громаді.</w:t>
            </w:r>
          </w:p>
        </w:tc>
      </w:tr>
      <w:tr w14:paraId="2E881DF4"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5E477E9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7D1102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2A66383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 Розвиток мережі медичних закладів на території громади.</w:t>
            </w:r>
          </w:p>
        </w:tc>
      </w:tr>
      <w:tr w14:paraId="5A473CB0"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36F1F069"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AA0ACA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10C91E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 Розвиток реабілітаційної та паліативної допомоги.</w:t>
            </w:r>
          </w:p>
        </w:tc>
      </w:tr>
      <w:tr w14:paraId="58FEB2EB"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79F014F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A62062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6D93C52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 Впровадження систем інформатизації у галузі охорони здоров′я</w:t>
            </w:r>
          </w:p>
        </w:tc>
      </w:tr>
      <w:tr w14:paraId="43BE06C1"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3E22CE18"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84937B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BEAA4B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 Створення умов для профілактики інфекційних та неінфекційних хвороб, забезпечення імунізації населення.</w:t>
            </w:r>
          </w:p>
        </w:tc>
      </w:tr>
      <w:tr w14:paraId="4EFD6B75"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6C15E0C5"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E5CCA6C"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68CE577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 Підвищення кадрового потенціалу закладів охорони здоров’я.</w:t>
            </w:r>
          </w:p>
        </w:tc>
      </w:tr>
      <w:tr w14:paraId="7C58901B"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6B104670"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6A6B15D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2931F38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 Забезпечення доступу населення до лікарських засобів та медичних виробів.</w:t>
            </w:r>
          </w:p>
        </w:tc>
      </w:tr>
      <w:tr w14:paraId="48E2EA28"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6C9D44A2"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685ED92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Створення належних умов для розвитку системи закладів фізичної культури і спорту, у тому числі для осіб з інвалідністю</w:t>
            </w:r>
          </w:p>
        </w:tc>
        <w:tc>
          <w:tcPr>
            <w:tcW w:w="5954" w:type="dxa"/>
            <w:tcBorders>
              <w:top w:val="nil"/>
              <w:left w:val="nil"/>
              <w:bottom w:val="single" w:sz="4" w:space="0" w:color="auto"/>
              <w:right w:val="single" w:sz="4" w:space="0" w:color="auto"/>
            </w:tcBorders>
            <w:vAlign w:val="center"/>
            <w:hideMark/>
          </w:tcPr>
          <w:p w:rsidR="00B33F96" w14:paraId="19BED44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 Забезпечення розвитку фізичної культури та спорту на рівні територіальних громад.</w:t>
            </w:r>
          </w:p>
        </w:tc>
      </w:tr>
      <w:tr w14:paraId="171DE9B5"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443DE11D"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4F1F48C"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213F5EA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 Створення умов для залучення осіб та дітей з інвалідністю до занять фізичною культурою, спортом та фізкультурно-спортивною реабілітацією.</w:t>
            </w:r>
          </w:p>
        </w:tc>
      </w:tr>
      <w:tr w14:paraId="5369335A"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719B8677"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682688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3F1196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 Сприяння здоровому способу життя.</w:t>
            </w:r>
          </w:p>
        </w:tc>
      </w:tr>
      <w:tr w14:paraId="728E6E00" w14:textId="77777777" w:rsidTr="00B33F96">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B33F96" w14:paraId="05E3EBD9"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13DBA9B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Створення умов для забезпечення рівних можливостей для розвитку всіх груп населення та формування згуртованого суспільства</w:t>
            </w:r>
          </w:p>
        </w:tc>
        <w:tc>
          <w:tcPr>
            <w:tcW w:w="5954" w:type="dxa"/>
            <w:tcBorders>
              <w:top w:val="nil"/>
              <w:left w:val="nil"/>
              <w:bottom w:val="single" w:sz="4" w:space="0" w:color="auto"/>
              <w:right w:val="single" w:sz="4" w:space="0" w:color="auto"/>
            </w:tcBorders>
            <w:vAlign w:val="center"/>
            <w:hideMark/>
          </w:tcPr>
          <w:p w:rsidR="00B33F96" w14:paraId="6D0BA38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Створення </w:t>
            </w:r>
            <w:r>
              <w:rPr>
                <w:rFonts w:ascii="Times New Roman" w:eastAsia="Times New Roman" w:hAnsi="Times New Roman" w:cs="Times New Roman"/>
                <w:sz w:val="24"/>
                <w:szCs w:val="24"/>
              </w:rPr>
              <w:t>безбарʼєрного</w:t>
            </w:r>
            <w:r>
              <w:rPr>
                <w:rFonts w:ascii="Times New Roman" w:eastAsia="Times New Roman" w:hAnsi="Times New Roman" w:cs="Times New Roman"/>
                <w:sz w:val="24"/>
                <w:szCs w:val="24"/>
              </w:rPr>
              <w:t xml:space="preserve"> середовища для всіх груп населення в громаді, забезпечення рівних можливостей кожній людині реалізовувати свої права, отримувати послуги на рівні з іншими. </w:t>
            </w:r>
          </w:p>
        </w:tc>
      </w:tr>
      <w:tr w14:paraId="4EC35F0D"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5D1EFA19"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86D73E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6A04A1E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Посилення заходів щодо протидії та запобігання домашньому насильству, дискримінації та насильству за ознакою статі, реабілітації потерпілих від такого насильства. </w:t>
            </w:r>
          </w:p>
        </w:tc>
      </w:tr>
      <w:tr w14:paraId="33B84BD4"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38224A8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69281A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D849E4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 Забезпечення конституційних прав дітей, які потребують особливої соціальної уваги та підтримки.</w:t>
            </w:r>
          </w:p>
        </w:tc>
      </w:tr>
      <w:tr w14:paraId="3E33E25F"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4041D58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38A9DA9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673382F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 Реалізація державної сімейної політики.</w:t>
            </w:r>
          </w:p>
        </w:tc>
      </w:tr>
      <w:tr w14:paraId="6781FAE7"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67802988"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3AC62A2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5F4B517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Посилення соціальної захищеності ветеранів, </w:t>
            </w:r>
            <w:r>
              <w:rPr>
                <w:rFonts w:ascii="Times New Roman" w:eastAsia="Times New Roman" w:hAnsi="Times New Roman" w:cs="Times New Roman"/>
                <w:sz w:val="24"/>
                <w:szCs w:val="24"/>
              </w:rPr>
              <w:t>ветеранок</w:t>
            </w:r>
            <w:r>
              <w:rPr>
                <w:rFonts w:ascii="Times New Roman" w:eastAsia="Times New Roman" w:hAnsi="Times New Roman" w:cs="Times New Roman"/>
                <w:sz w:val="24"/>
                <w:szCs w:val="24"/>
              </w:rPr>
              <w:t xml:space="preserve"> та членів їх сімей.</w:t>
            </w:r>
          </w:p>
        </w:tc>
      </w:tr>
      <w:tr w14:paraId="4ECD7E40"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00836F9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D5D07D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50292F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4.6. Інтеграція ВПО в громаду.</w:t>
            </w:r>
          </w:p>
        </w:tc>
      </w:tr>
      <w:tr w14:paraId="6384EDF1" w14:textId="77777777" w:rsidTr="00B33F96">
        <w:tblPrEx>
          <w:tblW w:w="9645" w:type="dxa"/>
          <w:tblInd w:w="-34" w:type="dxa"/>
          <w:tblLayout w:type="fixed"/>
          <w:tblLook w:val="04A0"/>
        </w:tblPrEx>
        <w:trPr>
          <w:trHeight w:val="880"/>
        </w:trPr>
        <w:tc>
          <w:tcPr>
            <w:tcW w:w="1135" w:type="dxa"/>
            <w:vMerge/>
            <w:tcBorders>
              <w:top w:val="nil"/>
              <w:left w:val="single" w:sz="4" w:space="0" w:color="auto"/>
              <w:bottom w:val="single" w:sz="4" w:space="0" w:color="000000"/>
              <w:right w:val="single" w:sz="4" w:space="0" w:color="auto"/>
            </w:tcBorders>
            <w:vAlign w:val="center"/>
            <w:hideMark/>
          </w:tcPr>
          <w:p w:rsidR="00B33F96" w14:paraId="3C7139A3"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5EBCFAA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Забезпечення соціально незахищених категорій населення якісними і доступними соціальними послугами, підтримка осіб з інвалідністю та інших </w:t>
            </w:r>
            <w:r>
              <w:rPr>
                <w:rFonts w:ascii="Times New Roman" w:eastAsia="Times New Roman" w:hAnsi="Times New Roman" w:cs="Times New Roman"/>
                <w:sz w:val="24"/>
                <w:szCs w:val="24"/>
              </w:rPr>
              <w:t>маломобільних</w:t>
            </w:r>
            <w:r>
              <w:rPr>
                <w:rFonts w:ascii="Times New Roman" w:eastAsia="Times New Roman" w:hAnsi="Times New Roman" w:cs="Times New Roman"/>
                <w:sz w:val="24"/>
                <w:szCs w:val="24"/>
              </w:rPr>
              <w:t xml:space="preserve"> груп населення</w:t>
            </w:r>
          </w:p>
        </w:tc>
        <w:tc>
          <w:tcPr>
            <w:tcW w:w="5954" w:type="dxa"/>
            <w:tcBorders>
              <w:top w:val="nil"/>
              <w:left w:val="nil"/>
              <w:bottom w:val="single" w:sz="4" w:space="0" w:color="auto"/>
              <w:right w:val="single" w:sz="4" w:space="0" w:color="auto"/>
            </w:tcBorders>
            <w:vAlign w:val="center"/>
            <w:hideMark/>
          </w:tcPr>
          <w:p w:rsidR="00B33F96" w14:paraId="12E7D93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 Підтримка діючих і запровадження нових видів соціальних послуг та сервісів.</w:t>
            </w:r>
          </w:p>
        </w:tc>
      </w:tr>
      <w:tr w14:paraId="71CEC2AD" w14:textId="77777777" w:rsidTr="00B33F96">
        <w:tblPrEx>
          <w:tblW w:w="9645" w:type="dxa"/>
          <w:tblInd w:w="-34" w:type="dxa"/>
          <w:tblLayout w:type="fixed"/>
          <w:tblLook w:val="04A0"/>
        </w:tblPrEx>
        <w:trPr>
          <w:trHeight w:val="1259"/>
        </w:trPr>
        <w:tc>
          <w:tcPr>
            <w:tcW w:w="1135" w:type="dxa"/>
            <w:vMerge/>
            <w:tcBorders>
              <w:top w:val="nil"/>
              <w:left w:val="single" w:sz="4" w:space="0" w:color="auto"/>
              <w:bottom w:val="single" w:sz="4" w:space="0" w:color="000000"/>
              <w:right w:val="single" w:sz="4" w:space="0" w:color="auto"/>
            </w:tcBorders>
            <w:vAlign w:val="center"/>
            <w:hideMark/>
          </w:tcPr>
          <w:p w:rsidR="00B33F96" w14:paraId="7DA92404"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CD7BC1D"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5B589EB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 Підтримка розвитку соціальних послуг із залученням громадських об’єднань та приватних організацій.</w:t>
            </w:r>
          </w:p>
        </w:tc>
      </w:tr>
      <w:tr w14:paraId="4B2EC55A" w14:textId="77777777" w:rsidTr="00B33F96">
        <w:tblPrEx>
          <w:tblW w:w="9645" w:type="dxa"/>
          <w:tblInd w:w="-34" w:type="dxa"/>
          <w:tblLayout w:type="fixed"/>
          <w:tblLook w:val="04A0"/>
        </w:tblPrEx>
        <w:trPr>
          <w:trHeight w:val="990"/>
        </w:trPr>
        <w:tc>
          <w:tcPr>
            <w:tcW w:w="1135" w:type="dxa"/>
            <w:vMerge/>
            <w:tcBorders>
              <w:top w:val="nil"/>
              <w:left w:val="single" w:sz="4" w:space="0" w:color="auto"/>
              <w:bottom w:val="single" w:sz="4" w:space="0" w:color="000000"/>
              <w:right w:val="single" w:sz="4" w:space="0" w:color="auto"/>
            </w:tcBorders>
            <w:vAlign w:val="center"/>
            <w:hideMark/>
          </w:tcPr>
          <w:p w:rsidR="00B33F96" w14:paraId="240F5704"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B8A0B24"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79DA6A5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 Сприяння розвитку якісних і доступних послуг з догляду.</w:t>
            </w:r>
          </w:p>
        </w:tc>
      </w:tr>
      <w:tr w14:paraId="6AC72748"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5C55F29F"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6849B14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Формування всебічно розвиненої людини, сприяння її культурному та духовному розвитку, створення можливостей для творчого самовираження і самореалізації</w:t>
            </w:r>
          </w:p>
        </w:tc>
        <w:tc>
          <w:tcPr>
            <w:tcW w:w="5954" w:type="dxa"/>
            <w:tcBorders>
              <w:top w:val="nil"/>
              <w:left w:val="nil"/>
              <w:bottom w:val="single" w:sz="4" w:space="0" w:color="auto"/>
              <w:right w:val="single" w:sz="4" w:space="0" w:color="auto"/>
            </w:tcBorders>
            <w:vAlign w:val="center"/>
            <w:hideMark/>
          </w:tcPr>
          <w:p w:rsidR="00B33F96" w14:paraId="6E23B44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 Сприяння розвитку мережі закладів культури.</w:t>
            </w:r>
          </w:p>
        </w:tc>
      </w:tr>
      <w:tr w14:paraId="7848B519"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753AF727"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228991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1A84EB6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 Створення умов для культурного розвитку і творчого самовираження, задоволення творчих, інтелектуальних  та духовних потреб людей.</w:t>
            </w:r>
          </w:p>
        </w:tc>
      </w:tr>
      <w:tr w14:paraId="6711C289"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18586DA1"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372826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2B012C6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 Збереження і промоція об’єктів історико-культурної спадщини.</w:t>
            </w:r>
          </w:p>
        </w:tc>
      </w:tr>
      <w:tr w14:paraId="7C0A088A"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2F60EE6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34A740E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F70F8E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 Виявлення, збереження та популяризація нематеріальної культурної спадщини (народних традицій, звичаїв, фольклору тощо).</w:t>
            </w:r>
          </w:p>
        </w:tc>
      </w:tr>
      <w:tr w14:paraId="0305E0E8"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27F686AD"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37996DF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141BA14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 Покращення матеріально-технічного забезпечення комунальних закладів культури.</w:t>
            </w:r>
          </w:p>
        </w:tc>
      </w:tr>
      <w:tr w14:paraId="663557D4"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1391D0C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C03AB2D"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13CACD5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 Створення умов для розвитку та успішної самореалізації молоді та підвищення рівня її соціальної інтеграції.</w:t>
            </w:r>
          </w:p>
        </w:tc>
      </w:tr>
      <w:tr w14:paraId="776C28BF"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2777413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250D0B8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081321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 Сприяння розвитку молодіжної інфраструктури.</w:t>
            </w:r>
          </w:p>
        </w:tc>
      </w:tr>
      <w:tr w14:paraId="0627FD1C"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0B6419A8"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1A39010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Розвиток туристичного потенціалу</w:t>
            </w:r>
          </w:p>
        </w:tc>
        <w:tc>
          <w:tcPr>
            <w:tcW w:w="5954" w:type="dxa"/>
            <w:tcBorders>
              <w:top w:val="nil"/>
              <w:left w:val="nil"/>
              <w:bottom w:val="single" w:sz="4" w:space="0" w:color="auto"/>
              <w:right w:val="single" w:sz="4" w:space="0" w:color="auto"/>
            </w:tcBorders>
            <w:vAlign w:val="center"/>
            <w:hideMark/>
          </w:tcPr>
          <w:p w:rsidR="00B33F96" w14:paraId="17E9F9F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 Створення та промоція туристичних продуктів.</w:t>
            </w:r>
          </w:p>
        </w:tc>
      </w:tr>
      <w:tr w14:paraId="31E239BA"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4725D65D"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19D9AA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6642F5F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1.7.2. Розвиток туристичної інфраструктури.</w:t>
            </w:r>
          </w:p>
        </w:tc>
      </w:tr>
      <w:tr w14:paraId="771DEE1A"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4ECD753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3B17180C"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002665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 Сприяння розробці та реалізації </w:t>
            </w:r>
            <w:r>
              <w:rPr>
                <w:rFonts w:ascii="Times New Roman" w:eastAsia="Times New Roman" w:hAnsi="Times New Roman" w:cs="Times New Roman"/>
                <w:sz w:val="24"/>
                <w:szCs w:val="24"/>
              </w:rPr>
              <w:t>проєктів</w:t>
            </w:r>
            <w:r>
              <w:rPr>
                <w:rFonts w:ascii="Times New Roman" w:eastAsia="Times New Roman" w:hAnsi="Times New Roman" w:cs="Times New Roman"/>
                <w:sz w:val="24"/>
                <w:szCs w:val="24"/>
              </w:rPr>
              <w:t>, спрямованих на розвиток та використання рекреаційно-туристичного потенціалу громади.</w:t>
            </w:r>
          </w:p>
        </w:tc>
      </w:tr>
      <w:tr w14:paraId="2C8B36E8" w14:textId="77777777" w:rsidTr="00B33F96">
        <w:tblPrEx>
          <w:tblW w:w="9645" w:type="dxa"/>
          <w:tblInd w:w="-34" w:type="dxa"/>
          <w:tblLayout w:type="fixed"/>
          <w:tblLook w:val="04A0"/>
        </w:tblPrEx>
        <w:trPr>
          <w:trHeight w:val="1260"/>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B33F96" w14:paraId="52444000"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Створення безпечних та комфортних умов для життя мешканців громади, наближення до європейських стандартів.</w:t>
            </w: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1F581E7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Розвиток інфраструктури безпеки</w:t>
            </w:r>
          </w:p>
        </w:tc>
        <w:tc>
          <w:tcPr>
            <w:tcW w:w="5954" w:type="dxa"/>
            <w:tcBorders>
              <w:top w:val="nil"/>
              <w:left w:val="nil"/>
              <w:bottom w:val="single" w:sz="4" w:space="0" w:color="auto"/>
              <w:right w:val="single" w:sz="4" w:space="0" w:color="auto"/>
            </w:tcBorders>
            <w:vAlign w:val="center"/>
            <w:hideMark/>
          </w:tcPr>
          <w:p w:rsidR="00B33F96" w14:paraId="129656C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Розвиток системи централізованого оповіщення та фонду захисних споруд цивільного захисту (зокрема, в закладах освіти, охорони </w:t>
            </w:r>
            <w:r>
              <w:rPr>
                <w:rFonts w:ascii="Times New Roman" w:eastAsia="Times New Roman" w:hAnsi="Times New Roman" w:cs="Times New Roman"/>
                <w:sz w:val="24"/>
                <w:szCs w:val="24"/>
              </w:rPr>
              <w:t>здоровʼя</w:t>
            </w:r>
            <w:r>
              <w:rPr>
                <w:rFonts w:ascii="Times New Roman" w:eastAsia="Times New Roman" w:hAnsi="Times New Roman" w:cs="Times New Roman"/>
                <w:sz w:val="24"/>
                <w:szCs w:val="24"/>
              </w:rPr>
              <w:t xml:space="preserve"> та соціального захисту, житлового фонду) з урахуванням принципів </w:t>
            </w:r>
            <w:r>
              <w:rPr>
                <w:rFonts w:ascii="Times New Roman" w:eastAsia="Times New Roman" w:hAnsi="Times New Roman" w:cs="Times New Roman"/>
                <w:sz w:val="24"/>
                <w:szCs w:val="24"/>
              </w:rPr>
              <w:t>інклюзивності</w:t>
            </w:r>
            <w:r>
              <w:rPr>
                <w:rFonts w:ascii="Times New Roman" w:eastAsia="Times New Roman" w:hAnsi="Times New Roman" w:cs="Times New Roman"/>
                <w:sz w:val="24"/>
                <w:szCs w:val="24"/>
              </w:rPr>
              <w:t xml:space="preserve"> та </w:t>
            </w:r>
            <w:r>
              <w:rPr>
                <w:rFonts w:ascii="Times New Roman" w:eastAsia="Times New Roman" w:hAnsi="Times New Roman" w:cs="Times New Roman"/>
                <w:sz w:val="24"/>
                <w:szCs w:val="24"/>
              </w:rPr>
              <w:t>безбарʼєрності</w:t>
            </w:r>
            <w:r>
              <w:rPr>
                <w:rFonts w:ascii="Times New Roman" w:eastAsia="Times New Roman" w:hAnsi="Times New Roman" w:cs="Times New Roman"/>
                <w:sz w:val="24"/>
                <w:szCs w:val="24"/>
              </w:rPr>
              <w:t>.</w:t>
            </w:r>
          </w:p>
        </w:tc>
      </w:tr>
      <w:tr w14:paraId="6028A7B0"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73C6215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2FB111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44CBF95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 Продовження роботи поліцейських станцій в громаді.</w:t>
            </w:r>
          </w:p>
        </w:tc>
      </w:tr>
      <w:tr w14:paraId="27CACA4F"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12B5F02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68CB644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5DD3F78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 Сприяння функціонуванню у громаді добровільної пожежної охорони.</w:t>
            </w:r>
          </w:p>
        </w:tc>
      </w:tr>
      <w:tr w14:paraId="5844070A"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29C00640"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6BC9F04"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4D2D272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 Захист об’єктів критичної інфраструктури.</w:t>
            </w:r>
          </w:p>
        </w:tc>
      </w:tr>
      <w:tr w14:paraId="555F8156"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44CEFED9"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4139A1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F0BDE6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2.1.5.Забезпечення роботи об’єктів критичної інфраструктури комунальної власності  альтернативними джерелами енергопостачання.</w:t>
            </w:r>
          </w:p>
        </w:tc>
      </w:tr>
      <w:tr w14:paraId="2A780744"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4BF1A65E"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1088541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Розвиток дорожньої та транспортної інфраструктури </w:t>
            </w:r>
          </w:p>
        </w:tc>
        <w:tc>
          <w:tcPr>
            <w:tcW w:w="5954" w:type="dxa"/>
            <w:tcBorders>
              <w:top w:val="nil"/>
              <w:left w:val="nil"/>
              <w:bottom w:val="single" w:sz="4" w:space="0" w:color="auto"/>
              <w:right w:val="single" w:sz="4" w:space="0" w:color="auto"/>
            </w:tcBorders>
            <w:vAlign w:val="center"/>
            <w:hideMark/>
          </w:tcPr>
          <w:p w:rsidR="00B33F96" w14:paraId="590EDE6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 Утримання доріг громади в належному стані, своєчасне проведення їх капітальних та поточних ремонтів.</w:t>
            </w:r>
          </w:p>
        </w:tc>
      </w:tr>
      <w:tr w14:paraId="20D91385"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59BB855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9F7E31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5D03DA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 Розвиток інженерної, логістичної, дорожньо-транспортної інфраструктури.</w:t>
            </w:r>
          </w:p>
        </w:tc>
      </w:tr>
      <w:tr w14:paraId="4CBF6F6B"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42CE9A7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B0906E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745A717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 Розвиток громадського транспорту в громаді та велосипедної інфраструктури.</w:t>
            </w:r>
          </w:p>
        </w:tc>
      </w:tr>
      <w:tr w14:paraId="2C0B74E9"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67223482"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26455AD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Підвищення енергоефективності за рахунок розвитку енергетичної інфраструктури, стійкої до </w:t>
            </w:r>
            <w:r>
              <w:rPr>
                <w:rFonts w:ascii="Times New Roman" w:eastAsia="Times New Roman" w:hAnsi="Times New Roman" w:cs="Times New Roman"/>
                <w:sz w:val="24"/>
                <w:szCs w:val="24"/>
              </w:rPr>
              <w:t>безпекових</w:t>
            </w:r>
            <w:r>
              <w:rPr>
                <w:rFonts w:ascii="Times New Roman" w:eastAsia="Times New Roman" w:hAnsi="Times New Roman" w:cs="Times New Roman"/>
                <w:sz w:val="24"/>
                <w:szCs w:val="24"/>
              </w:rPr>
              <w:t xml:space="preserve"> загроз</w:t>
            </w:r>
          </w:p>
        </w:tc>
        <w:tc>
          <w:tcPr>
            <w:tcW w:w="5954" w:type="dxa"/>
            <w:tcBorders>
              <w:top w:val="nil"/>
              <w:left w:val="nil"/>
              <w:bottom w:val="single" w:sz="4" w:space="0" w:color="auto"/>
              <w:right w:val="single" w:sz="4" w:space="0" w:color="auto"/>
            </w:tcBorders>
            <w:vAlign w:val="center"/>
            <w:hideMark/>
          </w:tcPr>
          <w:p w:rsidR="00F26342" w:rsidRPr="00F26342" w14:paraId="6C7E889A" w14:textId="77777777">
            <w:pPr>
              <w:spacing w:after="0" w:line="240" w:lineRule="auto"/>
              <w:rPr>
                <w:rFonts w:ascii="Times New Roman" w:eastAsia="Times New Roman" w:hAnsi="Times New Roman" w:cs="Times New Roman"/>
                <w:sz w:val="16"/>
                <w:szCs w:val="16"/>
              </w:rPr>
            </w:pPr>
          </w:p>
          <w:p w:rsidR="00B33F96" w14:paraId="4D4B6D0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 Модернізація систем централізованого теплопостачання.</w:t>
            </w:r>
          </w:p>
          <w:p w:rsidR="00F26342" w:rsidRPr="00F26342" w14:paraId="4DBB7885" w14:textId="77777777">
            <w:pPr>
              <w:spacing w:after="0" w:line="240" w:lineRule="auto"/>
              <w:rPr>
                <w:rFonts w:ascii="Times New Roman" w:eastAsia="Times New Roman" w:hAnsi="Times New Roman" w:cs="Times New Roman"/>
                <w:sz w:val="16"/>
                <w:szCs w:val="16"/>
              </w:rPr>
            </w:pPr>
          </w:p>
        </w:tc>
      </w:tr>
      <w:tr w14:paraId="2E56F091" w14:textId="77777777" w:rsidTr="00B33F96">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B33F96" w14:paraId="4E90EC61"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28C927F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F26342" w:rsidRPr="00F26342" w14:paraId="5E1F66AD" w14:textId="77777777">
            <w:pPr>
              <w:spacing w:after="0" w:line="240" w:lineRule="auto"/>
              <w:rPr>
                <w:rFonts w:ascii="Times New Roman" w:eastAsia="Times New Roman" w:hAnsi="Times New Roman" w:cs="Times New Roman"/>
                <w:sz w:val="16"/>
                <w:szCs w:val="16"/>
              </w:rPr>
            </w:pPr>
          </w:p>
          <w:p w:rsidR="00B33F96" w14:paraId="75B2EEC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Створення умов для </w:t>
            </w:r>
            <w:r>
              <w:rPr>
                <w:rFonts w:ascii="Times New Roman" w:eastAsia="Times New Roman" w:hAnsi="Times New Roman" w:cs="Times New Roman"/>
                <w:sz w:val="24"/>
                <w:szCs w:val="24"/>
              </w:rPr>
              <w:t>термомодернізації</w:t>
            </w:r>
            <w:r>
              <w:rPr>
                <w:rFonts w:ascii="Times New Roman" w:eastAsia="Times New Roman" w:hAnsi="Times New Roman" w:cs="Times New Roman"/>
                <w:sz w:val="24"/>
                <w:szCs w:val="24"/>
              </w:rPr>
              <w:t xml:space="preserve"> будівель, </w:t>
            </w:r>
            <w:r>
              <w:rPr>
                <w:rFonts w:ascii="Times New Roman" w:eastAsia="Times New Roman" w:hAnsi="Times New Roman" w:cs="Times New Roman"/>
                <w:sz w:val="24"/>
                <w:szCs w:val="24"/>
              </w:rPr>
              <w:t>енергоефективної</w:t>
            </w:r>
            <w:r>
              <w:rPr>
                <w:rFonts w:ascii="Times New Roman" w:eastAsia="Times New Roman" w:hAnsi="Times New Roman" w:cs="Times New Roman"/>
                <w:sz w:val="24"/>
                <w:szCs w:val="24"/>
              </w:rPr>
              <w:t xml:space="preserve"> відбудови пошкоджених будівель та підвищення енергоефективності в закладах комунальної власності.</w:t>
            </w:r>
          </w:p>
          <w:p w:rsidR="00F26342" w:rsidRPr="00F26342" w14:paraId="4810248C" w14:textId="77777777">
            <w:pPr>
              <w:spacing w:after="0" w:line="240" w:lineRule="auto"/>
              <w:rPr>
                <w:rFonts w:ascii="Times New Roman" w:eastAsia="Times New Roman" w:hAnsi="Times New Roman" w:cs="Times New Roman"/>
                <w:sz w:val="16"/>
                <w:szCs w:val="16"/>
              </w:rPr>
            </w:pPr>
          </w:p>
        </w:tc>
      </w:tr>
      <w:tr w14:paraId="5CC0A394"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5857BF1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394BD6F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F26342" w:rsidRPr="00F26342" w14:paraId="5196E135" w14:textId="77777777">
            <w:pPr>
              <w:spacing w:after="0" w:line="240" w:lineRule="auto"/>
              <w:rPr>
                <w:rFonts w:ascii="Times New Roman" w:eastAsia="Times New Roman" w:hAnsi="Times New Roman" w:cs="Times New Roman"/>
                <w:sz w:val="16"/>
                <w:szCs w:val="16"/>
              </w:rPr>
            </w:pPr>
          </w:p>
          <w:p w:rsidR="00B33F96" w14:paraId="244AA16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Сприяння розвитку </w:t>
            </w:r>
            <w:r>
              <w:rPr>
                <w:rFonts w:ascii="Times New Roman" w:eastAsia="Times New Roman" w:hAnsi="Times New Roman" w:cs="Times New Roman"/>
                <w:sz w:val="24"/>
                <w:szCs w:val="24"/>
              </w:rPr>
              <w:t>енергосервісу</w:t>
            </w:r>
            <w:r>
              <w:rPr>
                <w:rFonts w:ascii="Times New Roman" w:eastAsia="Times New Roman" w:hAnsi="Times New Roman" w:cs="Times New Roman"/>
                <w:sz w:val="24"/>
                <w:szCs w:val="24"/>
              </w:rPr>
              <w:t xml:space="preserve"> у модернізації об’єктів житлово-комунального господарства.</w:t>
            </w:r>
          </w:p>
          <w:p w:rsidR="00F26342" w:rsidRPr="00F26342" w14:paraId="2D818463" w14:textId="77777777">
            <w:pPr>
              <w:spacing w:after="0" w:line="240" w:lineRule="auto"/>
              <w:rPr>
                <w:rFonts w:ascii="Times New Roman" w:eastAsia="Times New Roman" w:hAnsi="Times New Roman" w:cs="Times New Roman"/>
                <w:sz w:val="16"/>
                <w:szCs w:val="16"/>
              </w:rPr>
            </w:pPr>
          </w:p>
        </w:tc>
      </w:tr>
      <w:tr w14:paraId="785F65C4" w14:textId="77777777" w:rsidTr="00B33F96">
        <w:tblPrEx>
          <w:tblW w:w="9645" w:type="dxa"/>
          <w:tblInd w:w="-34" w:type="dxa"/>
          <w:tblLayout w:type="fixed"/>
          <w:tblLook w:val="04A0"/>
        </w:tblPrEx>
        <w:trPr>
          <w:trHeight w:val="1422"/>
        </w:trPr>
        <w:tc>
          <w:tcPr>
            <w:tcW w:w="1135" w:type="dxa"/>
            <w:vMerge/>
            <w:tcBorders>
              <w:top w:val="nil"/>
              <w:left w:val="single" w:sz="4" w:space="0" w:color="auto"/>
              <w:bottom w:val="single" w:sz="4" w:space="0" w:color="000000"/>
              <w:right w:val="single" w:sz="4" w:space="0" w:color="auto"/>
            </w:tcBorders>
            <w:vAlign w:val="center"/>
            <w:hideMark/>
          </w:tcPr>
          <w:p w:rsidR="00B33F96" w14:paraId="655047E5"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53E301F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Забезпечення населення якісними комунальними послугами</w:t>
            </w:r>
          </w:p>
        </w:tc>
        <w:tc>
          <w:tcPr>
            <w:tcW w:w="5954" w:type="dxa"/>
            <w:tcBorders>
              <w:top w:val="nil"/>
              <w:left w:val="nil"/>
              <w:bottom w:val="single" w:sz="4" w:space="0" w:color="auto"/>
              <w:right w:val="single" w:sz="4" w:space="0" w:color="auto"/>
            </w:tcBorders>
            <w:vAlign w:val="center"/>
            <w:hideMark/>
          </w:tcPr>
          <w:p w:rsidR="00B33F96" w14:paraId="46CE6E0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 Створення умов для розвитку об’єднань співвласників багатоквартирних будинків  для ефективного управління майном.</w:t>
            </w:r>
          </w:p>
        </w:tc>
      </w:tr>
      <w:tr w14:paraId="57383159" w14:textId="77777777" w:rsidTr="00B33F96">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B33F96" w14:paraId="7ED019F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08226FA"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F26342" w14:paraId="344EE43E" w14:textId="77777777">
            <w:pPr>
              <w:spacing w:after="0" w:line="240" w:lineRule="auto"/>
              <w:rPr>
                <w:rFonts w:ascii="Times New Roman" w:eastAsia="Times New Roman" w:hAnsi="Times New Roman" w:cs="Times New Roman"/>
                <w:sz w:val="24"/>
                <w:szCs w:val="24"/>
              </w:rPr>
            </w:pPr>
          </w:p>
          <w:p w:rsidR="00B33F96" w14:paraId="6C1E087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 Модернізація систем водопостачання (в т.ч. питного) та водовідведення, теплопостачання, впровадження альтернативних видів водопостачання, теплопостачання, забезпечення їх безперебійного функціонування .</w:t>
            </w:r>
          </w:p>
        </w:tc>
      </w:tr>
      <w:tr w14:paraId="1D631728" w14:textId="77777777" w:rsidTr="00B33F96">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B33F96" w14:paraId="21C9F4E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BC620E1"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1B07B3" w14:paraId="29321A74" w14:textId="77777777">
            <w:pPr>
              <w:spacing w:after="0" w:line="240" w:lineRule="auto"/>
              <w:rPr>
                <w:rFonts w:ascii="Times New Roman" w:eastAsia="Times New Roman" w:hAnsi="Times New Roman" w:cs="Times New Roman"/>
                <w:sz w:val="24"/>
                <w:szCs w:val="24"/>
              </w:rPr>
            </w:pPr>
          </w:p>
          <w:p w:rsidR="00B33F96" w14:paraId="022D96C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Забезпечення фінансової підтримки населення щодо </w:t>
            </w:r>
            <w:r>
              <w:rPr>
                <w:rFonts w:ascii="Times New Roman" w:eastAsia="Times New Roman" w:hAnsi="Times New Roman" w:cs="Times New Roman"/>
                <w:sz w:val="24"/>
                <w:szCs w:val="24"/>
              </w:rPr>
              <w:t>термомодернізації</w:t>
            </w:r>
            <w:r>
              <w:rPr>
                <w:rFonts w:ascii="Times New Roman" w:eastAsia="Times New Roman" w:hAnsi="Times New Roman" w:cs="Times New Roman"/>
                <w:sz w:val="24"/>
                <w:szCs w:val="24"/>
              </w:rPr>
              <w:t xml:space="preserve"> житлових будівель, </w:t>
            </w:r>
            <w:r>
              <w:rPr>
                <w:rFonts w:ascii="Times New Roman" w:eastAsia="Times New Roman" w:hAnsi="Times New Roman" w:cs="Times New Roman"/>
                <w:sz w:val="24"/>
                <w:szCs w:val="24"/>
              </w:rPr>
              <w:t>енергоефективної</w:t>
            </w:r>
            <w:r>
              <w:rPr>
                <w:rFonts w:ascii="Times New Roman" w:eastAsia="Times New Roman" w:hAnsi="Times New Roman" w:cs="Times New Roman"/>
                <w:sz w:val="24"/>
                <w:szCs w:val="24"/>
              </w:rPr>
              <w:t xml:space="preserve"> відбудови пошкоджених будівель та здійснення </w:t>
            </w:r>
            <w:r>
              <w:rPr>
                <w:rFonts w:ascii="Times New Roman" w:eastAsia="Times New Roman" w:hAnsi="Times New Roman" w:cs="Times New Roman"/>
                <w:sz w:val="24"/>
                <w:szCs w:val="24"/>
              </w:rPr>
              <w:t>енергоефективних</w:t>
            </w:r>
            <w:r>
              <w:rPr>
                <w:rFonts w:ascii="Times New Roman" w:eastAsia="Times New Roman" w:hAnsi="Times New Roman" w:cs="Times New Roman"/>
                <w:sz w:val="24"/>
                <w:szCs w:val="24"/>
              </w:rPr>
              <w:t xml:space="preserve"> заходів.</w:t>
            </w:r>
          </w:p>
          <w:p w:rsidR="001B07B3" w:rsidRPr="00F26342" w14:paraId="5AE85072" w14:textId="77777777">
            <w:pPr>
              <w:spacing w:after="0" w:line="240" w:lineRule="auto"/>
              <w:rPr>
                <w:rFonts w:ascii="Times New Roman" w:eastAsia="Times New Roman" w:hAnsi="Times New Roman" w:cs="Times New Roman"/>
                <w:sz w:val="20"/>
                <w:szCs w:val="20"/>
              </w:rPr>
            </w:pPr>
          </w:p>
        </w:tc>
      </w:tr>
      <w:tr w14:paraId="55E63879" w14:textId="77777777" w:rsidTr="00B33F96">
        <w:tblPrEx>
          <w:tblW w:w="9645" w:type="dxa"/>
          <w:tblInd w:w="-34" w:type="dxa"/>
          <w:tblLayout w:type="fixed"/>
          <w:tblLook w:val="04A0"/>
        </w:tblPrEx>
        <w:trPr>
          <w:trHeight w:val="466"/>
        </w:trPr>
        <w:tc>
          <w:tcPr>
            <w:tcW w:w="1135" w:type="dxa"/>
            <w:vMerge/>
            <w:tcBorders>
              <w:top w:val="nil"/>
              <w:left w:val="single" w:sz="4" w:space="0" w:color="auto"/>
              <w:bottom w:val="single" w:sz="4" w:space="0" w:color="000000"/>
              <w:right w:val="single" w:sz="4" w:space="0" w:color="auto"/>
            </w:tcBorders>
            <w:vAlign w:val="center"/>
            <w:hideMark/>
          </w:tcPr>
          <w:p w:rsidR="00B33F96" w14:paraId="7D7C2907"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1F3EE70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Екологічна безпека та охорона навколишнього природного середовища</w:t>
            </w:r>
          </w:p>
        </w:tc>
        <w:tc>
          <w:tcPr>
            <w:tcW w:w="5954" w:type="dxa"/>
            <w:tcBorders>
              <w:top w:val="nil"/>
              <w:left w:val="nil"/>
              <w:bottom w:val="single" w:sz="4" w:space="0" w:color="auto"/>
              <w:right w:val="single" w:sz="4" w:space="0" w:color="auto"/>
            </w:tcBorders>
            <w:vAlign w:val="center"/>
            <w:hideMark/>
          </w:tcPr>
          <w:p w:rsidR="00FF2D94" w:rsidRPr="008B6CAA" w14:paraId="45AE5CDA" w14:textId="77777777">
            <w:pPr>
              <w:spacing w:after="0" w:line="240" w:lineRule="auto"/>
              <w:rPr>
                <w:rFonts w:ascii="Times New Roman" w:eastAsia="Times New Roman" w:hAnsi="Times New Roman" w:cs="Times New Roman"/>
                <w:sz w:val="20"/>
                <w:szCs w:val="20"/>
              </w:rPr>
            </w:pPr>
          </w:p>
          <w:p w:rsidR="00B33F96" w14:paraId="4D2D02A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 Ефективне управління поводження з  відходами.</w:t>
            </w:r>
          </w:p>
          <w:p w:rsidR="00FF2D94" w:rsidRPr="008B6CAA" w14:paraId="4B31F08D" w14:textId="77777777">
            <w:pPr>
              <w:spacing w:after="0" w:line="240" w:lineRule="auto"/>
              <w:rPr>
                <w:rFonts w:ascii="Times New Roman" w:eastAsia="Times New Roman" w:hAnsi="Times New Roman" w:cs="Times New Roman"/>
                <w:sz w:val="20"/>
                <w:szCs w:val="20"/>
              </w:rPr>
            </w:pPr>
          </w:p>
        </w:tc>
      </w:tr>
      <w:tr w14:paraId="69077DCF"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7C115F55"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18336D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FF2D94" w:rsidRPr="008B6CAA" w14:paraId="52CB398D" w14:textId="77777777">
            <w:pPr>
              <w:spacing w:after="0" w:line="240" w:lineRule="auto"/>
              <w:rPr>
                <w:rFonts w:ascii="Times New Roman" w:eastAsia="Times New Roman" w:hAnsi="Times New Roman" w:cs="Times New Roman"/>
                <w:sz w:val="20"/>
                <w:szCs w:val="20"/>
              </w:rPr>
            </w:pPr>
          </w:p>
          <w:p w:rsidR="00B33F96" w14:paraId="596BA63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 Екологічний моніторинг та інформування населення про стан довкілля.</w:t>
            </w:r>
          </w:p>
          <w:p w:rsidR="00FF2D94" w:rsidRPr="008B6CAA" w14:paraId="61DCA735" w14:textId="77777777">
            <w:pPr>
              <w:spacing w:after="0" w:line="240" w:lineRule="auto"/>
              <w:rPr>
                <w:rFonts w:ascii="Times New Roman" w:eastAsia="Times New Roman" w:hAnsi="Times New Roman" w:cs="Times New Roman"/>
                <w:sz w:val="20"/>
                <w:szCs w:val="20"/>
              </w:rPr>
            </w:pPr>
          </w:p>
        </w:tc>
      </w:tr>
      <w:tr w14:paraId="19A6074D" w14:textId="77777777" w:rsidTr="00B33F96">
        <w:tblPrEx>
          <w:tblW w:w="9645" w:type="dxa"/>
          <w:tblInd w:w="-34" w:type="dxa"/>
          <w:tblLayout w:type="fixed"/>
          <w:tblLook w:val="04A0"/>
        </w:tblPrEx>
        <w:trPr>
          <w:trHeight w:val="496"/>
        </w:trPr>
        <w:tc>
          <w:tcPr>
            <w:tcW w:w="1135" w:type="dxa"/>
            <w:vMerge/>
            <w:tcBorders>
              <w:top w:val="nil"/>
              <w:left w:val="single" w:sz="4" w:space="0" w:color="auto"/>
              <w:bottom w:val="single" w:sz="4" w:space="0" w:color="000000"/>
              <w:right w:val="single" w:sz="4" w:space="0" w:color="auto"/>
            </w:tcBorders>
            <w:vAlign w:val="center"/>
            <w:hideMark/>
          </w:tcPr>
          <w:p w:rsidR="00B33F96" w14:paraId="5F725B12"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11C9875"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FF2D94" w:rsidRPr="008B6CAA" w14:paraId="11D5986E" w14:textId="77777777">
            <w:pPr>
              <w:spacing w:after="0" w:line="240" w:lineRule="auto"/>
              <w:rPr>
                <w:rFonts w:ascii="Times New Roman" w:eastAsia="Times New Roman" w:hAnsi="Times New Roman" w:cs="Times New Roman"/>
                <w:sz w:val="20"/>
                <w:szCs w:val="20"/>
              </w:rPr>
            </w:pPr>
          </w:p>
          <w:p w:rsidR="00B33F96" w14:paraId="4A4569C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 Розвиток рекреаційних зон та зон відпочинку.</w:t>
            </w:r>
          </w:p>
          <w:p w:rsidR="00FF2D94" w:rsidRPr="008B6CAA" w14:paraId="01118EF5" w14:textId="77777777">
            <w:pPr>
              <w:spacing w:after="0" w:line="240" w:lineRule="auto"/>
              <w:rPr>
                <w:rFonts w:ascii="Times New Roman" w:eastAsia="Times New Roman" w:hAnsi="Times New Roman" w:cs="Times New Roman"/>
                <w:sz w:val="20"/>
                <w:szCs w:val="20"/>
              </w:rPr>
            </w:pPr>
          </w:p>
        </w:tc>
      </w:tr>
      <w:tr w14:paraId="2A513CE0" w14:textId="77777777" w:rsidTr="00B33F96">
        <w:tblPrEx>
          <w:tblW w:w="9645" w:type="dxa"/>
          <w:tblInd w:w="-34" w:type="dxa"/>
          <w:tblLayout w:type="fixed"/>
          <w:tblLook w:val="04A0"/>
        </w:tblPrEx>
        <w:trPr>
          <w:trHeight w:val="701"/>
        </w:trPr>
        <w:tc>
          <w:tcPr>
            <w:tcW w:w="1135" w:type="dxa"/>
            <w:vMerge/>
            <w:tcBorders>
              <w:top w:val="nil"/>
              <w:left w:val="single" w:sz="4" w:space="0" w:color="auto"/>
              <w:bottom w:val="single" w:sz="4" w:space="0" w:color="000000"/>
              <w:right w:val="single" w:sz="4" w:space="0" w:color="auto"/>
            </w:tcBorders>
            <w:vAlign w:val="center"/>
            <w:hideMark/>
          </w:tcPr>
          <w:p w:rsidR="00B33F96" w14:paraId="1172D497"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D526BF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rsidRPr="008B6CAA" w14:paraId="1959CD21" w14:textId="77777777">
            <w:pPr>
              <w:spacing w:after="0" w:line="240" w:lineRule="auto"/>
              <w:rPr>
                <w:rFonts w:ascii="Times New Roman" w:eastAsia="Times New Roman" w:hAnsi="Times New Roman" w:cs="Times New Roman"/>
                <w:sz w:val="20"/>
                <w:szCs w:val="20"/>
              </w:rPr>
            </w:pPr>
          </w:p>
          <w:p w:rsidR="00B33F96" w14:paraId="251F204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 Розробка програми екологічної безпеки та охорони навколишнього середовища.</w:t>
            </w:r>
          </w:p>
          <w:p w:rsidR="00B33F96" w:rsidRPr="008B6CAA" w14:paraId="5E06149A" w14:textId="77777777">
            <w:pPr>
              <w:spacing w:after="0" w:line="240" w:lineRule="auto"/>
              <w:rPr>
                <w:rFonts w:ascii="Times New Roman" w:eastAsia="Times New Roman" w:hAnsi="Times New Roman" w:cs="Times New Roman"/>
                <w:sz w:val="20"/>
                <w:szCs w:val="20"/>
              </w:rPr>
            </w:pPr>
          </w:p>
        </w:tc>
      </w:tr>
      <w:tr w14:paraId="22425569"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09992A8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402408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rsidRPr="008B6CAA" w14:paraId="09969C2A" w14:textId="77777777">
            <w:pPr>
              <w:spacing w:after="0" w:line="240" w:lineRule="auto"/>
              <w:rPr>
                <w:rFonts w:ascii="Times New Roman" w:eastAsia="Times New Roman" w:hAnsi="Times New Roman" w:cs="Times New Roman"/>
                <w:sz w:val="20"/>
                <w:szCs w:val="20"/>
              </w:rPr>
            </w:pPr>
          </w:p>
          <w:p w:rsidR="00B33F96" w14:paraId="71F1ACF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2.5.5. Збереження та відтворення водних ресурсів, захист територій від підтоплення.</w:t>
            </w:r>
          </w:p>
          <w:p w:rsidR="00B33F96" w:rsidRPr="008B6CAA" w14:paraId="75719A88" w14:textId="77777777">
            <w:pPr>
              <w:spacing w:after="0" w:line="240" w:lineRule="auto"/>
              <w:rPr>
                <w:rFonts w:ascii="Times New Roman" w:eastAsia="Times New Roman" w:hAnsi="Times New Roman" w:cs="Times New Roman"/>
                <w:sz w:val="20"/>
                <w:szCs w:val="20"/>
              </w:rPr>
            </w:pPr>
          </w:p>
        </w:tc>
      </w:tr>
      <w:tr w14:paraId="4BFED631" w14:textId="77777777" w:rsidTr="00B33F96">
        <w:tblPrEx>
          <w:tblW w:w="9645" w:type="dxa"/>
          <w:tblInd w:w="-34" w:type="dxa"/>
          <w:tblLayout w:type="fixed"/>
          <w:tblLook w:val="04A0"/>
        </w:tblPrEx>
        <w:trPr>
          <w:trHeight w:val="1487"/>
        </w:trPr>
        <w:tc>
          <w:tcPr>
            <w:tcW w:w="1135" w:type="dxa"/>
            <w:vMerge/>
            <w:tcBorders>
              <w:top w:val="nil"/>
              <w:left w:val="single" w:sz="4" w:space="0" w:color="auto"/>
              <w:bottom w:val="single" w:sz="4" w:space="0" w:color="000000"/>
              <w:right w:val="single" w:sz="4" w:space="0" w:color="auto"/>
            </w:tcBorders>
            <w:vAlign w:val="center"/>
            <w:hideMark/>
          </w:tcPr>
          <w:p w:rsidR="00B33F96" w14:paraId="65D35650"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77A32B9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Забезпечення збалансованого розвитку територій громади</w:t>
            </w:r>
          </w:p>
        </w:tc>
        <w:tc>
          <w:tcPr>
            <w:tcW w:w="5954" w:type="dxa"/>
            <w:tcBorders>
              <w:top w:val="nil"/>
              <w:left w:val="nil"/>
              <w:bottom w:val="single" w:sz="4" w:space="0" w:color="auto"/>
              <w:right w:val="single" w:sz="4" w:space="0" w:color="auto"/>
            </w:tcBorders>
            <w:vAlign w:val="center"/>
            <w:hideMark/>
          </w:tcPr>
          <w:p w:rsidR="00B33F96" w:rsidRPr="008B6CAA" w14:paraId="3A8B6F88" w14:textId="77777777">
            <w:pPr>
              <w:spacing w:after="0" w:line="240" w:lineRule="auto"/>
              <w:rPr>
                <w:rFonts w:ascii="Times New Roman" w:eastAsia="Times New Roman" w:hAnsi="Times New Roman" w:cs="Times New Roman"/>
                <w:sz w:val="20"/>
                <w:szCs w:val="20"/>
              </w:rPr>
            </w:pPr>
          </w:p>
          <w:p w:rsidR="00B33F96" w14:paraId="17AE313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 Розроблення Комплексного плану просторового розвитку Броварської міської територіальної громади, впровадження сучасних практик містобудування на основі принципів збалансованого розвитку, інтегрованого планування.</w:t>
            </w:r>
          </w:p>
          <w:p w:rsidR="00B33F96" w:rsidRPr="008B6CAA" w14:paraId="49CCAC67" w14:textId="77777777">
            <w:pPr>
              <w:spacing w:after="0" w:line="240" w:lineRule="auto"/>
              <w:rPr>
                <w:rFonts w:ascii="Times New Roman" w:eastAsia="Times New Roman" w:hAnsi="Times New Roman" w:cs="Times New Roman"/>
                <w:sz w:val="20"/>
                <w:szCs w:val="20"/>
              </w:rPr>
            </w:pPr>
          </w:p>
        </w:tc>
      </w:tr>
      <w:tr w14:paraId="7FEF08F8" w14:textId="77777777" w:rsidTr="00B33F96">
        <w:tblPrEx>
          <w:tblW w:w="9645" w:type="dxa"/>
          <w:tblInd w:w="-34" w:type="dxa"/>
          <w:tblLayout w:type="fixed"/>
          <w:tblLook w:val="04A0"/>
        </w:tblPrEx>
        <w:trPr>
          <w:trHeight w:val="1648"/>
        </w:trPr>
        <w:tc>
          <w:tcPr>
            <w:tcW w:w="1135" w:type="dxa"/>
            <w:vMerge/>
            <w:tcBorders>
              <w:top w:val="nil"/>
              <w:left w:val="single" w:sz="4" w:space="0" w:color="auto"/>
              <w:bottom w:val="single" w:sz="4" w:space="0" w:color="000000"/>
              <w:right w:val="single" w:sz="4" w:space="0" w:color="auto"/>
            </w:tcBorders>
            <w:vAlign w:val="center"/>
            <w:hideMark/>
          </w:tcPr>
          <w:p w:rsidR="00B33F96" w14:paraId="0A6BE96D"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68E6A2F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rsidRPr="008B6CAA" w14:paraId="32A88276" w14:textId="77777777">
            <w:pPr>
              <w:spacing w:after="0" w:line="240" w:lineRule="auto"/>
              <w:rPr>
                <w:rFonts w:ascii="Times New Roman" w:eastAsia="Times New Roman" w:hAnsi="Times New Roman" w:cs="Times New Roman"/>
                <w:sz w:val="20"/>
                <w:szCs w:val="20"/>
              </w:rPr>
            </w:pPr>
          </w:p>
          <w:p w:rsidR="00B33F96" w14:paraId="1280893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2.6.2. Сприяння використанню можливостей міжнародного співробітництва, європейської інтеграції для реалізації </w:t>
            </w:r>
            <w:r>
              <w:rPr>
                <w:rFonts w:ascii="Times New Roman" w:eastAsia="Times New Roman" w:hAnsi="Times New Roman" w:cs="Times New Roman"/>
                <w:sz w:val="24"/>
                <w:szCs w:val="24"/>
              </w:rPr>
              <w:t>проєктів</w:t>
            </w:r>
            <w:r>
              <w:rPr>
                <w:rFonts w:ascii="Times New Roman" w:eastAsia="Times New Roman" w:hAnsi="Times New Roman" w:cs="Times New Roman"/>
                <w:sz w:val="24"/>
                <w:szCs w:val="24"/>
              </w:rPr>
              <w:t xml:space="preserve"> для підвищення якості життя населення громади, поглиблення партнерських зв’язків із регіонами іноземних держав.</w:t>
            </w:r>
          </w:p>
          <w:p w:rsidR="00B33F96" w:rsidRPr="008B6CAA" w14:paraId="730773B6" w14:textId="77777777">
            <w:pPr>
              <w:spacing w:after="0" w:line="240" w:lineRule="auto"/>
              <w:rPr>
                <w:rFonts w:ascii="Times New Roman" w:eastAsia="Times New Roman" w:hAnsi="Times New Roman" w:cs="Times New Roman"/>
                <w:sz w:val="20"/>
                <w:szCs w:val="20"/>
              </w:rPr>
            </w:pPr>
          </w:p>
        </w:tc>
      </w:tr>
      <w:tr w14:paraId="353C1B56" w14:textId="77777777" w:rsidTr="00B33F96">
        <w:tblPrEx>
          <w:tblW w:w="9645" w:type="dxa"/>
          <w:tblInd w:w="-34" w:type="dxa"/>
          <w:tblLayout w:type="fixed"/>
          <w:tblLook w:val="04A0"/>
        </w:tblPrEx>
        <w:trPr>
          <w:trHeight w:val="1527"/>
        </w:trPr>
        <w:tc>
          <w:tcPr>
            <w:tcW w:w="1135" w:type="dxa"/>
            <w:vMerge/>
            <w:tcBorders>
              <w:top w:val="nil"/>
              <w:left w:val="single" w:sz="4" w:space="0" w:color="auto"/>
              <w:bottom w:val="single" w:sz="4" w:space="0" w:color="000000"/>
              <w:right w:val="single" w:sz="4" w:space="0" w:color="auto"/>
            </w:tcBorders>
            <w:vAlign w:val="center"/>
            <w:hideMark/>
          </w:tcPr>
          <w:p w:rsidR="00B33F96" w14:paraId="10381C0A"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53986E8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Наближення системи управління місцевим розвитком до процедур та кращих практик ЄС</w:t>
            </w:r>
          </w:p>
        </w:tc>
        <w:tc>
          <w:tcPr>
            <w:tcW w:w="5954" w:type="dxa"/>
            <w:tcBorders>
              <w:top w:val="nil"/>
              <w:left w:val="nil"/>
              <w:bottom w:val="single" w:sz="4" w:space="0" w:color="auto"/>
              <w:right w:val="single" w:sz="4" w:space="0" w:color="auto"/>
            </w:tcBorders>
            <w:vAlign w:val="center"/>
            <w:hideMark/>
          </w:tcPr>
          <w:p w:rsidR="00B33F96" w:rsidRPr="008B6CAA" w14:paraId="249F8BFA" w14:textId="77777777">
            <w:pPr>
              <w:spacing w:after="0" w:line="240" w:lineRule="auto"/>
              <w:rPr>
                <w:rFonts w:ascii="Times New Roman" w:eastAsia="Times New Roman" w:hAnsi="Times New Roman" w:cs="Times New Roman"/>
                <w:sz w:val="20"/>
                <w:szCs w:val="20"/>
              </w:rPr>
            </w:pPr>
          </w:p>
          <w:p w:rsidR="00B33F96" w14:paraId="5DACD9C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Підвищенню рівня професійних навичок та </w:t>
            </w:r>
            <w:r>
              <w:rPr>
                <w:rFonts w:ascii="Times New Roman" w:eastAsia="Times New Roman" w:hAnsi="Times New Roman" w:cs="Times New Roman"/>
                <w:sz w:val="24"/>
                <w:szCs w:val="24"/>
              </w:rPr>
              <w:t>компетенцій</w:t>
            </w:r>
            <w:r>
              <w:rPr>
                <w:rFonts w:ascii="Times New Roman" w:eastAsia="Times New Roman" w:hAnsi="Times New Roman" w:cs="Times New Roman"/>
                <w:sz w:val="24"/>
                <w:szCs w:val="24"/>
              </w:rPr>
              <w:t xml:space="preserve"> працівників органів місцевого самоврядування з метою прийняття ефективних управлінських рішень та опанування навичками </w:t>
            </w:r>
            <w:r>
              <w:rPr>
                <w:rFonts w:ascii="Times New Roman" w:eastAsia="Times New Roman" w:hAnsi="Times New Roman" w:cs="Times New Roman"/>
                <w:sz w:val="24"/>
                <w:szCs w:val="24"/>
              </w:rPr>
              <w:t>проєктного</w:t>
            </w:r>
            <w:r>
              <w:rPr>
                <w:rFonts w:ascii="Times New Roman" w:eastAsia="Times New Roman" w:hAnsi="Times New Roman" w:cs="Times New Roman"/>
                <w:sz w:val="24"/>
                <w:szCs w:val="24"/>
              </w:rPr>
              <w:t xml:space="preserve"> менеджменту.</w:t>
            </w:r>
          </w:p>
          <w:p w:rsidR="00B33F96" w:rsidRPr="008B6CAA" w14:paraId="19D5AC35" w14:textId="77777777">
            <w:pPr>
              <w:spacing w:after="0" w:line="240" w:lineRule="auto"/>
              <w:rPr>
                <w:rFonts w:ascii="Times New Roman" w:eastAsia="Times New Roman" w:hAnsi="Times New Roman" w:cs="Times New Roman"/>
                <w:sz w:val="20"/>
                <w:szCs w:val="20"/>
              </w:rPr>
            </w:pPr>
          </w:p>
        </w:tc>
      </w:tr>
      <w:tr w14:paraId="6739B1CC"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5DF180E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4EB869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8B6CAA" w:rsidRPr="008B6CAA" w14:paraId="16FB6CEF" w14:textId="77777777">
            <w:pPr>
              <w:spacing w:after="0" w:line="240" w:lineRule="auto"/>
              <w:rPr>
                <w:rFonts w:ascii="Times New Roman" w:eastAsia="Times New Roman" w:hAnsi="Times New Roman" w:cs="Times New Roman"/>
                <w:sz w:val="20"/>
                <w:szCs w:val="20"/>
              </w:rPr>
            </w:pPr>
          </w:p>
          <w:p w:rsidR="00B33F96" w14:paraId="468EC22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Створення умов для стимулювання активного населення територіальних громад до співробітництва та реалізації спільних громадських </w:t>
            </w:r>
            <w:r>
              <w:rPr>
                <w:rFonts w:ascii="Times New Roman" w:eastAsia="Times New Roman" w:hAnsi="Times New Roman" w:cs="Times New Roman"/>
                <w:sz w:val="24"/>
                <w:szCs w:val="24"/>
              </w:rPr>
              <w:t>проєктів</w:t>
            </w:r>
            <w:r>
              <w:rPr>
                <w:rFonts w:ascii="Times New Roman" w:eastAsia="Times New Roman" w:hAnsi="Times New Roman" w:cs="Times New Roman"/>
                <w:sz w:val="24"/>
                <w:szCs w:val="24"/>
              </w:rPr>
              <w:t>.</w:t>
            </w:r>
          </w:p>
          <w:p w:rsidR="008B6CAA" w:rsidRPr="008B6CAA" w14:paraId="2A9668A8" w14:textId="77777777">
            <w:pPr>
              <w:spacing w:after="0" w:line="240" w:lineRule="auto"/>
              <w:rPr>
                <w:rFonts w:ascii="Times New Roman" w:eastAsia="Times New Roman" w:hAnsi="Times New Roman" w:cs="Times New Roman"/>
                <w:sz w:val="20"/>
                <w:szCs w:val="20"/>
              </w:rPr>
            </w:pPr>
          </w:p>
        </w:tc>
      </w:tr>
      <w:tr w14:paraId="505B8096" w14:textId="77777777" w:rsidTr="00B33F96">
        <w:tblPrEx>
          <w:tblW w:w="9645" w:type="dxa"/>
          <w:tblInd w:w="-34" w:type="dxa"/>
          <w:tblLayout w:type="fixed"/>
          <w:tblLook w:val="04A0"/>
        </w:tblPrEx>
        <w:trPr>
          <w:trHeight w:val="1023"/>
        </w:trPr>
        <w:tc>
          <w:tcPr>
            <w:tcW w:w="1135" w:type="dxa"/>
            <w:vMerge/>
            <w:tcBorders>
              <w:top w:val="nil"/>
              <w:left w:val="single" w:sz="4" w:space="0" w:color="auto"/>
              <w:bottom w:val="single" w:sz="4" w:space="0" w:color="000000"/>
              <w:right w:val="single" w:sz="4" w:space="0" w:color="auto"/>
            </w:tcBorders>
            <w:vAlign w:val="center"/>
            <w:hideMark/>
          </w:tcPr>
          <w:p w:rsidR="00B33F96" w14:paraId="2B66C4DD"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209B1F6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Цифрова трансформація  та удосконалення системи надання публічних послуг</w:t>
            </w:r>
          </w:p>
        </w:tc>
        <w:tc>
          <w:tcPr>
            <w:tcW w:w="5954" w:type="dxa"/>
            <w:tcBorders>
              <w:top w:val="nil"/>
              <w:left w:val="nil"/>
              <w:bottom w:val="single" w:sz="4" w:space="0" w:color="auto"/>
              <w:right w:val="single" w:sz="4" w:space="0" w:color="auto"/>
            </w:tcBorders>
            <w:vAlign w:val="center"/>
            <w:hideMark/>
          </w:tcPr>
          <w:p w:rsidR="00B33F96" w:rsidRPr="008B6CAA" w14:paraId="1563CF93" w14:textId="77777777">
            <w:pPr>
              <w:spacing w:after="0" w:line="240" w:lineRule="auto"/>
              <w:rPr>
                <w:rFonts w:ascii="Times New Roman" w:eastAsia="Times New Roman" w:hAnsi="Times New Roman" w:cs="Times New Roman"/>
                <w:sz w:val="20"/>
                <w:szCs w:val="20"/>
              </w:rPr>
            </w:pPr>
          </w:p>
          <w:p w:rsidR="00B33F96" w14:paraId="6F9A99B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2.8.1. Підвищення рівня цифрової грамотності населення, зокрема шляхом реалізації </w:t>
            </w:r>
            <w:r>
              <w:rPr>
                <w:rFonts w:ascii="Times New Roman" w:eastAsia="Times New Roman" w:hAnsi="Times New Roman" w:cs="Times New Roman"/>
                <w:sz w:val="24"/>
                <w:szCs w:val="24"/>
              </w:rPr>
              <w:t>проєкту</w:t>
            </w:r>
            <w:r>
              <w:rPr>
                <w:rFonts w:ascii="Times New Roman" w:eastAsia="Times New Roman" w:hAnsi="Times New Roman" w:cs="Times New Roman"/>
                <w:sz w:val="24"/>
                <w:szCs w:val="24"/>
              </w:rPr>
              <w:t xml:space="preserve"> «Дія. Цифрова освіта».</w:t>
            </w:r>
          </w:p>
          <w:p w:rsidR="00B33F96" w:rsidRPr="008B6CAA" w14:paraId="7A0FEF47" w14:textId="77777777">
            <w:pPr>
              <w:spacing w:after="0" w:line="240" w:lineRule="auto"/>
              <w:rPr>
                <w:rFonts w:ascii="Times New Roman" w:eastAsia="Times New Roman" w:hAnsi="Times New Roman" w:cs="Times New Roman"/>
                <w:sz w:val="20"/>
                <w:szCs w:val="20"/>
              </w:rPr>
            </w:pPr>
          </w:p>
        </w:tc>
      </w:tr>
      <w:tr w14:paraId="22F90D51" w14:textId="77777777" w:rsidTr="00B33F96">
        <w:tblPrEx>
          <w:tblW w:w="9645" w:type="dxa"/>
          <w:tblInd w:w="-34" w:type="dxa"/>
          <w:tblLayout w:type="fixed"/>
          <w:tblLook w:val="04A0"/>
        </w:tblPrEx>
        <w:trPr>
          <w:trHeight w:val="1548"/>
        </w:trPr>
        <w:tc>
          <w:tcPr>
            <w:tcW w:w="1135" w:type="dxa"/>
            <w:vMerge/>
            <w:tcBorders>
              <w:top w:val="nil"/>
              <w:left w:val="single" w:sz="4" w:space="0" w:color="auto"/>
              <w:bottom w:val="single" w:sz="4" w:space="0" w:color="000000"/>
              <w:right w:val="single" w:sz="4" w:space="0" w:color="auto"/>
            </w:tcBorders>
            <w:vAlign w:val="center"/>
            <w:hideMark/>
          </w:tcPr>
          <w:p w:rsidR="00B33F96" w14:paraId="6160D5D4"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AF80FF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rsidRPr="00B33F96" w14:paraId="616BB0C7" w14:textId="77777777">
            <w:pPr>
              <w:spacing w:after="0" w:line="240" w:lineRule="auto"/>
              <w:rPr>
                <w:rFonts w:ascii="Times New Roman" w:eastAsia="Times New Roman" w:hAnsi="Times New Roman" w:cs="Times New Roman"/>
                <w:sz w:val="16"/>
                <w:szCs w:val="16"/>
              </w:rPr>
            </w:pPr>
          </w:p>
          <w:p w:rsidR="00B33F96" w14:paraId="55F8207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2.8.2. Збільшення переліку послуг, які надаються Центром надання адміністративних послуг громади, включаючи електронні послуги; забезпечення їх доступності для осіб з інвалідністю та інших </w:t>
            </w:r>
            <w:r>
              <w:rPr>
                <w:rFonts w:ascii="Times New Roman" w:eastAsia="Times New Roman" w:hAnsi="Times New Roman" w:cs="Times New Roman"/>
                <w:sz w:val="24"/>
                <w:szCs w:val="24"/>
              </w:rPr>
              <w:t>маломобільних</w:t>
            </w:r>
            <w:r>
              <w:rPr>
                <w:rFonts w:ascii="Times New Roman" w:eastAsia="Times New Roman" w:hAnsi="Times New Roman" w:cs="Times New Roman"/>
                <w:sz w:val="24"/>
                <w:szCs w:val="24"/>
              </w:rPr>
              <w:t xml:space="preserve"> груп населення.</w:t>
            </w:r>
          </w:p>
          <w:p w:rsidR="00B33F96" w14:paraId="05E66FB5" w14:textId="77777777">
            <w:pPr>
              <w:spacing w:after="0" w:line="240" w:lineRule="auto"/>
              <w:rPr>
                <w:rFonts w:ascii="Times New Roman" w:eastAsia="Times New Roman" w:hAnsi="Times New Roman" w:cs="Times New Roman"/>
                <w:sz w:val="16"/>
                <w:szCs w:val="16"/>
              </w:rPr>
            </w:pPr>
          </w:p>
          <w:p w:rsidR="00F21B24" w:rsidRPr="00B33F96" w14:paraId="79894A6C" w14:textId="77777777">
            <w:pPr>
              <w:spacing w:after="0" w:line="240" w:lineRule="auto"/>
              <w:rPr>
                <w:rFonts w:ascii="Times New Roman" w:eastAsia="Times New Roman" w:hAnsi="Times New Roman" w:cs="Times New Roman"/>
                <w:sz w:val="16"/>
                <w:szCs w:val="16"/>
              </w:rPr>
            </w:pPr>
          </w:p>
        </w:tc>
      </w:tr>
      <w:tr w14:paraId="5D2155D7" w14:textId="77777777" w:rsidTr="00B33F96">
        <w:tblPrEx>
          <w:tblW w:w="9645" w:type="dxa"/>
          <w:tblInd w:w="-34" w:type="dxa"/>
          <w:tblLayout w:type="fixed"/>
          <w:tblLook w:val="04A0"/>
        </w:tblPrEx>
        <w:trPr>
          <w:trHeight w:val="630"/>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B33F96" w14:paraId="4780AE7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Підвищення конкурентоспроможності економіки громади</w:t>
            </w: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2EB22DD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Відновлення та стимулювання розвитку бізнесу в  громаді</w:t>
            </w:r>
          </w:p>
        </w:tc>
        <w:tc>
          <w:tcPr>
            <w:tcW w:w="5954" w:type="dxa"/>
            <w:tcBorders>
              <w:top w:val="nil"/>
              <w:left w:val="nil"/>
              <w:bottom w:val="single" w:sz="4" w:space="0" w:color="auto"/>
              <w:right w:val="single" w:sz="4" w:space="0" w:color="auto"/>
            </w:tcBorders>
            <w:vAlign w:val="center"/>
            <w:hideMark/>
          </w:tcPr>
          <w:p w:rsidR="001B07B3" w14:paraId="1B27D113" w14:textId="77777777">
            <w:pPr>
              <w:spacing w:after="0" w:line="240" w:lineRule="auto"/>
              <w:rPr>
                <w:rFonts w:ascii="Times New Roman" w:eastAsia="Times New Roman" w:hAnsi="Times New Roman" w:cs="Times New Roman"/>
                <w:sz w:val="24"/>
                <w:szCs w:val="24"/>
              </w:rPr>
            </w:pPr>
          </w:p>
          <w:p w:rsidR="00B33F96" w14:paraId="618C8FA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 Створення  сприятливих умов та можливостей  для розвитку  бізнесу у громаді.</w:t>
            </w:r>
          </w:p>
          <w:p w:rsidR="001B07B3" w:rsidRPr="005E70D2" w14:paraId="0494D7A4" w14:textId="77777777">
            <w:pPr>
              <w:spacing w:after="0" w:line="240" w:lineRule="auto"/>
              <w:rPr>
                <w:rFonts w:ascii="Times New Roman" w:eastAsia="Times New Roman" w:hAnsi="Times New Roman" w:cs="Times New Roman"/>
                <w:sz w:val="10"/>
                <w:szCs w:val="10"/>
              </w:rPr>
            </w:pPr>
          </w:p>
        </w:tc>
      </w:tr>
      <w:tr w14:paraId="775FDCFA"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62E6F9D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20B73B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1B07B3" w:rsidRPr="001B07B3" w14:paraId="686F0980" w14:textId="77777777">
            <w:pPr>
              <w:spacing w:after="0" w:line="240" w:lineRule="auto"/>
              <w:rPr>
                <w:rFonts w:ascii="Times New Roman" w:eastAsia="Times New Roman" w:hAnsi="Times New Roman" w:cs="Times New Roman"/>
                <w:sz w:val="16"/>
                <w:szCs w:val="16"/>
              </w:rPr>
            </w:pPr>
          </w:p>
          <w:p w:rsidR="00B33F96" w14:paraId="06CC509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 Стимулювання розвитку малого та середнього підприємництва, зокрема із залученням ВПО, ветеранів, безробітних до ведення підприємницької діяльності.</w:t>
            </w:r>
          </w:p>
          <w:p w:rsidR="001B07B3" w:rsidRPr="005E70D2" w14:paraId="1C6204D3" w14:textId="77777777">
            <w:pPr>
              <w:spacing w:after="0" w:line="240" w:lineRule="auto"/>
              <w:rPr>
                <w:rFonts w:ascii="Times New Roman" w:eastAsia="Times New Roman" w:hAnsi="Times New Roman" w:cs="Times New Roman"/>
                <w:sz w:val="10"/>
                <w:szCs w:val="10"/>
              </w:rPr>
            </w:pPr>
          </w:p>
        </w:tc>
      </w:tr>
      <w:tr w14:paraId="5EC35812"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33AD6A38"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ED0A28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1B07B3" w:rsidRPr="005E70D2" w14:paraId="673B6EB7" w14:textId="77777777">
            <w:pPr>
              <w:spacing w:after="0" w:line="240" w:lineRule="auto"/>
              <w:rPr>
                <w:rFonts w:ascii="Times New Roman" w:eastAsia="Times New Roman" w:hAnsi="Times New Roman" w:cs="Times New Roman"/>
                <w:sz w:val="10"/>
                <w:szCs w:val="10"/>
              </w:rPr>
            </w:pPr>
          </w:p>
          <w:p w:rsidR="00B33F96" w14:paraId="6E134A7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 Розбудова ефективної інфраструктури підтримки підприємництва у громаді.</w:t>
            </w:r>
          </w:p>
          <w:p w:rsidR="001B07B3" w:rsidRPr="005E70D2" w14:paraId="44F74FF6" w14:textId="77777777">
            <w:pPr>
              <w:spacing w:after="0" w:line="240" w:lineRule="auto"/>
              <w:rPr>
                <w:rFonts w:ascii="Times New Roman" w:eastAsia="Times New Roman" w:hAnsi="Times New Roman" w:cs="Times New Roman"/>
                <w:sz w:val="10"/>
                <w:szCs w:val="10"/>
              </w:rPr>
            </w:pPr>
          </w:p>
        </w:tc>
      </w:tr>
      <w:tr w14:paraId="32ADBFAC"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0716A43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AA6F7F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1B07B3" w:rsidRPr="005E70D2" w14:paraId="751D2F04" w14:textId="77777777">
            <w:pPr>
              <w:spacing w:after="0" w:line="240" w:lineRule="auto"/>
              <w:rPr>
                <w:rFonts w:ascii="Times New Roman" w:eastAsia="Andika" w:hAnsi="Times New Roman" w:cs="Andika"/>
                <w:sz w:val="10"/>
                <w:szCs w:val="10"/>
              </w:rPr>
            </w:pPr>
          </w:p>
          <w:p w:rsidR="00B33F96" w14:paraId="7BA1A0AA" w14:textId="77777777">
            <w:pPr>
              <w:spacing w:after="0" w:line="240" w:lineRule="auto"/>
              <w:rPr>
                <w:rFonts w:ascii="Times New Roman" w:eastAsia="Andika" w:hAnsi="Times New Roman" w:cs="Andika"/>
                <w:sz w:val="24"/>
                <w:szCs w:val="24"/>
              </w:rPr>
            </w:pPr>
            <w:r>
              <w:rPr>
                <w:rFonts w:ascii="Times New Roman" w:eastAsia="Andika" w:hAnsi="Times New Roman" w:cs="Andika"/>
                <w:sz w:val="24"/>
                <w:szCs w:val="24"/>
              </w:rPr>
              <w:t xml:space="preserve">3.1.4. Сприяння у підвищенні професійного рівня </w:t>
            </w:r>
            <w:r>
              <w:rPr>
                <w:rFonts w:ascii="Times New Roman" w:eastAsia="Andika" w:hAnsi="Times New Roman" w:cs="Andika"/>
                <w:sz w:val="24"/>
                <w:szCs w:val="24"/>
              </w:rPr>
              <w:t>субꞌєктів</w:t>
            </w:r>
            <w:r>
              <w:rPr>
                <w:rFonts w:ascii="Times New Roman" w:eastAsia="Andika" w:hAnsi="Times New Roman" w:cs="Andika"/>
                <w:sz w:val="24"/>
                <w:szCs w:val="24"/>
              </w:rPr>
              <w:t xml:space="preserve">  підприємницької діяльності та  підготовці кваліфікованих кадрів.</w:t>
            </w:r>
          </w:p>
          <w:p w:rsidR="001B07B3" w:rsidRPr="005E70D2" w14:paraId="4282E591" w14:textId="77777777">
            <w:pPr>
              <w:spacing w:after="0" w:line="240" w:lineRule="auto"/>
              <w:rPr>
                <w:rFonts w:ascii="Times New Roman" w:eastAsia="Times New Roman" w:hAnsi="Times New Roman" w:cs="Times New Roman"/>
                <w:sz w:val="10"/>
                <w:szCs w:val="10"/>
              </w:rPr>
            </w:pPr>
          </w:p>
        </w:tc>
      </w:tr>
      <w:tr w14:paraId="38290CAF"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4E9EF4B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31ED20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5349D" w:rsidRPr="005E70D2" w14:paraId="3DE0AB24" w14:textId="77777777">
            <w:pPr>
              <w:spacing w:after="0" w:line="240" w:lineRule="auto"/>
              <w:rPr>
                <w:rFonts w:ascii="Times New Roman" w:eastAsia="Times New Roman" w:hAnsi="Times New Roman" w:cs="Times New Roman"/>
                <w:sz w:val="10"/>
                <w:szCs w:val="10"/>
              </w:rPr>
            </w:pPr>
          </w:p>
          <w:p w:rsidR="00B33F96" w14:paraId="6F12557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Сприяння залученню інвестицій в громаду. </w:t>
            </w:r>
          </w:p>
          <w:p w:rsidR="0065349D" w:rsidRPr="005E70D2" w14:paraId="106CC75E" w14:textId="77777777">
            <w:pPr>
              <w:spacing w:after="0" w:line="240" w:lineRule="auto"/>
              <w:rPr>
                <w:rFonts w:ascii="Times New Roman" w:eastAsia="Times New Roman" w:hAnsi="Times New Roman" w:cs="Times New Roman"/>
                <w:sz w:val="10"/>
                <w:szCs w:val="10"/>
              </w:rPr>
            </w:pPr>
          </w:p>
        </w:tc>
      </w:tr>
      <w:tr w14:paraId="26915836"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19D85D82"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1C88061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1B07B3" w:rsidRPr="005E70D2" w14:paraId="029D8F79" w14:textId="77777777">
            <w:pPr>
              <w:spacing w:after="0" w:line="240" w:lineRule="auto"/>
              <w:rPr>
                <w:rFonts w:ascii="Times New Roman" w:eastAsia="Times New Roman" w:hAnsi="Times New Roman" w:cs="Times New Roman"/>
                <w:sz w:val="10"/>
                <w:szCs w:val="10"/>
              </w:rPr>
            </w:pPr>
          </w:p>
          <w:p w:rsidR="00B33F96" w14:paraId="7195D63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3.1.6. Сприяння розвитку індустріальних парків та промислових зон.</w:t>
            </w:r>
          </w:p>
          <w:p w:rsidR="001B07B3" w:rsidRPr="005E70D2" w14:paraId="295E6D3C" w14:textId="77777777">
            <w:pPr>
              <w:spacing w:after="0" w:line="240" w:lineRule="auto"/>
              <w:rPr>
                <w:rFonts w:ascii="Times New Roman" w:eastAsia="Times New Roman" w:hAnsi="Times New Roman" w:cs="Times New Roman"/>
                <w:sz w:val="10"/>
                <w:szCs w:val="10"/>
              </w:rPr>
            </w:pPr>
          </w:p>
        </w:tc>
      </w:tr>
      <w:tr w14:paraId="5E70967A"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30F1D90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9207B7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1B07B3" w:rsidRPr="005E70D2" w14:paraId="1C480434" w14:textId="77777777">
            <w:pPr>
              <w:spacing w:after="0" w:line="240" w:lineRule="auto"/>
              <w:rPr>
                <w:rFonts w:ascii="Times New Roman" w:eastAsia="Times New Roman" w:hAnsi="Times New Roman" w:cs="Times New Roman"/>
                <w:sz w:val="10"/>
                <w:szCs w:val="10"/>
              </w:rPr>
            </w:pPr>
          </w:p>
          <w:p w:rsidR="00B33F96" w14:paraId="11D611D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3.1.7. Впровадження державних та недержавних механізмів підтримки сільгоспвиробників. </w:t>
            </w:r>
          </w:p>
          <w:p w:rsidR="001B07B3" w:rsidRPr="005E70D2" w14:paraId="7E2EA4AE" w14:textId="77777777">
            <w:pPr>
              <w:spacing w:after="0" w:line="240" w:lineRule="auto"/>
              <w:rPr>
                <w:rFonts w:ascii="Times New Roman" w:eastAsia="Times New Roman" w:hAnsi="Times New Roman" w:cs="Times New Roman"/>
                <w:sz w:val="10"/>
                <w:szCs w:val="10"/>
              </w:rPr>
            </w:pPr>
          </w:p>
        </w:tc>
      </w:tr>
      <w:tr w14:paraId="4936D10C"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2049BC7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7D0A5A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1B07B3" w:rsidRPr="005E70D2" w14:paraId="5C771B81" w14:textId="77777777">
            <w:pPr>
              <w:spacing w:after="0" w:line="240" w:lineRule="auto"/>
              <w:rPr>
                <w:rFonts w:ascii="Times New Roman" w:eastAsia="Times New Roman" w:hAnsi="Times New Roman" w:cs="Times New Roman"/>
                <w:sz w:val="10"/>
                <w:szCs w:val="10"/>
              </w:rPr>
            </w:pPr>
          </w:p>
          <w:p w:rsidR="00B33F96" w14:paraId="6066F8C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3.1.8. Сприяння діяльності виробників </w:t>
            </w:r>
            <w:r>
              <w:rPr>
                <w:rFonts w:ascii="Times New Roman" w:eastAsia="Times New Roman" w:hAnsi="Times New Roman" w:cs="Times New Roman"/>
                <w:sz w:val="24"/>
                <w:szCs w:val="24"/>
              </w:rPr>
              <w:t>крафтової</w:t>
            </w:r>
            <w:r>
              <w:rPr>
                <w:rFonts w:ascii="Times New Roman" w:eastAsia="Times New Roman" w:hAnsi="Times New Roman" w:cs="Times New Roman"/>
                <w:sz w:val="24"/>
                <w:szCs w:val="24"/>
              </w:rPr>
              <w:t xml:space="preserve"> продукції.</w:t>
            </w:r>
          </w:p>
          <w:p w:rsidR="001B07B3" w:rsidRPr="005E70D2" w14:paraId="2A70ECBD" w14:textId="77777777">
            <w:pPr>
              <w:spacing w:after="0" w:line="240" w:lineRule="auto"/>
              <w:rPr>
                <w:rFonts w:ascii="Times New Roman" w:eastAsia="Times New Roman" w:hAnsi="Times New Roman" w:cs="Times New Roman"/>
                <w:sz w:val="10"/>
                <w:szCs w:val="10"/>
              </w:rPr>
            </w:pPr>
          </w:p>
        </w:tc>
      </w:tr>
      <w:tr w14:paraId="330C4CC7"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56FE90A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F00219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1B07B3" w:rsidRPr="005E70D2" w14:paraId="6961FC99" w14:textId="77777777">
            <w:pPr>
              <w:spacing w:after="0" w:line="240" w:lineRule="auto"/>
              <w:rPr>
                <w:rFonts w:ascii="Times New Roman" w:eastAsia="Times New Roman" w:hAnsi="Times New Roman" w:cs="Times New Roman"/>
                <w:sz w:val="10"/>
                <w:szCs w:val="10"/>
              </w:rPr>
            </w:pPr>
          </w:p>
          <w:p w:rsidR="00B33F96" w14:paraId="6F24566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3.1.9. Сприяння розвитку жіночого підприємництва, соціального підприємництва тощо.</w:t>
            </w:r>
          </w:p>
          <w:p w:rsidR="001B07B3" w:rsidRPr="005E70D2" w14:paraId="4315B6A2" w14:textId="77777777">
            <w:pPr>
              <w:spacing w:after="0" w:line="240" w:lineRule="auto"/>
              <w:rPr>
                <w:rFonts w:ascii="Times New Roman" w:eastAsia="Times New Roman" w:hAnsi="Times New Roman" w:cs="Times New Roman"/>
                <w:sz w:val="10"/>
                <w:szCs w:val="10"/>
              </w:rPr>
            </w:pPr>
          </w:p>
        </w:tc>
      </w:tr>
      <w:tr w14:paraId="5F4DBD71"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79EA45A8"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2B7F364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5349D" w:rsidRPr="005E70D2" w14:paraId="3AB4DCAA" w14:textId="77777777">
            <w:pPr>
              <w:spacing w:after="0" w:line="240" w:lineRule="auto"/>
              <w:rPr>
                <w:rFonts w:ascii="Times New Roman" w:eastAsia="Times New Roman" w:hAnsi="Times New Roman" w:cs="Times New Roman"/>
                <w:sz w:val="10"/>
                <w:szCs w:val="10"/>
              </w:rPr>
            </w:pPr>
          </w:p>
          <w:p w:rsidR="00B33F96" w14:paraId="4782328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3.1.10. Сприяння розвитку «зеленої» економіки.</w:t>
            </w:r>
          </w:p>
          <w:p w:rsidR="0065349D" w:rsidRPr="005E70D2" w14:paraId="4A52A340" w14:textId="77777777">
            <w:pPr>
              <w:spacing w:after="0" w:line="240" w:lineRule="auto"/>
              <w:rPr>
                <w:rFonts w:ascii="Times New Roman" w:eastAsia="Times New Roman" w:hAnsi="Times New Roman" w:cs="Times New Roman"/>
                <w:sz w:val="10"/>
                <w:szCs w:val="10"/>
              </w:rPr>
            </w:pPr>
          </w:p>
        </w:tc>
      </w:tr>
      <w:tr w14:paraId="44CB8EA4"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4469872B"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1F7364C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Розвиток інструментів комунікації влади та бізнесу</w:t>
            </w:r>
          </w:p>
        </w:tc>
        <w:tc>
          <w:tcPr>
            <w:tcW w:w="5954" w:type="dxa"/>
            <w:tcBorders>
              <w:top w:val="nil"/>
              <w:left w:val="nil"/>
              <w:bottom w:val="single" w:sz="4" w:space="0" w:color="auto"/>
              <w:right w:val="single" w:sz="4" w:space="0" w:color="auto"/>
            </w:tcBorders>
            <w:vAlign w:val="center"/>
            <w:hideMark/>
          </w:tcPr>
          <w:p w:rsidR="00B33F96" w14:paraId="28EDC5D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Сприяння участі МСП у </w:t>
            </w:r>
            <w:r>
              <w:rPr>
                <w:rFonts w:ascii="Times New Roman" w:eastAsia="Times New Roman" w:hAnsi="Times New Roman" w:cs="Times New Roman"/>
                <w:sz w:val="24"/>
                <w:szCs w:val="24"/>
              </w:rPr>
              <w:t>кластерних</w:t>
            </w:r>
            <w:r>
              <w:rPr>
                <w:rFonts w:ascii="Times New Roman" w:eastAsia="Times New Roman" w:hAnsi="Times New Roman" w:cs="Times New Roman"/>
                <w:sz w:val="24"/>
                <w:szCs w:val="24"/>
              </w:rPr>
              <w:t xml:space="preserve"> ініціативах на рівні області, держави.</w:t>
            </w:r>
          </w:p>
        </w:tc>
      </w:tr>
      <w:tr w14:paraId="3C1FB745"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502BF2A2"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41080E8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6D21936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3.2.2.Забезпечення функціонування Центру підтримки бізнесу та посилення його інституційної спроможності.</w:t>
            </w:r>
          </w:p>
        </w:tc>
      </w:tr>
      <w:tr w14:paraId="2D632B69"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27C6B36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CDD280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1B552B1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3.2.3. Впровадження загальнодержавних механізмів підтримки бізнесу в громаді  та виконання державних та місцевих програм сприяння розвитку МСП.</w:t>
            </w:r>
          </w:p>
        </w:tc>
      </w:tr>
      <w:tr w14:paraId="5A686BBF" w14:textId="77777777" w:rsidTr="00B33F96">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B33F96" w14:paraId="50852001"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B33F96" w14:paraId="1E299D6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Формування позитивного іміджу підприємництва у громаді</w:t>
            </w:r>
          </w:p>
        </w:tc>
        <w:tc>
          <w:tcPr>
            <w:tcW w:w="5954" w:type="dxa"/>
            <w:tcBorders>
              <w:top w:val="nil"/>
              <w:left w:val="nil"/>
              <w:bottom w:val="single" w:sz="4" w:space="0" w:color="auto"/>
              <w:right w:val="single" w:sz="4" w:space="0" w:color="auto"/>
            </w:tcBorders>
            <w:vAlign w:val="center"/>
            <w:hideMark/>
          </w:tcPr>
          <w:p w:rsidR="00B33F96" w14:paraId="3D89615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Організація </w:t>
            </w:r>
            <w:r>
              <w:rPr>
                <w:rFonts w:ascii="Times New Roman" w:eastAsia="Times New Roman" w:hAnsi="Times New Roman" w:cs="Times New Roman"/>
                <w:sz w:val="24"/>
                <w:szCs w:val="24"/>
              </w:rPr>
              <w:t>промоційних</w:t>
            </w:r>
            <w:r>
              <w:rPr>
                <w:rFonts w:ascii="Times New Roman" w:eastAsia="Times New Roman" w:hAnsi="Times New Roman" w:cs="Times New Roman"/>
                <w:sz w:val="24"/>
                <w:szCs w:val="24"/>
              </w:rPr>
              <w:t xml:space="preserve"> заходів щодо підтримки місцевих виробників (Зроблено в Україні, Зроблено в Броварській МТГ, Броварське – це якісне, тощо).</w:t>
            </w:r>
          </w:p>
        </w:tc>
      </w:tr>
      <w:tr w14:paraId="5112279C"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72FA651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0B05E48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7C1BC99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 Підтримка ініціативи «Експортуй!» для МСП, які мають потенціал для виходу на міжнародний ринок.</w:t>
            </w:r>
          </w:p>
        </w:tc>
      </w:tr>
      <w:tr w14:paraId="5F3B7F03" w14:textId="77777777" w:rsidTr="00B33F96">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B33F96" w14:paraId="40865F84"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7E0B2E9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0E07E07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3.3.3.Інформування МСП про можливості підтримки бізнесу при вступі України до ЄС.</w:t>
            </w:r>
          </w:p>
        </w:tc>
      </w:tr>
      <w:tr w14:paraId="6C84BBAC" w14:textId="77777777" w:rsidTr="00B33F96">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B33F96" w14:paraId="08847600"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B33F96" w14:paraId="5CAFA4A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B33F96" w14:paraId="594CA5E2" w14:textId="77777777">
            <w:pPr>
              <w:spacing w:after="0" w:line="240" w:lineRule="auto"/>
              <w:rPr>
                <w:rFonts w:ascii="Times New Roman" w:eastAsia="Times New Roman" w:hAnsi="Times New Roman" w:cs="Times New Roman"/>
                <w:sz w:val="24"/>
                <w:szCs w:val="24"/>
              </w:rPr>
            </w:pPr>
            <w:r>
              <w:rPr>
                <w:rFonts w:ascii="Times New Roman" w:eastAsia="Andika" w:hAnsi="Times New Roman" w:cs="Times New Roman"/>
                <w:sz w:val="24"/>
                <w:szCs w:val="24"/>
              </w:rPr>
              <w:t xml:space="preserve">3.3.4. Залучення МСП до міжнародних партнерських </w:t>
            </w:r>
            <w:r>
              <w:rPr>
                <w:rFonts w:ascii="Times New Roman" w:eastAsia="Andika" w:hAnsi="Times New Roman" w:cs="Times New Roman"/>
                <w:sz w:val="24"/>
                <w:szCs w:val="24"/>
              </w:rPr>
              <w:t>звꞌязків</w:t>
            </w:r>
            <w:r>
              <w:rPr>
                <w:rFonts w:ascii="Times New Roman" w:eastAsia="Andika" w:hAnsi="Times New Roman" w:cs="Times New Roman"/>
                <w:sz w:val="24"/>
                <w:szCs w:val="24"/>
              </w:rPr>
              <w:t>.</w:t>
            </w:r>
          </w:p>
        </w:tc>
      </w:tr>
    </w:tbl>
    <w:p w:rsidR="0065349D" w:rsidP="00B33F96" w14:paraId="1E6ABC17" w14:textId="77777777">
      <w:pPr>
        <w:spacing w:after="0" w:line="240" w:lineRule="auto"/>
        <w:ind w:firstLine="567"/>
        <w:jc w:val="both"/>
        <w:rPr>
          <w:rFonts w:ascii="Times New Roman" w:eastAsia="Calibri" w:hAnsi="Times New Roman" w:cs="Times New Roman"/>
          <w:sz w:val="28"/>
          <w:szCs w:val="28"/>
          <w:lang w:val="ru-RU" w:eastAsia="en-US"/>
        </w:rPr>
      </w:pPr>
    </w:p>
    <w:p w:rsidR="00B33F96" w:rsidP="00B33F96" w14:paraId="023B0319"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Також</w:t>
      </w:r>
      <w:r>
        <w:rPr>
          <w:rFonts w:ascii="Times New Roman" w:eastAsia="Calibri" w:hAnsi="Times New Roman" w:cs="Times New Roman"/>
          <w:sz w:val="28"/>
          <w:szCs w:val="28"/>
          <w:lang w:val="ru-RU" w:eastAsia="en-US"/>
        </w:rPr>
        <w:t xml:space="preserve"> в </w:t>
      </w:r>
      <w:r>
        <w:rPr>
          <w:rFonts w:ascii="Times New Roman" w:eastAsia="Calibri" w:hAnsi="Times New Roman" w:cs="Times New Roman"/>
          <w:sz w:val="28"/>
          <w:szCs w:val="28"/>
          <w:lang w:val="ru-RU" w:eastAsia="en-US"/>
        </w:rPr>
        <w:t>додатку</w:t>
      </w:r>
      <w:r>
        <w:rPr>
          <w:rFonts w:ascii="Times New Roman" w:eastAsia="Calibri" w:hAnsi="Times New Roman" w:cs="Times New Roman"/>
          <w:sz w:val="28"/>
          <w:szCs w:val="28"/>
          <w:lang w:val="ru-RU" w:eastAsia="en-US"/>
        </w:rPr>
        <w:t xml:space="preserve"> до </w:t>
      </w:r>
      <w:r>
        <w:rPr>
          <w:rFonts w:ascii="Times New Roman" w:eastAsia="Calibri" w:hAnsi="Times New Roman" w:cs="Times New Roman"/>
          <w:sz w:val="28"/>
          <w:szCs w:val="28"/>
          <w:lang w:val="ru-RU" w:eastAsia="en-US"/>
        </w:rPr>
        <w:t>Стратегії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передбачені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ключові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індикативні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показники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досягнення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цілей</w:t>
      </w:r>
      <w:r>
        <w:rPr>
          <w:rFonts w:ascii="Times New Roman" w:eastAsia="Calibri" w:hAnsi="Times New Roman" w:cs="Times New Roman"/>
          <w:sz w:val="28"/>
          <w:szCs w:val="28"/>
          <w:lang w:val="ru-RU" w:eastAsia="en-US"/>
        </w:rPr>
        <w:t xml:space="preserve"> та </w:t>
      </w:r>
      <w:r>
        <w:rPr>
          <w:rFonts w:ascii="Times New Roman" w:eastAsia="Calibri" w:hAnsi="Times New Roman" w:cs="Times New Roman"/>
          <w:sz w:val="28"/>
          <w:szCs w:val="28"/>
          <w:lang w:val="ru-RU" w:eastAsia="en-US"/>
        </w:rPr>
        <w:t>виконання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завдань</w:t>
      </w:r>
      <w:r>
        <w:rPr>
          <w:rFonts w:ascii="Times New Roman" w:eastAsia="Calibri" w:hAnsi="Times New Roman" w:cs="Times New Roman"/>
          <w:sz w:val="28"/>
          <w:szCs w:val="28"/>
          <w:lang w:val="ru-RU" w:eastAsia="en-US"/>
        </w:rPr>
        <w:t xml:space="preserve"> в 2025-2027 роках на час </w:t>
      </w:r>
      <w:r>
        <w:rPr>
          <w:rFonts w:ascii="Times New Roman" w:eastAsia="Calibri" w:hAnsi="Times New Roman" w:cs="Times New Roman"/>
          <w:sz w:val="28"/>
          <w:szCs w:val="28"/>
          <w:lang w:val="ru-RU" w:eastAsia="en-US"/>
        </w:rPr>
        <w:t>дії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Стратегії</w:t>
      </w:r>
      <w:r>
        <w:rPr>
          <w:rFonts w:ascii="Times New Roman" w:eastAsia="Calibri" w:hAnsi="Times New Roman" w:cs="Times New Roman"/>
          <w:sz w:val="28"/>
          <w:szCs w:val="28"/>
          <w:lang w:val="ru-RU" w:eastAsia="en-US"/>
        </w:rPr>
        <w:t>.</w:t>
      </w:r>
    </w:p>
    <w:p w:rsidR="00B33F96" w:rsidP="00B33F96" w14:paraId="2CF2946D" w14:textId="77777777">
      <w:pPr>
        <w:spacing w:after="0" w:line="240" w:lineRule="auto"/>
        <w:ind w:firstLine="360"/>
        <w:jc w:val="center"/>
        <w:rPr>
          <w:rFonts w:ascii="Times New Roman" w:eastAsia="Times New Roman" w:hAnsi="Times New Roman" w:cs="Times New Roman"/>
          <w:b/>
          <w:bCs/>
          <w:sz w:val="16"/>
          <w:szCs w:val="16"/>
        </w:rPr>
      </w:pPr>
    </w:p>
    <w:p w:rsidR="00B33F96" w:rsidP="00B33F96" w14:paraId="7134D1DE" w14:textId="77777777">
      <w:pPr>
        <w:spacing w:after="0" w:line="240" w:lineRule="auto"/>
        <w:ind w:firstLine="3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Реєстр основних соціально-економічних показників</w:t>
      </w:r>
    </w:p>
    <w:p w:rsidR="00B33F96" w:rsidP="00B33F96" w14:paraId="1264324E" w14:textId="77777777">
      <w:pPr>
        <w:spacing w:after="0" w:line="240" w:lineRule="auto"/>
        <w:ind w:firstLine="3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Броварської міської територіальної громади </w:t>
      </w:r>
    </w:p>
    <w:tbl>
      <w:tblPr>
        <w:tblW w:w="9360" w:type="dxa"/>
        <w:tblInd w:w="108" w:type="dxa"/>
        <w:tblLayout w:type="fixed"/>
        <w:tblLook w:val="04A0"/>
      </w:tblPr>
      <w:tblGrid>
        <w:gridCol w:w="2977"/>
        <w:gridCol w:w="1134"/>
        <w:gridCol w:w="1419"/>
        <w:gridCol w:w="1276"/>
        <w:gridCol w:w="1277"/>
        <w:gridCol w:w="1277"/>
      </w:tblGrid>
      <w:tr w14:paraId="5BFD57FB" w14:textId="77777777" w:rsidTr="00B33F96">
        <w:tblPrEx>
          <w:tblW w:w="9360" w:type="dxa"/>
          <w:tblInd w:w="108" w:type="dxa"/>
          <w:tblLayout w:type="fixed"/>
          <w:tblLook w:val="04A0"/>
        </w:tblPrEx>
        <w:trPr>
          <w:trHeight w:val="945"/>
        </w:trPr>
        <w:tc>
          <w:tcPr>
            <w:tcW w:w="2977" w:type="dxa"/>
            <w:tcBorders>
              <w:top w:val="single" w:sz="4" w:space="0" w:color="auto"/>
              <w:left w:val="single" w:sz="4" w:space="0" w:color="auto"/>
              <w:bottom w:val="single" w:sz="4" w:space="0" w:color="auto"/>
              <w:right w:val="single" w:sz="4" w:space="0" w:color="auto"/>
            </w:tcBorders>
            <w:vAlign w:val="center"/>
            <w:hideMark/>
          </w:tcPr>
          <w:p w:rsidR="00B33F96" w14:paraId="28EA892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показника, одиниця виміру</w:t>
            </w:r>
          </w:p>
        </w:tc>
        <w:tc>
          <w:tcPr>
            <w:tcW w:w="1134" w:type="dxa"/>
            <w:tcBorders>
              <w:top w:val="single" w:sz="4" w:space="0" w:color="auto"/>
              <w:left w:val="nil"/>
              <w:bottom w:val="single" w:sz="4" w:space="0" w:color="auto"/>
              <w:right w:val="single" w:sz="4" w:space="0" w:color="auto"/>
            </w:tcBorders>
            <w:vAlign w:val="center"/>
            <w:hideMark/>
          </w:tcPr>
          <w:p w:rsidR="00B33F96" w14:paraId="489CFE4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2024 </w:t>
            </w:r>
            <w:r>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lang w:val="ru-RU"/>
              </w:rPr>
              <w:t>ік</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звіт</w:t>
            </w:r>
            <w:r>
              <w:rPr>
                <w:rFonts w:ascii="Times New Roman" w:eastAsia="Times New Roman" w:hAnsi="Times New Roman" w:cs="Times New Roman"/>
                <w:sz w:val="24"/>
                <w:szCs w:val="24"/>
                <w:lang w:val="ru-RU"/>
              </w:rPr>
              <w:t>)</w:t>
            </w:r>
          </w:p>
        </w:tc>
        <w:tc>
          <w:tcPr>
            <w:tcW w:w="1418" w:type="dxa"/>
            <w:tcBorders>
              <w:top w:val="single" w:sz="4" w:space="0" w:color="auto"/>
              <w:left w:val="nil"/>
              <w:bottom w:val="single" w:sz="4" w:space="0" w:color="auto"/>
              <w:right w:val="single" w:sz="4" w:space="0" w:color="auto"/>
            </w:tcBorders>
            <w:vAlign w:val="center"/>
            <w:hideMark/>
          </w:tcPr>
          <w:p w:rsidR="00B33F96" w14:paraId="49D2CFF7"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2025 </w:t>
            </w:r>
            <w:r>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lang w:val="ru-RU"/>
              </w:rPr>
              <w:t>ік</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очікувані</w:t>
            </w:r>
            <w:r>
              <w:rPr>
                <w:rFonts w:ascii="Times New Roman" w:eastAsia="Times New Roman" w:hAnsi="Times New Roman" w:cs="Times New Roman"/>
                <w:sz w:val="24"/>
                <w:szCs w:val="24"/>
                <w:lang w:val="ru-RU"/>
              </w:rPr>
              <w:t>)</w:t>
            </w:r>
          </w:p>
        </w:tc>
        <w:tc>
          <w:tcPr>
            <w:tcW w:w="1275" w:type="dxa"/>
            <w:tcBorders>
              <w:top w:val="single" w:sz="4" w:space="0" w:color="auto"/>
              <w:left w:val="nil"/>
              <w:bottom w:val="single" w:sz="4" w:space="0" w:color="auto"/>
              <w:right w:val="single" w:sz="4" w:space="0" w:color="auto"/>
            </w:tcBorders>
            <w:vAlign w:val="center"/>
            <w:hideMark/>
          </w:tcPr>
          <w:p w:rsidR="00B33F96" w14:paraId="37811418"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2026 </w:t>
            </w:r>
            <w:r>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lang w:val="ru-RU"/>
              </w:rPr>
              <w:t>ік</w:t>
            </w:r>
            <w:r>
              <w:rPr>
                <w:rFonts w:ascii="Times New Roman" w:eastAsia="Times New Roman" w:hAnsi="Times New Roman" w:cs="Times New Roman"/>
                <w:sz w:val="24"/>
                <w:szCs w:val="24"/>
                <w:lang w:val="ru-RU"/>
              </w:rPr>
              <w:t xml:space="preserve"> (прогноз)</w:t>
            </w:r>
          </w:p>
        </w:tc>
        <w:tc>
          <w:tcPr>
            <w:tcW w:w="1276" w:type="dxa"/>
            <w:tcBorders>
              <w:top w:val="single" w:sz="4" w:space="0" w:color="auto"/>
              <w:left w:val="nil"/>
              <w:bottom w:val="single" w:sz="4" w:space="0" w:color="auto"/>
              <w:right w:val="single" w:sz="4" w:space="0" w:color="auto"/>
            </w:tcBorders>
            <w:vAlign w:val="center"/>
            <w:hideMark/>
          </w:tcPr>
          <w:p w:rsidR="00B33F96" w14:paraId="6DEC9CA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2027 </w:t>
            </w:r>
            <w:r>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lang w:val="ru-RU"/>
              </w:rPr>
              <w:t>ік</w:t>
            </w:r>
            <w:r>
              <w:rPr>
                <w:rFonts w:ascii="Times New Roman" w:eastAsia="Times New Roman" w:hAnsi="Times New Roman" w:cs="Times New Roman"/>
                <w:sz w:val="24"/>
                <w:szCs w:val="24"/>
                <w:lang w:val="ru-RU"/>
              </w:rPr>
              <w:t xml:space="preserve"> (прогноз)</w:t>
            </w:r>
          </w:p>
        </w:tc>
        <w:tc>
          <w:tcPr>
            <w:tcW w:w="1276" w:type="dxa"/>
            <w:tcBorders>
              <w:top w:val="single" w:sz="4" w:space="0" w:color="auto"/>
              <w:left w:val="nil"/>
              <w:bottom w:val="single" w:sz="4" w:space="0" w:color="auto"/>
              <w:right w:val="single" w:sz="4" w:space="0" w:color="auto"/>
            </w:tcBorders>
            <w:vAlign w:val="center"/>
            <w:hideMark/>
          </w:tcPr>
          <w:p w:rsidR="00B33F96" w14:paraId="2941CA5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2028 </w:t>
            </w:r>
            <w:r>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lang w:val="ru-RU"/>
              </w:rPr>
              <w:t>ік</w:t>
            </w:r>
            <w:r>
              <w:rPr>
                <w:rFonts w:ascii="Times New Roman" w:eastAsia="Times New Roman" w:hAnsi="Times New Roman" w:cs="Times New Roman"/>
                <w:sz w:val="24"/>
                <w:szCs w:val="24"/>
                <w:lang w:val="ru-RU"/>
              </w:rPr>
              <w:t xml:space="preserve"> (прогноз)</w:t>
            </w:r>
          </w:p>
        </w:tc>
      </w:tr>
      <w:tr w14:paraId="0C244029" w14:textId="77777777" w:rsidTr="00B33F96">
        <w:tblPrEx>
          <w:tblW w:w="9360" w:type="dxa"/>
          <w:tblInd w:w="108" w:type="dxa"/>
          <w:tblLayout w:type="fixed"/>
          <w:tblLook w:val="04A0"/>
        </w:tblPrEx>
        <w:trPr>
          <w:trHeight w:val="714"/>
        </w:trPr>
        <w:tc>
          <w:tcPr>
            <w:tcW w:w="2977" w:type="dxa"/>
            <w:tcBorders>
              <w:top w:val="nil"/>
              <w:left w:val="single" w:sz="4" w:space="0" w:color="auto"/>
              <w:bottom w:val="single" w:sz="4" w:space="0" w:color="auto"/>
              <w:right w:val="single" w:sz="4" w:space="0" w:color="auto"/>
            </w:tcBorders>
            <w:vAlign w:val="center"/>
            <w:hideMark/>
          </w:tcPr>
          <w:p w:rsidR="00B33F96" w14:paraId="21251E3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Чисельність населення (тис. чол.)</w:t>
            </w:r>
          </w:p>
        </w:tc>
        <w:tc>
          <w:tcPr>
            <w:tcW w:w="1134" w:type="dxa"/>
            <w:tcBorders>
              <w:top w:val="nil"/>
              <w:left w:val="nil"/>
              <w:bottom w:val="single" w:sz="4" w:space="0" w:color="auto"/>
              <w:right w:val="single" w:sz="4" w:space="0" w:color="auto"/>
            </w:tcBorders>
            <w:vAlign w:val="center"/>
            <w:hideMark/>
          </w:tcPr>
          <w:p w:rsidR="00B33F96" w14:paraId="2805CCC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116 664</w:t>
            </w:r>
          </w:p>
        </w:tc>
        <w:tc>
          <w:tcPr>
            <w:tcW w:w="1418" w:type="dxa"/>
            <w:tcBorders>
              <w:top w:val="nil"/>
              <w:left w:val="nil"/>
              <w:bottom w:val="single" w:sz="4" w:space="0" w:color="auto"/>
              <w:right w:val="single" w:sz="4" w:space="0" w:color="auto"/>
            </w:tcBorders>
            <w:vAlign w:val="center"/>
            <w:hideMark/>
          </w:tcPr>
          <w:p w:rsidR="00B33F96" w14:paraId="018D8DC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116 649</w:t>
            </w:r>
          </w:p>
        </w:tc>
        <w:tc>
          <w:tcPr>
            <w:tcW w:w="1275" w:type="dxa"/>
            <w:tcBorders>
              <w:top w:val="nil"/>
              <w:left w:val="nil"/>
              <w:bottom w:val="single" w:sz="4" w:space="0" w:color="auto"/>
              <w:right w:val="single" w:sz="4" w:space="0" w:color="auto"/>
            </w:tcBorders>
            <w:vAlign w:val="center"/>
            <w:hideMark/>
          </w:tcPr>
          <w:p w:rsidR="00B33F96" w14:paraId="2E8456C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116 660</w:t>
            </w:r>
          </w:p>
        </w:tc>
        <w:tc>
          <w:tcPr>
            <w:tcW w:w="1276" w:type="dxa"/>
            <w:tcBorders>
              <w:top w:val="nil"/>
              <w:left w:val="nil"/>
              <w:bottom w:val="single" w:sz="4" w:space="0" w:color="auto"/>
              <w:right w:val="single" w:sz="4" w:space="0" w:color="auto"/>
            </w:tcBorders>
            <w:vAlign w:val="center"/>
            <w:hideMark/>
          </w:tcPr>
          <w:p w:rsidR="00B33F96" w14:paraId="260190B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116 660</w:t>
            </w:r>
          </w:p>
        </w:tc>
        <w:tc>
          <w:tcPr>
            <w:tcW w:w="1276" w:type="dxa"/>
            <w:tcBorders>
              <w:top w:val="nil"/>
              <w:left w:val="nil"/>
              <w:bottom w:val="single" w:sz="4" w:space="0" w:color="auto"/>
              <w:right w:val="single" w:sz="4" w:space="0" w:color="auto"/>
            </w:tcBorders>
            <w:vAlign w:val="center"/>
            <w:hideMark/>
          </w:tcPr>
          <w:p w:rsidR="00B33F96" w14:paraId="251AB1D0"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116 660</w:t>
            </w:r>
          </w:p>
        </w:tc>
      </w:tr>
      <w:tr w14:paraId="1EC0353B" w14:textId="77777777" w:rsidTr="00B33F96">
        <w:tblPrEx>
          <w:tblW w:w="9360" w:type="dxa"/>
          <w:tblInd w:w="108" w:type="dxa"/>
          <w:tblLayout w:type="fixed"/>
          <w:tblLook w:val="04A0"/>
        </w:tblPrEx>
        <w:trPr>
          <w:trHeight w:val="994"/>
        </w:trPr>
        <w:tc>
          <w:tcPr>
            <w:tcW w:w="2977" w:type="dxa"/>
            <w:tcBorders>
              <w:top w:val="nil"/>
              <w:left w:val="single" w:sz="4" w:space="0" w:color="auto"/>
              <w:bottom w:val="single" w:sz="4" w:space="0" w:color="auto"/>
              <w:right w:val="single" w:sz="4" w:space="0" w:color="auto"/>
            </w:tcBorders>
            <w:vAlign w:val="center"/>
            <w:hideMark/>
          </w:tcPr>
          <w:p w:rsidR="00B33F96" w14:paraId="65BE1A9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внутрішньо переміщених осіб, узятих на облік (осіб)</w:t>
            </w:r>
          </w:p>
        </w:tc>
        <w:tc>
          <w:tcPr>
            <w:tcW w:w="1134" w:type="dxa"/>
            <w:tcBorders>
              <w:top w:val="nil"/>
              <w:left w:val="nil"/>
              <w:bottom w:val="single" w:sz="4" w:space="0" w:color="auto"/>
              <w:right w:val="single" w:sz="4" w:space="0" w:color="auto"/>
            </w:tcBorders>
            <w:vAlign w:val="center"/>
            <w:hideMark/>
          </w:tcPr>
          <w:p w:rsidR="00B33F96" w14:paraId="490E925E"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22 097</w:t>
            </w:r>
          </w:p>
        </w:tc>
        <w:tc>
          <w:tcPr>
            <w:tcW w:w="1418" w:type="dxa"/>
            <w:tcBorders>
              <w:top w:val="nil"/>
              <w:left w:val="nil"/>
              <w:bottom w:val="single" w:sz="4" w:space="0" w:color="auto"/>
              <w:right w:val="single" w:sz="4" w:space="0" w:color="auto"/>
            </w:tcBorders>
            <w:vAlign w:val="center"/>
            <w:hideMark/>
          </w:tcPr>
          <w:p w:rsidR="00B33F96" w14:paraId="4F12064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22 066</w:t>
            </w:r>
          </w:p>
        </w:tc>
        <w:tc>
          <w:tcPr>
            <w:tcW w:w="1275" w:type="dxa"/>
            <w:tcBorders>
              <w:top w:val="nil"/>
              <w:left w:val="nil"/>
              <w:bottom w:val="single" w:sz="4" w:space="0" w:color="auto"/>
              <w:right w:val="single" w:sz="4" w:space="0" w:color="auto"/>
            </w:tcBorders>
            <w:vAlign w:val="center"/>
            <w:hideMark/>
          </w:tcPr>
          <w:p w:rsidR="00B33F96" w14:paraId="01879B60"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22 400</w:t>
            </w:r>
          </w:p>
        </w:tc>
        <w:tc>
          <w:tcPr>
            <w:tcW w:w="1276" w:type="dxa"/>
            <w:tcBorders>
              <w:top w:val="nil"/>
              <w:left w:val="nil"/>
              <w:bottom w:val="single" w:sz="4" w:space="0" w:color="auto"/>
              <w:right w:val="single" w:sz="4" w:space="0" w:color="auto"/>
            </w:tcBorders>
            <w:vAlign w:val="center"/>
            <w:hideMark/>
          </w:tcPr>
          <w:p w:rsidR="00B33F96" w14:paraId="4A60739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21 000</w:t>
            </w:r>
          </w:p>
        </w:tc>
        <w:tc>
          <w:tcPr>
            <w:tcW w:w="1276" w:type="dxa"/>
            <w:tcBorders>
              <w:top w:val="nil"/>
              <w:left w:val="nil"/>
              <w:bottom w:val="single" w:sz="4" w:space="0" w:color="auto"/>
              <w:right w:val="single" w:sz="4" w:space="0" w:color="auto"/>
            </w:tcBorders>
            <w:vAlign w:val="center"/>
            <w:hideMark/>
          </w:tcPr>
          <w:p w:rsidR="00B33F96" w14:paraId="713F26C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20 700</w:t>
            </w:r>
          </w:p>
        </w:tc>
      </w:tr>
      <w:tr w14:paraId="1D3E3D0F" w14:textId="77777777" w:rsidTr="00B33F96">
        <w:tblPrEx>
          <w:tblW w:w="9360" w:type="dxa"/>
          <w:tblInd w:w="108" w:type="dxa"/>
          <w:tblLayout w:type="fixed"/>
          <w:tblLook w:val="04A0"/>
        </w:tblPrEx>
        <w:trPr>
          <w:trHeight w:val="1880"/>
        </w:trPr>
        <w:tc>
          <w:tcPr>
            <w:tcW w:w="2977" w:type="dxa"/>
            <w:tcBorders>
              <w:top w:val="nil"/>
              <w:left w:val="single" w:sz="4" w:space="0" w:color="auto"/>
              <w:bottom w:val="single" w:sz="4" w:space="0" w:color="auto"/>
              <w:right w:val="single" w:sz="4" w:space="0" w:color="auto"/>
            </w:tcBorders>
            <w:vAlign w:val="center"/>
            <w:hideMark/>
          </w:tcPr>
          <w:p w:rsidR="00B33F96" w14:paraId="4EC6D91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ветеранів війни та членів сімей загиблих Захисників та Захисниць України, охоплених програмою соціальної підтримки (осіб)</w:t>
            </w:r>
          </w:p>
        </w:tc>
        <w:tc>
          <w:tcPr>
            <w:tcW w:w="1134" w:type="dxa"/>
            <w:tcBorders>
              <w:top w:val="nil"/>
              <w:left w:val="nil"/>
              <w:bottom w:val="single" w:sz="4" w:space="0" w:color="auto"/>
              <w:right w:val="single" w:sz="4" w:space="0" w:color="auto"/>
            </w:tcBorders>
            <w:vAlign w:val="center"/>
            <w:hideMark/>
          </w:tcPr>
          <w:p w:rsidR="00B33F96" w14:paraId="3D83648E"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710</w:t>
            </w:r>
          </w:p>
        </w:tc>
        <w:tc>
          <w:tcPr>
            <w:tcW w:w="1418" w:type="dxa"/>
            <w:tcBorders>
              <w:top w:val="nil"/>
              <w:left w:val="nil"/>
              <w:bottom w:val="single" w:sz="4" w:space="0" w:color="auto"/>
              <w:right w:val="single" w:sz="4" w:space="0" w:color="auto"/>
            </w:tcBorders>
            <w:vAlign w:val="center"/>
            <w:hideMark/>
          </w:tcPr>
          <w:p w:rsidR="00B33F96" w14:paraId="74B5789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1 355</w:t>
            </w:r>
          </w:p>
        </w:tc>
        <w:tc>
          <w:tcPr>
            <w:tcW w:w="1275" w:type="dxa"/>
            <w:tcBorders>
              <w:top w:val="nil"/>
              <w:left w:val="nil"/>
              <w:bottom w:val="single" w:sz="4" w:space="0" w:color="auto"/>
              <w:right w:val="single" w:sz="4" w:space="0" w:color="auto"/>
            </w:tcBorders>
            <w:vAlign w:val="center"/>
            <w:hideMark/>
          </w:tcPr>
          <w:p w:rsidR="00B33F96" w14:paraId="70DF62D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1 370</w:t>
            </w:r>
          </w:p>
        </w:tc>
        <w:tc>
          <w:tcPr>
            <w:tcW w:w="1276" w:type="dxa"/>
            <w:tcBorders>
              <w:top w:val="nil"/>
              <w:left w:val="nil"/>
              <w:bottom w:val="single" w:sz="4" w:space="0" w:color="auto"/>
              <w:right w:val="single" w:sz="4" w:space="0" w:color="auto"/>
            </w:tcBorders>
            <w:vAlign w:val="center"/>
            <w:hideMark/>
          </w:tcPr>
          <w:p w:rsidR="00B33F96" w14:paraId="44DF97D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1 445</w:t>
            </w:r>
          </w:p>
        </w:tc>
        <w:tc>
          <w:tcPr>
            <w:tcW w:w="1276" w:type="dxa"/>
            <w:tcBorders>
              <w:top w:val="nil"/>
              <w:left w:val="nil"/>
              <w:bottom w:val="single" w:sz="4" w:space="0" w:color="auto"/>
              <w:right w:val="single" w:sz="4" w:space="0" w:color="auto"/>
            </w:tcBorders>
            <w:vAlign w:val="center"/>
            <w:hideMark/>
          </w:tcPr>
          <w:p w:rsidR="00B33F96" w14:paraId="50D1D75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1 470</w:t>
            </w:r>
          </w:p>
        </w:tc>
      </w:tr>
      <w:tr w14:paraId="6695D03A" w14:textId="77777777" w:rsidTr="00B33F96">
        <w:tblPrEx>
          <w:tblW w:w="9360" w:type="dxa"/>
          <w:tblInd w:w="108" w:type="dxa"/>
          <w:tblLayout w:type="fixed"/>
          <w:tblLook w:val="04A0"/>
        </w:tblPrEx>
        <w:trPr>
          <w:trHeight w:val="945"/>
        </w:trPr>
        <w:tc>
          <w:tcPr>
            <w:tcW w:w="2977" w:type="dxa"/>
            <w:tcBorders>
              <w:top w:val="nil"/>
              <w:left w:val="single" w:sz="4" w:space="0" w:color="auto"/>
              <w:bottom w:val="single" w:sz="4" w:space="0" w:color="auto"/>
              <w:right w:val="single" w:sz="4" w:space="0" w:color="auto"/>
            </w:tcBorders>
            <w:vAlign w:val="center"/>
            <w:hideMark/>
          </w:tcPr>
          <w:p w:rsidR="00B33F96" w14:paraId="77B91AD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закладів дошкільної освіти в громаді (од.)</w:t>
            </w:r>
          </w:p>
        </w:tc>
        <w:tc>
          <w:tcPr>
            <w:tcW w:w="1134" w:type="dxa"/>
            <w:tcBorders>
              <w:top w:val="nil"/>
              <w:left w:val="nil"/>
              <w:bottom w:val="single" w:sz="4" w:space="0" w:color="auto"/>
              <w:right w:val="single" w:sz="4" w:space="0" w:color="auto"/>
            </w:tcBorders>
            <w:vAlign w:val="center"/>
            <w:hideMark/>
          </w:tcPr>
          <w:p w:rsidR="00B33F96" w14:paraId="1348E69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418" w:type="dxa"/>
            <w:tcBorders>
              <w:top w:val="nil"/>
              <w:left w:val="nil"/>
              <w:bottom w:val="single" w:sz="4" w:space="0" w:color="auto"/>
              <w:right w:val="single" w:sz="4" w:space="0" w:color="auto"/>
            </w:tcBorders>
            <w:vAlign w:val="center"/>
            <w:hideMark/>
          </w:tcPr>
          <w:p w:rsidR="00B33F96" w14:paraId="6EC2A87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275" w:type="dxa"/>
            <w:tcBorders>
              <w:top w:val="nil"/>
              <w:left w:val="nil"/>
              <w:bottom w:val="single" w:sz="4" w:space="0" w:color="auto"/>
              <w:right w:val="single" w:sz="4" w:space="0" w:color="auto"/>
            </w:tcBorders>
            <w:vAlign w:val="center"/>
            <w:hideMark/>
          </w:tcPr>
          <w:p w:rsidR="00B33F96" w14:paraId="3CC68C6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276" w:type="dxa"/>
            <w:tcBorders>
              <w:top w:val="nil"/>
              <w:left w:val="nil"/>
              <w:bottom w:val="single" w:sz="4" w:space="0" w:color="auto"/>
              <w:right w:val="single" w:sz="4" w:space="0" w:color="auto"/>
            </w:tcBorders>
            <w:vAlign w:val="center"/>
            <w:hideMark/>
          </w:tcPr>
          <w:p w:rsidR="00B33F96" w14:paraId="2804AF0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76" w:type="dxa"/>
            <w:tcBorders>
              <w:top w:val="nil"/>
              <w:left w:val="nil"/>
              <w:bottom w:val="single" w:sz="4" w:space="0" w:color="auto"/>
              <w:right w:val="single" w:sz="4" w:space="0" w:color="auto"/>
            </w:tcBorders>
            <w:vAlign w:val="center"/>
            <w:hideMark/>
          </w:tcPr>
          <w:p w:rsidR="00B33F96" w14:paraId="56BB32B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33</w:t>
            </w:r>
          </w:p>
        </w:tc>
      </w:tr>
      <w:tr w14:paraId="6982B998" w14:textId="77777777" w:rsidTr="00B33F96">
        <w:tblPrEx>
          <w:tblW w:w="9360" w:type="dxa"/>
          <w:tblInd w:w="108" w:type="dxa"/>
          <w:tblLayout w:type="fixed"/>
          <w:tblLook w:val="04A0"/>
        </w:tblPrEx>
        <w:trPr>
          <w:trHeight w:val="1007"/>
        </w:trPr>
        <w:tc>
          <w:tcPr>
            <w:tcW w:w="2977" w:type="dxa"/>
            <w:tcBorders>
              <w:top w:val="nil"/>
              <w:left w:val="single" w:sz="4" w:space="0" w:color="auto"/>
              <w:bottom w:val="single" w:sz="4" w:space="0" w:color="auto"/>
              <w:right w:val="single" w:sz="4" w:space="0" w:color="auto"/>
            </w:tcBorders>
            <w:vAlign w:val="center"/>
            <w:hideMark/>
          </w:tcPr>
          <w:p w:rsidR="00B33F96" w14:paraId="1C6225E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закладів загальної середньої освіти в громаді (од.)</w:t>
            </w:r>
          </w:p>
        </w:tc>
        <w:tc>
          <w:tcPr>
            <w:tcW w:w="1134" w:type="dxa"/>
            <w:tcBorders>
              <w:top w:val="nil"/>
              <w:left w:val="nil"/>
              <w:bottom w:val="single" w:sz="4" w:space="0" w:color="auto"/>
              <w:right w:val="single" w:sz="4" w:space="0" w:color="auto"/>
            </w:tcBorders>
            <w:vAlign w:val="center"/>
            <w:hideMark/>
          </w:tcPr>
          <w:p w:rsidR="00B33F96" w14:paraId="7C55BB4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18" w:type="dxa"/>
            <w:tcBorders>
              <w:top w:val="nil"/>
              <w:left w:val="nil"/>
              <w:bottom w:val="single" w:sz="4" w:space="0" w:color="auto"/>
              <w:right w:val="single" w:sz="4" w:space="0" w:color="auto"/>
            </w:tcBorders>
            <w:vAlign w:val="center"/>
            <w:hideMark/>
          </w:tcPr>
          <w:p w:rsidR="00B33F96" w14:paraId="7FFF80B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275" w:type="dxa"/>
            <w:tcBorders>
              <w:top w:val="nil"/>
              <w:left w:val="nil"/>
              <w:bottom w:val="single" w:sz="4" w:space="0" w:color="auto"/>
              <w:right w:val="single" w:sz="4" w:space="0" w:color="auto"/>
            </w:tcBorders>
            <w:vAlign w:val="center"/>
            <w:hideMark/>
          </w:tcPr>
          <w:p w:rsidR="00B33F96" w14:paraId="07FAD7F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hideMark/>
          </w:tcPr>
          <w:p w:rsidR="00B33F96" w14:paraId="3D3BB13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hideMark/>
          </w:tcPr>
          <w:p w:rsidR="00B33F96" w14:paraId="360B45D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20</w:t>
            </w:r>
          </w:p>
        </w:tc>
      </w:tr>
      <w:tr w14:paraId="7462FF5F" w14:textId="77777777" w:rsidTr="00B33F96">
        <w:tblPrEx>
          <w:tblW w:w="9360" w:type="dxa"/>
          <w:tblInd w:w="108" w:type="dxa"/>
          <w:tblLayout w:type="fixed"/>
          <w:tblLook w:val="04A0"/>
        </w:tblPrEx>
        <w:trPr>
          <w:trHeight w:val="1830"/>
        </w:trPr>
        <w:tc>
          <w:tcPr>
            <w:tcW w:w="2977" w:type="dxa"/>
            <w:tcBorders>
              <w:top w:val="nil"/>
              <w:left w:val="single" w:sz="4" w:space="0" w:color="auto"/>
              <w:bottom w:val="single" w:sz="4" w:space="0" w:color="auto"/>
              <w:right w:val="single" w:sz="4" w:space="0" w:color="auto"/>
            </w:tcBorders>
            <w:vAlign w:val="center"/>
            <w:hideMark/>
          </w:tcPr>
          <w:p w:rsidR="00B33F96" w14:paraId="5716E56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Частка закладів дошкільної освіти, у яких створено безпечні умови для навчання та праці (</w:t>
            </w:r>
            <w:r>
              <w:rPr>
                <w:rFonts w:ascii="Times New Roman" w:eastAsia="Times New Roman" w:hAnsi="Times New Roman" w:cs="Times New Roman"/>
                <w:sz w:val="24"/>
                <w:szCs w:val="24"/>
              </w:rPr>
              <w:t>облаштовані</w:t>
            </w:r>
            <w:r>
              <w:rPr>
                <w:rFonts w:ascii="Times New Roman" w:eastAsia="Times New Roman" w:hAnsi="Times New Roman" w:cs="Times New Roman"/>
                <w:sz w:val="24"/>
                <w:szCs w:val="24"/>
              </w:rPr>
              <w:t xml:space="preserve"> укриттями) (%)</w:t>
            </w:r>
          </w:p>
        </w:tc>
        <w:tc>
          <w:tcPr>
            <w:tcW w:w="1134" w:type="dxa"/>
            <w:tcBorders>
              <w:top w:val="nil"/>
              <w:left w:val="nil"/>
              <w:bottom w:val="single" w:sz="4" w:space="0" w:color="auto"/>
              <w:right w:val="single" w:sz="4" w:space="0" w:color="auto"/>
            </w:tcBorders>
            <w:vAlign w:val="center"/>
            <w:hideMark/>
          </w:tcPr>
          <w:p w:rsidR="00B33F96" w14:paraId="246C149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18" w:type="dxa"/>
            <w:tcBorders>
              <w:top w:val="nil"/>
              <w:left w:val="nil"/>
              <w:bottom w:val="single" w:sz="4" w:space="0" w:color="auto"/>
              <w:right w:val="single" w:sz="4" w:space="0" w:color="auto"/>
            </w:tcBorders>
            <w:vAlign w:val="center"/>
            <w:hideMark/>
          </w:tcPr>
          <w:p w:rsidR="00B33F96" w14:paraId="615F7D3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vAlign w:val="center"/>
            <w:hideMark/>
          </w:tcPr>
          <w:p w:rsidR="00B33F96" w14:paraId="27545B7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B33F96" w14:paraId="6A45909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B33F96" w14:paraId="09C8B8B7"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100</w:t>
            </w:r>
          </w:p>
        </w:tc>
      </w:tr>
      <w:tr w14:paraId="778941CB" w14:textId="77777777" w:rsidTr="00B33F96">
        <w:tblPrEx>
          <w:tblW w:w="9360" w:type="dxa"/>
          <w:tblInd w:w="108" w:type="dxa"/>
          <w:tblLayout w:type="fixed"/>
          <w:tblLook w:val="04A0"/>
        </w:tblPrEx>
        <w:trPr>
          <w:trHeight w:val="1714"/>
        </w:trPr>
        <w:tc>
          <w:tcPr>
            <w:tcW w:w="2977" w:type="dxa"/>
            <w:tcBorders>
              <w:top w:val="nil"/>
              <w:left w:val="single" w:sz="4" w:space="0" w:color="auto"/>
              <w:bottom w:val="single" w:sz="4" w:space="0" w:color="auto"/>
              <w:right w:val="single" w:sz="4" w:space="0" w:color="auto"/>
            </w:tcBorders>
            <w:vAlign w:val="center"/>
            <w:hideMark/>
          </w:tcPr>
          <w:p w:rsidR="00B33F96" w14:paraId="14EBD6E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Частка закладів загальної середньої освіти, у яких створено безпечні умови для навчання та праці (</w:t>
            </w:r>
            <w:r>
              <w:rPr>
                <w:rFonts w:ascii="Times New Roman" w:eastAsia="Times New Roman" w:hAnsi="Times New Roman" w:cs="Times New Roman"/>
                <w:sz w:val="24"/>
                <w:szCs w:val="24"/>
              </w:rPr>
              <w:t>облаштовані</w:t>
            </w:r>
            <w:r>
              <w:rPr>
                <w:rFonts w:ascii="Times New Roman" w:eastAsia="Times New Roman" w:hAnsi="Times New Roman" w:cs="Times New Roman"/>
                <w:sz w:val="24"/>
                <w:szCs w:val="24"/>
              </w:rPr>
              <w:t xml:space="preserve"> укриттями) (%)</w:t>
            </w:r>
          </w:p>
        </w:tc>
        <w:tc>
          <w:tcPr>
            <w:tcW w:w="1134" w:type="dxa"/>
            <w:tcBorders>
              <w:top w:val="nil"/>
              <w:left w:val="nil"/>
              <w:bottom w:val="single" w:sz="4" w:space="0" w:color="auto"/>
              <w:right w:val="single" w:sz="4" w:space="0" w:color="auto"/>
            </w:tcBorders>
            <w:vAlign w:val="center"/>
            <w:hideMark/>
          </w:tcPr>
          <w:p w:rsidR="00B33F96" w14:paraId="369F107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18" w:type="dxa"/>
            <w:tcBorders>
              <w:top w:val="nil"/>
              <w:left w:val="nil"/>
              <w:bottom w:val="single" w:sz="4" w:space="0" w:color="auto"/>
              <w:right w:val="single" w:sz="4" w:space="0" w:color="auto"/>
            </w:tcBorders>
            <w:vAlign w:val="center"/>
            <w:hideMark/>
          </w:tcPr>
          <w:p w:rsidR="00B33F96" w14:paraId="0F485F5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vAlign w:val="center"/>
            <w:hideMark/>
          </w:tcPr>
          <w:p w:rsidR="00B33F96" w14:paraId="667E042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B33F96" w14:paraId="0B719EC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B33F96" w14:paraId="20E475D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14:paraId="14A7A072" w14:textId="77777777" w:rsidTr="00B33F96">
        <w:tblPrEx>
          <w:tblW w:w="9360" w:type="dxa"/>
          <w:tblInd w:w="108" w:type="dxa"/>
          <w:tblLayout w:type="fixed"/>
          <w:tblLook w:val="04A0"/>
        </w:tblPrEx>
        <w:trPr>
          <w:trHeight w:val="833"/>
        </w:trPr>
        <w:tc>
          <w:tcPr>
            <w:tcW w:w="2977" w:type="dxa"/>
            <w:tcBorders>
              <w:top w:val="nil"/>
              <w:left w:val="single" w:sz="4" w:space="0" w:color="auto"/>
              <w:bottom w:val="single" w:sz="4" w:space="0" w:color="auto"/>
              <w:right w:val="single" w:sz="4" w:space="0" w:color="auto"/>
            </w:tcBorders>
            <w:vAlign w:val="center"/>
            <w:hideMark/>
          </w:tcPr>
          <w:p w:rsidR="00B33F96" w14:paraId="67AE0BA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здобувачів позашкільної освіти (осіб)</w:t>
            </w:r>
          </w:p>
        </w:tc>
        <w:tc>
          <w:tcPr>
            <w:tcW w:w="1134" w:type="dxa"/>
            <w:tcBorders>
              <w:top w:val="nil"/>
              <w:left w:val="nil"/>
              <w:bottom w:val="single" w:sz="4" w:space="0" w:color="auto"/>
              <w:right w:val="single" w:sz="4" w:space="0" w:color="auto"/>
            </w:tcBorders>
            <w:vAlign w:val="center"/>
            <w:hideMark/>
          </w:tcPr>
          <w:p w:rsidR="00B33F96" w14:paraId="1B019F5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6 626</w:t>
            </w:r>
          </w:p>
        </w:tc>
        <w:tc>
          <w:tcPr>
            <w:tcW w:w="1418" w:type="dxa"/>
            <w:tcBorders>
              <w:top w:val="nil"/>
              <w:left w:val="nil"/>
              <w:bottom w:val="single" w:sz="4" w:space="0" w:color="auto"/>
              <w:right w:val="single" w:sz="4" w:space="0" w:color="auto"/>
            </w:tcBorders>
            <w:vAlign w:val="center"/>
            <w:hideMark/>
          </w:tcPr>
          <w:p w:rsidR="00B33F96" w14:paraId="284BBE9A"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6 626</w:t>
            </w:r>
          </w:p>
        </w:tc>
        <w:tc>
          <w:tcPr>
            <w:tcW w:w="1275" w:type="dxa"/>
            <w:tcBorders>
              <w:top w:val="nil"/>
              <w:left w:val="nil"/>
              <w:bottom w:val="single" w:sz="4" w:space="0" w:color="auto"/>
              <w:right w:val="single" w:sz="4" w:space="0" w:color="auto"/>
            </w:tcBorders>
            <w:vAlign w:val="center"/>
            <w:hideMark/>
          </w:tcPr>
          <w:p w:rsidR="00B33F96" w14:paraId="7CDBF188"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6 700</w:t>
            </w:r>
          </w:p>
        </w:tc>
        <w:tc>
          <w:tcPr>
            <w:tcW w:w="1276" w:type="dxa"/>
            <w:tcBorders>
              <w:top w:val="nil"/>
              <w:left w:val="nil"/>
              <w:bottom w:val="single" w:sz="4" w:space="0" w:color="auto"/>
              <w:right w:val="single" w:sz="4" w:space="0" w:color="auto"/>
            </w:tcBorders>
            <w:vAlign w:val="center"/>
            <w:hideMark/>
          </w:tcPr>
          <w:p w:rsidR="00B33F96" w14:paraId="1CCDFB9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7 000</w:t>
            </w:r>
          </w:p>
        </w:tc>
        <w:tc>
          <w:tcPr>
            <w:tcW w:w="1276" w:type="dxa"/>
            <w:tcBorders>
              <w:top w:val="nil"/>
              <w:left w:val="nil"/>
              <w:bottom w:val="single" w:sz="4" w:space="0" w:color="auto"/>
              <w:right w:val="single" w:sz="4" w:space="0" w:color="auto"/>
            </w:tcBorders>
            <w:vAlign w:val="center"/>
            <w:hideMark/>
          </w:tcPr>
          <w:p w:rsidR="00B33F96" w14:paraId="2538F1F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7 100</w:t>
            </w:r>
          </w:p>
        </w:tc>
      </w:tr>
      <w:tr w14:paraId="3195A518" w14:textId="77777777" w:rsidTr="00B33F96">
        <w:tblPrEx>
          <w:tblW w:w="9360" w:type="dxa"/>
          <w:tblInd w:w="108" w:type="dxa"/>
          <w:tblLayout w:type="fixed"/>
          <w:tblLook w:val="04A0"/>
        </w:tblPrEx>
        <w:trPr>
          <w:trHeight w:val="844"/>
        </w:trPr>
        <w:tc>
          <w:tcPr>
            <w:tcW w:w="2977" w:type="dxa"/>
            <w:tcBorders>
              <w:top w:val="nil"/>
              <w:left w:val="single" w:sz="4" w:space="0" w:color="auto"/>
              <w:bottom w:val="single" w:sz="4" w:space="0" w:color="auto"/>
              <w:right w:val="single" w:sz="4" w:space="0" w:color="auto"/>
            </w:tcBorders>
            <w:vAlign w:val="center"/>
            <w:hideMark/>
          </w:tcPr>
          <w:p w:rsidR="00B33F96" w14:paraId="7DC2F7B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у закладах освіти інклюзивних класів (од.)</w:t>
            </w:r>
          </w:p>
        </w:tc>
        <w:tc>
          <w:tcPr>
            <w:tcW w:w="1134" w:type="dxa"/>
            <w:tcBorders>
              <w:top w:val="nil"/>
              <w:left w:val="nil"/>
              <w:bottom w:val="single" w:sz="4" w:space="0" w:color="auto"/>
              <w:right w:val="single" w:sz="4" w:space="0" w:color="auto"/>
            </w:tcBorders>
            <w:vAlign w:val="center"/>
            <w:hideMark/>
          </w:tcPr>
          <w:p w:rsidR="00B33F96" w14:paraId="3BA66AE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1418" w:type="dxa"/>
            <w:tcBorders>
              <w:top w:val="nil"/>
              <w:left w:val="nil"/>
              <w:bottom w:val="single" w:sz="4" w:space="0" w:color="auto"/>
              <w:right w:val="single" w:sz="4" w:space="0" w:color="auto"/>
            </w:tcBorders>
            <w:vAlign w:val="center"/>
            <w:hideMark/>
          </w:tcPr>
          <w:p w:rsidR="00B33F96" w14:paraId="7A5FA23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1275" w:type="dxa"/>
            <w:tcBorders>
              <w:top w:val="nil"/>
              <w:left w:val="nil"/>
              <w:bottom w:val="single" w:sz="4" w:space="0" w:color="auto"/>
              <w:right w:val="single" w:sz="4" w:space="0" w:color="auto"/>
            </w:tcBorders>
            <w:vAlign w:val="center"/>
            <w:hideMark/>
          </w:tcPr>
          <w:p w:rsidR="00B33F96" w14:paraId="41DFF03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276" w:type="dxa"/>
            <w:tcBorders>
              <w:top w:val="nil"/>
              <w:left w:val="nil"/>
              <w:bottom w:val="single" w:sz="4" w:space="0" w:color="auto"/>
              <w:right w:val="single" w:sz="4" w:space="0" w:color="auto"/>
            </w:tcBorders>
            <w:vAlign w:val="center"/>
            <w:hideMark/>
          </w:tcPr>
          <w:p w:rsidR="00B33F96" w14:paraId="470EBFE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276" w:type="dxa"/>
            <w:tcBorders>
              <w:top w:val="nil"/>
              <w:left w:val="nil"/>
              <w:bottom w:val="single" w:sz="4" w:space="0" w:color="auto"/>
              <w:right w:val="single" w:sz="4" w:space="0" w:color="auto"/>
            </w:tcBorders>
            <w:vAlign w:val="center"/>
            <w:hideMark/>
          </w:tcPr>
          <w:p w:rsidR="00B33F96" w14:paraId="1BE4BF90"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14:paraId="7F8A99B5" w14:textId="77777777" w:rsidTr="00B33F96">
        <w:tblPrEx>
          <w:tblW w:w="9360" w:type="dxa"/>
          <w:tblInd w:w="108" w:type="dxa"/>
          <w:tblLayout w:type="fixed"/>
          <w:tblLook w:val="04A0"/>
        </w:tblPrEx>
        <w:trPr>
          <w:trHeight w:val="1689"/>
        </w:trPr>
        <w:tc>
          <w:tcPr>
            <w:tcW w:w="2977" w:type="dxa"/>
            <w:tcBorders>
              <w:top w:val="nil"/>
              <w:left w:val="single" w:sz="4" w:space="0" w:color="auto"/>
              <w:bottom w:val="single" w:sz="4" w:space="0" w:color="auto"/>
              <w:right w:val="single" w:sz="4" w:space="0" w:color="auto"/>
            </w:tcBorders>
            <w:vAlign w:val="center"/>
            <w:hideMark/>
          </w:tcPr>
          <w:p w:rsidR="00B33F96" w14:paraId="54EB62E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укладених договорів (декларацій) з лікарями центрів первинної медичної допомоги (од.)</w:t>
            </w:r>
          </w:p>
        </w:tc>
        <w:tc>
          <w:tcPr>
            <w:tcW w:w="1134" w:type="dxa"/>
            <w:tcBorders>
              <w:top w:val="nil"/>
              <w:left w:val="nil"/>
              <w:bottom w:val="single" w:sz="4" w:space="0" w:color="auto"/>
              <w:right w:val="single" w:sz="4" w:space="0" w:color="auto"/>
            </w:tcBorders>
            <w:vAlign w:val="center"/>
            <w:hideMark/>
          </w:tcPr>
          <w:p w:rsidR="00B33F96" w14:paraId="653D57C8"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102 398</w:t>
            </w:r>
          </w:p>
        </w:tc>
        <w:tc>
          <w:tcPr>
            <w:tcW w:w="1418" w:type="dxa"/>
            <w:tcBorders>
              <w:top w:val="nil"/>
              <w:left w:val="nil"/>
              <w:bottom w:val="single" w:sz="4" w:space="0" w:color="auto"/>
              <w:right w:val="single" w:sz="4" w:space="0" w:color="auto"/>
            </w:tcBorders>
            <w:vAlign w:val="center"/>
            <w:hideMark/>
          </w:tcPr>
          <w:p w:rsidR="00B33F96" w14:paraId="7D5D922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103 683</w:t>
            </w:r>
          </w:p>
        </w:tc>
        <w:tc>
          <w:tcPr>
            <w:tcW w:w="1275" w:type="dxa"/>
            <w:tcBorders>
              <w:top w:val="nil"/>
              <w:left w:val="nil"/>
              <w:bottom w:val="single" w:sz="4" w:space="0" w:color="auto"/>
              <w:right w:val="single" w:sz="4" w:space="0" w:color="auto"/>
            </w:tcBorders>
            <w:vAlign w:val="center"/>
            <w:hideMark/>
          </w:tcPr>
          <w:p w:rsidR="00B33F96" w14:paraId="09BC139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102 000</w:t>
            </w:r>
          </w:p>
        </w:tc>
        <w:tc>
          <w:tcPr>
            <w:tcW w:w="1276" w:type="dxa"/>
            <w:tcBorders>
              <w:top w:val="nil"/>
              <w:left w:val="nil"/>
              <w:bottom w:val="single" w:sz="4" w:space="0" w:color="auto"/>
              <w:right w:val="single" w:sz="4" w:space="0" w:color="auto"/>
            </w:tcBorders>
            <w:vAlign w:val="center"/>
            <w:hideMark/>
          </w:tcPr>
          <w:p w:rsidR="00B33F96" w14:paraId="0F478D3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102 000</w:t>
            </w:r>
          </w:p>
        </w:tc>
        <w:tc>
          <w:tcPr>
            <w:tcW w:w="1276" w:type="dxa"/>
            <w:tcBorders>
              <w:top w:val="nil"/>
              <w:left w:val="nil"/>
              <w:bottom w:val="single" w:sz="4" w:space="0" w:color="auto"/>
              <w:right w:val="single" w:sz="4" w:space="0" w:color="auto"/>
            </w:tcBorders>
            <w:vAlign w:val="center"/>
            <w:hideMark/>
          </w:tcPr>
          <w:p w:rsidR="00B33F96" w14:paraId="4700AA1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10 200</w:t>
            </w:r>
          </w:p>
        </w:tc>
      </w:tr>
      <w:tr w14:paraId="7468C0D6" w14:textId="77777777" w:rsidTr="00B33F96">
        <w:tblPrEx>
          <w:tblW w:w="9360" w:type="dxa"/>
          <w:tblInd w:w="108" w:type="dxa"/>
          <w:tblLayout w:type="fixed"/>
          <w:tblLook w:val="04A0"/>
        </w:tblPrEx>
        <w:trPr>
          <w:trHeight w:val="630"/>
        </w:trPr>
        <w:tc>
          <w:tcPr>
            <w:tcW w:w="2977" w:type="dxa"/>
            <w:tcBorders>
              <w:top w:val="nil"/>
              <w:left w:val="single" w:sz="4" w:space="0" w:color="auto"/>
              <w:bottom w:val="single" w:sz="4" w:space="0" w:color="auto"/>
              <w:right w:val="single" w:sz="4" w:space="0" w:color="auto"/>
            </w:tcBorders>
            <w:vAlign w:val="center"/>
            <w:hideMark/>
          </w:tcPr>
          <w:p w:rsidR="00B33F96" w14:paraId="0337B50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амбулаторій (од.)</w:t>
            </w:r>
          </w:p>
        </w:tc>
        <w:tc>
          <w:tcPr>
            <w:tcW w:w="1134" w:type="dxa"/>
            <w:tcBorders>
              <w:top w:val="nil"/>
              <w:left w:val="nil"/>
              <w:bottom w:val="single" w:sz="4" w:space="0" w:color="auto"/>
              <w:right w:val="single" w:sz="4" w:space="0" w:color="auto"/>
            </w:tcBorders>
            <w:vAlign w:val="center"/>
            <w:hideMark/>
          </w:tcPr>
          <w:p w:rsidR="00B33F96" w14:paraId="0B28CC8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18" w:type="dxa"/>
            <w:tcBorders>
              <w:top w:val="nil"/>
              <w:left w:val="nil"/>
              <w:bottom w:val="single" w:sz="4" w:space="0" w:color="auto"/>
              <w:right w:val="single" w:sz="4" w:space="0" w:color="auto"/>
            </w:tcBorders>
            <w:vAlign w:val="center"/>
            <w:hideMark/>
          </w:tcPr>
          <w:p w:rsidR="00B33F96" w14:paraId="373BEC2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tcBorders>
              <w:top w:val="nil"/>
              <w:left w:val="nil"/>
              <w:bottom w:val="single" w:sz="4" w:space="0" w:color="auto"/>
              <w:right w:val="single" w:sz="4" w:space="0" w:color="auto"/>
            </w:tcBorders>
            <w:vAlign w:val="center"/>
            <w:hideMark/>
          </w:tcPr>
          <w:p w:rsidR="00B33F96" w14:paraId="10DE939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hideMark/>
          </w:tcPr>
          <w:p w:rsidR="00B33F96" w14:paraId="45D0915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hideMark/>
          </w:tcPr>
          <w:p w:rsidR="00B33F96" w14:paraId="6D65C5F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14:paraId="06F7D562" w14:textId="77777777" w:rsidTr="00B33F96">
        <w:tblPrEx>
          <w:tblW w:w="9360" w:type="dxa"/>
          <w:tblInd w:w="108" w:type="dxa"/>
          <w:tblLayout w:type="fixed"/>
          <w:tblLook w:val="04A0"/>
        </w:tblPrEx>
        <w:trPr>
          <w:trHeight w:val="1070"/>
        </w:trPr>
        <w:tc>
          <w:tcPr>
            <w:tcW w:w="2977" w:type="dxa"/>
            <w:tcBorders>
              <w:top w:val="nil"/>
              <w:left w:val="single" w:sz="4" w:space="0" w:color="auto"/>
              <w:bottom w:val="single" w:sz="4" w:space="0" w:color="auto"/>
              <w:right w:val="single" w:sz="4" w:space="0" w:color="auto"/>
            </w:tcBorders>
            <w:vAlign w:val="center"/>
            <w:hideMark/>
          </w:tcPr>
          <w:p w:rsidR="00B33F96" w14:paraId="71BADAC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проведених спортивно-масових заходів (од.)</w:t>
            </w:r>
          </w:p>
        </w:tc>
        <w:tc>
          <w:tcPr>
            <w:tcW w:w="1134" w:type="dxa"/>
            <w:tcBorders>
              <w:top w:val="nil"/>
              <w:left w:val="nil"/>
              <w:bottom w:val="single" w:sz="4" w:space="0" w:color="auto"/>
              <w:right w:val="single" w:sz="4" w:space="0" w:color="auto"/>
            </w:tcBorders>
            <w:vAlign w:val="center"/>
            <w:hideMark/>
          </w:tcPr>
          <w:p w:rsidR="00B33F96" w14:paraId="28683367"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418" w:type="dxa"/>
            <w:tcBorders>
              <w:top w:val="nil"/>
              <w:left w:val="nil"/>
              <w:bottom w:val="single" w:sz="4" w:space="0" w:color="auto"/>
              <w:right w:val="single" w:sz="4" w:space="0" w:color="auto"/>
            </w:tcBorders>
            <w:vAlign w:val="center"/>
            <w:hideMark/>
          </w:tcPr>
          <w:p w:rsidR="00B33F96" w14:paraId="4088BCE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75" w:type="dxa"/>
            <w:tcBorders>
              <w:top w:val="nil"/>
              <w:left w:val="nil"/>
              <w:bottom w:val="single" w:sz="4" w:space="0" w:color="auto"/>
              <w:right w:val="single" w:sz="4" w:space="0" w:color="auto"/>
            </w:tcBorders>
            <w:vAlign w:val="center"/>
            <w:hideMark/>
          </w:tcPr>
          <w:p w:rsidR="00B33F96" w14:paraId="58C4A70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276" w:type="dxa"/>
            <w:tcBorders>
              <w:top w:val="nil"/>
              <w:left w:val="nil"/>
              <w:bottom w:val="single" w:sz="4" w:space="0" w:color="auto"/>
              <w:right w:val="single" w:sz="4" w:space="0" w:color="auto"/>
            </w:tcBorders>
            <w:vAlign w:val="center"/>
            <w:hideMark/>
          </w:tcPr>
          <w:p w:rsidR="00B33F96" w14:paraId="0B4812E8"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276" w:type="dxa"/>
            <w:tcBorders>
              <w:top w:val="nil"/>
              <w:left w:val="nil"/>
              <w:bottom w:val="single" w:sz="4" w:space="0" w:color="auto"/>
              <w:right w:val="single" w:sz="4" w:space="0" w:color="auto"/>
            </w:tcBorders>
            <w:vAlign w:val="center"/>
            <w:hideMark/>
          </w:tcPr>
          <w:p w:rsidR="00B33F96" w14:paraId="670A089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14:paraId="76EA1667" w14:textId="77777777" w:rsidTr="00B33F96">
        <w:tblPrEx>
          <w:tblW w:w="9360" w:type="dxa"/>
          <w:tblInd w:w="108" w:type="dxa"/>
          <w:tblLayout w:type="fixed"/>
          <w:tblLook w:val="04A0"/>
        </w:tblPrEx>
        <w:trPr>
          <w:trHeight w:val="1553"/>
        </w:trPr>
        <w:tc>
          <w:tcPr>
            <w:tcW w:w="2977" w:type="dxa"/>
            <w:tcBorders>
              <w:top w:val="nil"/>
              <w:left w:val="single" w:sz="4" w:space="0" w:color="auto"/>
              <w:bottom w:val="single" w:sz="4" w:space="0" w:color="auto"/>
              <w:right w:val="single" w:sz="4" w:space="0" w:color="auto"/>
            </w:tcBorders>
            <w:vAlign w:val="center"/>
            <w:hideMark/>
          </w:tcPr>
          <w:p w:rsidR="00B33F96" w14:paraId="6CC1CC3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залученого населення до участі в спортивно-масових заходах, в тому числі осіб з інвалідністю (осіб)</w:t>
            </w:r>
          </w:p>
        </w:tc>
        <w:tc>
          <w:tcPr>
            <w:tcW w:w="1134" w:type="dxa"/>
            <w:tcBorders>
              <w:top w:val="nil"/>
              <w:left w:val="nil"/>
              <w:bottom w:val="single" w:sz="4" w:space="0" w:color="auto"/>
              <w:right w:val="single" w:sz="4" w:space="0" w:color="auto"/>
            </w:tcBorders>
            <w:vAlign w:val="center"/>
            <w:hideMark/>
          </w:tcPr>
          <w:p w:rsidR="00B33F96" w14:paraId="61C556D7"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5 200</w:t>
            </w:r>
          </w:p>
        </w:tc>
        <w:tc>
          <w:tcPr>
            <w:tcW w:w="1418" w:type="dxa"/>
            <w:tcBorders>
              <w:top w:val="nil"/>
              <w:left w:val="nil"/>
              <w:bottom w:val="single" w:sz="4" w:space="0" w:color="auto"/>
              <w:right w:val="single" w:sz="4" w:space="0" w:color="auto"/>
            </w:tcBorders>
            <w:vAlign w:val="center"/>
            <w:hideMark/>
          </w:tcPr>
          <w:p w:rsidR="00B33F96" w14:paraId="6AA15AB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4 800</w:t>
            </w:r>
          </w:p>
        </w:tc>
        <w:tc>
          <w:tcPr>
            <w:tcW w:w="1275" w:type="dxa"/>
            <w:tcBorders>
              <w:top w:val="nil"/>
              <w:left w:val="nil"/>
              <w:bottom w:val="single" w:sz="4" w:space="0" w:color="auto"/>
              <w:right w:val="single" w:sz="4" w:space="0" w:color="auto"/>
            </w:tcBorders>
            <w:vAlign w:val="center"/>
            <w:hideMark/>
          </w:tcPr>
          <w:p w:rsidR="00B33F96" w14:paraId="4B22B5F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6 300</w:t>
            </w:r>
          </w:p>
        </w:tc>
        <w:tc>
          <w:tcPr>
            <w:tcW w:w="1276" w:type="dxa"/>
            <w:tcBorders>
              <w:top w:val="nil"/>
              <w:left w:val="nil"/>
              <w:bottom w:val="single" w:sz="4" w:space="0" w:color="auto"/>
              <w:right w:val="single" w:sz="4" w:space="0" w:color="auto"/>
            </w:tcBorders>
            <w:vAlign w:val="center"/>
            <w:hideMark/>
          </w:tcPr>
          <w:p w:rsidR="00B33F96" w14:paraId="0DAB8C2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6 500</w:t>
            </w:r>
          </w:p>
        </w:tc>
        <w:tc>
          <w:tcPr>
            <w:tcW w:w="1276" w:type="dxa"/>
            <w:tcBorders>
              <w:top w:val="nil"/>
              <w:left w:val="nil"/>
              <w:bottom w:val="single" w:sz="4" w:space="0" w:color="auto"/>
              <w:right w:val="single" w:sz="4" w:space="0" w:color="auto"/>
            </w:tcBorders>
            <w:vAlign w:val="center"/>
            <w:hideMark/>
          </w:tcPr>
          <w:p w:rsidR="00B33F96" w14:paraId="092BF887"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6 700</w:t>
            </w:r>
          </w:p>
        </w:tc>
      </w:tr>
      <w:tr w14:paraId="0BA0F518" w14:textId="77777777" w:rsidTr="00B33F96">
        <w:tblPrEx>
          <w:tblW w:w="9360" w:type="dxa"/>
          <w:tblInd w:w="108" w:type="dxa"/>
          <w:tblLayout w:type="fixed"/>
          <w:tblLook w:val="04A0"/>
        </w:tblPrEx>
        <w:trPr>
          <w:trHeight w:val="824"/>
        </w:trPr>
        <w:tc>
          <w:tcPr>
            <w:tcW w:w="2977" w:type="dxa"/>
            <w:tcBorders>
              <w:top w:val="nil"/>
              <w:left w:val="single" w:sz="4" w:space="0" w:color="auto"/>
              <w:bottom w:val="single" w:sz="4" w:space="0" w:color="auto"/>
              <w:right w:val="single" w:sz="4" w:space="0" w:color="auto"/>
            </w:tcBorders>
            <w:vAlign w:val="center"/>
            <w:hideMark/>
          </w:tcPr>
          <w:p w:rsidR="00B33F96" w14:paraId="0D6A529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спортивних закладів (</w:t>
            </w:r>
            <w:r>
              <w:rPr>
                <w:rFonts w:ascii="Times New Roman" w:eastAsia="Times New Roman" w:hAnsi="Times New Roman" w:cs="Times New Roman"/>
                <w:sz w:val="24"/>
                <w:szCs w:val="24"/>
              </w:rPr>
              <w:t>обꞌєктів</w:t>
            </w:r>
            <w:r>
              <w:rPr>
                <w:rFonts w:ascii="Times New Roman" w:eastAsia="Times New Roman" w:hAnsi="Times New Roman" w:cs="Times New Roman"/>
                <w:sz w:val="24"/>
                <w:szCs w:val="24"/>
              </w:rPr>
              <w:t>) (од.)</w:t>
            </w:r>
          </w:p>
        </w:tc>
        <w:tc>
          <w:tcPr>
            <w:tcW w:w="1134" w:type="dxa"/>
            <w:tcBorders>
              <w:top w:val="nil"/>
              <w:left w:val="nil"/>
              <w:bottom w:val="single" w:sz="4" w:space="0" w:color="auto"/>
              <w:right w:val="single" w:sz="4" w:space="0" w:color="auto"/>
            </w:tcBorders>
            <w:vAlign w:val="center"/>
            <w:hideMark/>
          </w:tcPr>
          <w:p w:rsidR="00B33F96" w14:paraId="42EE8D1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418" w:type="dxa"/>
            <w:tcBorders>
              <w:top w:val="nil"/>
              <w:left w:val="nil"/>
              <w:bottom w:val="single" w:sz="4" w:space="0" w:color="auto"/>
              <w:right w:val="single" w:sz="4" w:space="0" w:color="auto"/>
            </w:tcBorders>
            <w:vAlign w:val="center"/>
            <w:hideMark/>
          </w:tcPr>
          <w:p w:rsidR="00B33F96" w14:paraId="54A8AF2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275" w:type="dxa"/>
            <w:tcBorders>
              <w:top w:val="nil"/>
              <w:left w:val="nil"/>
              <w:bottom w:val="single" w:sz="4" w:space="0" w:color="auto"/>
              <w:right w:val="single" w:sz="4" w:space="0" w:color="auto"/>
            </w:tcBorders>
            <w:vAlign w:val="center"/>
            <w:hideMark/>
          </w:tcPr>
          <w:p w:rsidR="00B33F96" w14:paraId="66557E8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276" w:type="dxa"/>
            <w:tcBorders>
              <w:top w:val="nil"/>
              <w:left w:val="nil"/>
              <w:bottom w:val="single" w:sz="4" w:space="0" w:color="auto"/>
              <w:right w:val="single" w:sz="4" w:space="0" w:color="auto"/>
            </w:tcBorders>
            <w:vAlign w:val="center"/>
            <w:hideMark/>
          </w:tcPr>
          <w:p w:rsidR="00B33F96" w14:paraId="78E3124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276" w:type="dxa"/>
            <w:tcBorders>
              <w:top w:val="nil"/>
              <w:left w:val="nil"/>
              <w:bottom w:val="single" w:sz="4" w:space="0" w:color="auto"/>
              <w:right w:val="single" w:sz="4" w:space="0" w:color="auto"/>
            </w:tcBorders>
            <w:vAlign w:val="center"/>
            <w:hideMark/>
          </w:tcPr>
          <w:p w:rsidR="00B33F96" w14:paraId="3A41DBF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111</w:t>
            </w:r>
          </w:p>
        </w:tc>
      </w:tr>
      <w:tr w14:paraId="342ADD47" w14:textId="77777777" w:rsidTr="00B33F96">
        <w:tblPrEx>
          <w:tblW w:w="9360" w:type="dxa"/>
          <w:tblInd w:w="108" w:type="dxa"/>
          <w:tblLayout w:type="fixed"/>
          <w:tblLook w:val="04A0"/>
        </w:tblPrEx>
        <w:trPr>
          <w:trHeight w:val="992"/>
        </w:trPr>
        <w:tc>
          <w:tcPr>
            <w:tcW w:w="2977" w:type="dxa"/>
            <w:tcBorders>
              <w:top w:val="nil"/>
              <w:left w:val="single" w:sz="4" w:space="0" w:color="auto"/>
              <w:bottom w:val="single" w:sz="4" w:space="0" w:color="auto"/>
              <w:right w:val="single" w:sz="4" w:space="0" w:color="auto"/>
            </w:tcBorders>
            <w:vAlign w:val="center"/>
            <w:hideMark/>
          </w:tcPr>
          <w:p w:rsidR="00B33F96" w14:paraId="38E7431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закладів культури комунальної власності в громаді (од.)</w:t>
            </w:r>
          </w:p>
        </w:tc>
        <w:tc>
          <w:tcPr>
            <w:tcW w:w="1134" w:type="dxa"/>
            <w:tcBorders>
              <w:top w:val="nil"/>
              <w:left w:val="nil"/>
              <w:bottom w:val="single" w:sz="4" w:space="0" w:color="auto"/>
              <w:right w:val="single" w:sz="4" w:space="0" w:color="auto"/>
            </w:tcBorders>
            <w:vAlign w:val="center"/>
            <w:hideMark/>
          </w:tcPr>
          <w:p w:rsidR="00B33F96" w14:paraId="1B053A4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8" w:type="dxa"/>
            <w:tcBorders>
              <w:top w:val="nil"/>
              <w:left w:val="nil"/>
              <w:bottom w:val="single" w:sz="4" w:space="0" w:color="auto"/>
              <w:right w:val="single" w:sz="4" w:space="0" w:color="auto"/>
            </w:tcBorders>
            <w:vAlign w:val="center"/>
            <w:hideMark/>
          </w:tcPr>
          <w:p w:rsidR="00B33F96" w14:paraId="329A3BE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5" w:type="dxa"/>
            <w:tcBorders>
              <w:top w:val="nil"/>
              <w:left w:val="nil"/>
              <w:bottom w:val="single" w:sz="4" w:space="0" w:color="auto"/>
              <w:right w:val="single" w:sz="4" w:space="0" w:color="auto"/>
            </w:tcBorders>
            <w:vAlign w:val="center"/>
            <w:hideMark/>
          </w:tcPr>
          <w:p w:rsidR="00B33F96" w14:paraId="61F8823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6" w:type="dxa"/>
            <w:tcBorders>
              <w:top w:val="nil"/>
              <w:left w:val="nil"/>
              <w:bottom w:val="single" w:sz="4" w:space="0" w:color="auto"/>
              <w:right w:val="single" w:sz="4" w:space="0" w:color="auto"/>
            </w:tcBorders>
            <w:vAlign w:val="center"/>
            <w:hideMark/>
          </w:tcPr>
          <w:p w:rsidR="00B33F96" w14:paraId="15A7DFB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6" w:type="dxa"/>
            <w:tcBorders>
              <w:top w:val="nil"/>
              <w:left w:val="nil"/>
              <w:bottom w:val="single" w:sz="4" w:space="0" w:color="auto"/>
              <w:right w:val="single" w:sz="4" w:space="0" w:color="auto"/>
            </w:tcBorders>
            <w:vAlign w:val="center"/>
            <w:hideMark/>
          </w:tcPr>
          <w:p w:rsidR="00B33F96" w14:paraId="643DDBE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15</w:t>
            </w:r>
          </w:p>
        </w:tc>
      </w:tr>
      <w:tr w14:paraId="0413D05F" w14:textId="77777777" w:rsidTr="00B33F96">
        <w:tblPrEx>
          <w:tblW w:w="9360" w:type="dxa"/>
          <w:tblInd w:w="108" w:type="dxa"/>
          <w:tblLayout w:type="fixed"/>
          <w:tblLook w:val="04A0"/>
        </w:tblPrEx>
        <w:trPr>
          <w:trHeight w:val="1120"/>
        </w:trPr>
        <w:tc>
          <w:tcPr>
            <w:tcW w:w="2977" w:type="dxa"/>
            <w:tcBorders>
              <w:top w:val="nil"/>
              <w:left w:val="single" w:sz="4" w:space="0" w:color="auto"/>
              <w:bottom w:val="single" w:sz="4" w:space="0" w:color="auto"/>
              <w:right w:val="single" w:sz="4" w:space="0" w:color="auto"/>
            </w:tcBorders>
            <w:vAlign w:val="center"/>
            <w:hideMark/>
          </w:tcPr>
          <w:p w:rsidR="00B33F96" w14:paraId="6B77BFE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дітей, охоплених навчанням у мистецьких, музичних школах (осіб)</w:t>
            </w:r>
          </w:p>
        </w:tc>
        <w:tc>
          <w:tcPr>
            <w:tcW w:w="1134" w:type="dxa"/>
            <w:tcBorders>
              <w:top w:val="nil"/>
              <w:left w:val="nil"/>
              <w:bottom w:val="single" w:sz="4" w:space="0" w:color="auto"/>
              <w:right w:val="single" w:sz="4" w:space="0" w:color="auto"/>
            </w:tcBorders>
            <w:vAlign w:val="center"/>
            <w:hideMark/>
          </w:tcPr>
          <w:p w:rsidR="00B33F96" w14:paraId="6C09522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1 140</w:t>
            </w:r>
          </w:p>
        </w:tc>
        <w:tc>
          <w:tcPr>
            <w:tcW w:w="1418" w:type="dxa"/>
            <w:tcBorders>
              <w:top w:val="nil"/>
              <w:left w:val="nil"/>
              <w:bottom w:val="single" w:sz="4" w:space="0" w:color="auto"/>
              <w:right w:val="single" w:sz="4" w:space="0" w:color="auto"/>
            </w:tcBorders>
            <w:vAlign w:val="center"/>
            <w:hideMark/>
          </w:tcPr>
          <w:p w:rsidR="00B33F96" w14:paraId="3CA1E1E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1 142</w:t>
            </w:r>
          </w:p>
        </w:tc>
        <w:tc>
          <w:tcPr>
            <w:tcW w:w="1275" w:type="dxa"/>
            <w:tcBorders>
              <w:top w:val="nil"/>
              <w:left w:val="nil"/>
              <w:bottom w:val="single" w:sz="4" w:space="0" w:color="auto"/>
              <w:right w:val="single" w:sz="4" w:space="0" w:color="auto"/>
            </w:tcBorders>
            <w:vAlign w:val="center"/>
            <w:hideMark/>
          </w:tcPr>
          <w:p w:rsidR="00B33F96" w14:paraId="29647A98"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1 150</w:t>
            </w:r>
          </w:p>
        </w:tc>
        <w:tc>
          <w:tcPr>
            <w:tcW w:w="1276" w:type="dxa"/>
            <w:tcBorders>
              <w:top w:val="nil"/>
              <w:left w:val="nil"/>
              <w:bottom w:val="single" w:sz="4" w:space="0" w:color="auto"/>
              <w:right w:val="single" w:sz="4" w:space="0" w:color="auto"/>
            </w:tcBorders>
            <w:vAlign w:val="center"/>
            <w:hideMark/>
          </w:tcPr>
          <w:p w:rsidR="00B33F96" w14:paraId="0EBFCF9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1 160</w:t>
            </w:r>
          </w:p>
        </w:tc>
        <w:tc>
          <w:tcPr>
            <w:tcW w:w="1276" w:type="dxa"/>
            <w:tcBorders>
              <w:top w:val="nil"/>
              <w:left w:val="nil"/>
              <w:bottom w:val="single" w:sz="4" w:space="0" w:color="auto"/>
              <w:right w:val="single" w:sz="4" w:space="0" w:color="auto"/>
            </w:tcBorders>
            <w:vAlign w:val="center"/>
            <w:hideMark/>
          </w:tcPr>
          <w:p w:rsidR="00B33F96" w14:paraId="6F8CB54A"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1 170</w:t>
            </w:r>
          </w:p>
        </w:tc>
      </w:tr>
      <w:tr w14:paraId="303D6E56" w14:textId="77777777" w:rsidTr="00B33F96">
        <w:tblPrEx>
          <w:tblW w:w="9360" w:type="dxa"/>
          <w:tblInd w:w="108" w:type="dxa"/>
          <w:tblLayout w:type="fixed"/>
          <w:tblLook w:val="04A0"/>
        </w:tblPrEx>
        <w:trPr>
          <w:trHeight w:val="630"/>
        </w:trPr>
        <w:tc>
          <w:tcPr>
            <w:tcW w:w="2977" w:type="dxa"/>
            <w:tcBorders>
              <w:top w:val="nil"/>
              <w:left w:val="single" w:sz="4" w:space="0" w:color="auto"/>
              <w:bottom w:val="single" w:sz="4" w:space="0" w:color="auto"/>
              <w:right w:val="single" w:sz="4" w:space="0" w:color="auto"/>
            </w:tcBorders>
            <w:vAlign w:val="center"/>
            <w:hideMark/>
          </w:tcPr>
          <w:p w:rsidR="00B33F96" w14:paraId="072D82F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захисних споруд (од.)</w:t>
            </w:r>
          </w:p>
        </w:tc>
        <w:tc>
          <w:tcPr>
            <w:tcW w:w="1134" w:type="dxa"/>
            <w:tcBorders>
              <w:top w:val="nil"/>
              <w:left w:val="nil"/>
              <w:bottom w:val="single" w:sz="4" w:space="0" w:color="auto"/>
              <w:right w:val="single" w:sz="4" w:space="0" w:color="auto"/>
            </w:tcBorders>
            <w:vAlign w:val="center"/>
            <w:hideMark/>
          </w:tcPr>
          <w:p w:rsidR="00B33F96" w14:paraId="7806D968"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418" w:type="dxa"/>
            <w:tcBorders>
              <w:top w:val="nil"/>
              <w:left w:val="nil"/>
              <w:bottom w:val="single" w:sz="4" w:space="0" w:color="auto"/>
              <w:right w:val="single" w:sz="4" w:space="0" w:color="auto"/>
            </w:tcBorders>
            <w:vAlign w:val="center"/>
            <w:hideMark/>
          </w:tcPr>
          <w:p w:rsidR="00B33F96" w14:paraId="39CF5F2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275" w:type="dxa"/>
            <w:tcBorders>
              <w:top w:val="nil"/>
              <w:left w:val="nil"/>
              <w:bottom w:val="single" w:sz="4" w:space="0" w:color="auto"/>
              <w:right w:val="single" w:sz="4" w:space="0" w:color="auto"/>
            </w:tcBorders>
            <w:vAlign w:val="center"/>
            <w:hideMark/>
          </w:tcPr>
          <w:p w:rsidR="00B33F96" w14:paraId="6381EBBA"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276" w:type="dxa"/>
            <w:tcBorders>
              <w:top w:val="nil"/>
              <w:left w:val="nil"/>
              <w:bottom w:val="single" w:sz="4" w:space="0" w:color="auto"/>
              <w:right w:val="single" w:sz="4" w:space="0" w:color="auto"/>
            </w:tcBorders>
            <w:vAlign w:val="center"/>
            <w:hideMark/>
          </w:tcPr>
          <w:p w:rsidR="00B33F96" w14:paraId="0A3D1DE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276" w:type="dxa"/>
            <w:tcBorders>
              <w:top w:val="nil"/>
              <w:left w:val="nil"/>
              <w:bottom w:val="single" w:sz="4" w:space="0" w:color="auto"/>
              <w:right w:val="single" w:sz="4" w:space="0" w:color="auto"/>
            </w:tcBorders>
            <w:vAlign w:val="center"/>
            <w:hideMark/>
          </w:tcPr>
          <w:p w:rsidR="00B33F96" w14:paraId="65B01C60"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83</w:t>
            </w:r>
          </w:p>
        </w:tc>
      </w:tr>
      <w:tr w14:paraId="6A61E6A6" w14:textId="77777777" w:rsidTr="00B33F96">
        <w:tblPrEx>
          <w:tblW w:w="9360" w:type="dxa"/>
          <w:tblInd w:w="108" w:type="dxa"/>
          <w:tblLayout w:type="fixed"/>
          <w:tblLook w:val="04A0"/>
        </w:tblPrEx>
        <w:trPr>
          <w:trHeight w:val="762"/>
        </w:trPr>
        <w:tc>
          <w:tcPr>
            <w:tcW w:w="2977" w:type="dxa"/>
            <w:tcBorders>
              <w:top w:val="nil"/>
              <w:left w:val="single" w:sz="4" w:space="0" w:color="auto"/>
              <w:bottom w:val="single" w:sz="4" w:space="0" w:color="auto"/>
              <w:right w:val="single" w:sz="4" w:space="0" w:color="auto"/>
            </w:tcBorders>
            <w:vAlign w:val="center"/>
            <w:hideMark/>
          </w:tcPr>
          <w:p w:rsidR="00B33F96" w14:paraId="3FBE9C7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поліцейських станцій в громаді  (од.)</w:t>
            </w:r>
          </w:p>
        </w:tc>
        <w:tc>
          <w:tcPr>
            <w:tcW w:w="1134" w:type="dxa"/>
            <w:tcBorders>
              <w:top w:val="nil"/>
              <w:left w:val="nil"/>
              <w:bottom w:val="single" w:sz="4" w:space="0" w:color="auto"/>
              <w:right w:val="single" w:sz="4" w:space="0" w:color="auto"/>
            </w:tcBorders>
            <w:vAlign w:val="center"/>
            <w:hideMark/>
          </w:tcPr>
          <w:p w:rsidR="00B33F96" w14:paraId="0E84E55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8" w:type="dxa"/>
            <w:tcBorders>
              <w:top w:val="nil"/>
              <w:left w:val="nil"/>
              <w:bottom w:val="single" w:sz="4" w:space="0" w:color="auto"/>
              <w:right w:val="single" w:sz="4" w:space="0" w:color="auto"/>
            </w:tcBorders>
            <w:vAlign w:val="center"/>
            <w:hideMark/>
          </w:tcPr>
          <w:p w:rsidR="00B33F96" w14:paraId="1B5FBE6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Borders>
              <w:top w:val="nil"/>
              <w:left w:val="nil"/>
              <w:bottom w:val="single" w:sz="4" w:space="0" w:color="auto"/>
              <w:right w:val="single" w:sz="4" w:space="0" w:color="auto"/>
            </w:tcBorders>
            <w:vAlign w:val="center"/>
            <w:hideMark/>
          </w:tcPr>
          <w:p w:rsidR="00B33F96" w14:paraId="431785C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nil"/>
              <w:left w:val="nil"/>
              <w:bottom w:val="single" w:sz="4" w:space="0" w:color="auto"/>
              <w:right w:val="single" w:sz="4" w:space="0" w:color="auto"/>
            </w:tcBorders>
            <w:vAlign w:val="center"/>
            <w:hideMark/>
          </w:tcPr>
          <w:p w:rsidR="00B33F96" w14:paraId="7873E467"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nil"/>
              <w:left w:val="nil"/>
              <w:bottom w:val="single" w:sz="4" w:space="0" w:color="auto"/>
              <w:right w:val="single" w:sz="4" w:space="0" w:color="auto"/>
            </w:tcBorders>
            <w:vAlign w:val="center"/>
            <w:hideMark/>
          </w:tcPr>
          <w:p w:rsidR="00B33F96" w14:paraId="110E3DB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p>
        </w:tc>
      </w:tr>
      <w:tr w14:paraId="6FAD8964" w14:textId="77777777" w:rsidTr="00B33F96">
        <w:tblPrEx>
          <w:tblW w:w="9360" w:type="dxa"/>
          <w:tblInd w:w="108" w:type="dxa"/>
          <w:tblLayout w:type="fixed"/>
          <w:tblLook w:val="04A0"/>
        </w:tblPrEx>
        <w:trPr>
          <w:trHeight w:val="972"/>
        </w:trPr>
        <w:tc>
          <w:tcPr>
            <w:tcW w:w="2977" w:type="dxa"/>
            <w:tcBorders>
              <w:top w:val="nil"/>
              <w:left w:val="single" w:sz="4" w:space="0" w:color="auto"/>
              <w:bottom w:val="single" w:sz="4" w:space="0" w:color="auto"/>
              <w:right w:val="single" w:sz="4" w:space="0" w:color="auto"/>
            </w:tcBorders>
            <w:vAlign w:val="center"/>
            <w:hideMark/>
          </w:tcPr>
          <w:p w:rsidR="00B33F96" w14:paraId="48DA5A5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підрозділів місцевої/добровільної пожежної охорони (од.)</w:t>
            </w:r>
          </w:p>
        </w:tc>
        <w:tc>
          <w:tcPr>
            <w:tcW w:w="1134" w:type="dxa"/>
            <w:tcBorders>
              <w:top w:val="nil"/>
              <w:left w:val="nil"/>
              <w:bottom w:val="single" w:sz="4" w:space="0" w:color="auto"/>
              <w:right w:val="single" w:sz="4" w:space="0" w:color="auto"/>
            </w:tcBorders>
            <w:vAlign w:val="center"/>
            <w:hideMark/>
          </w:tcPr>
          <w:p w:rsidR="00B33F96" w14:paraId="7BC905A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tcBorders>
              <w:top w:val="nil"/>
              <w:left w:val="nil"/>
              <w:bottom w:val="single" w:sz="4" w:space="0" w:color="auto"/>
              <w:right w:val="single" w:sz="4" w:space="0" w:color="auto"/>
            </w:tcBorders>
            <w:vAlign w:val="center"/>
            <w:hideMark/>
          </w:tcPr>
          <w:p w:rsidR="00B33F96" w14:paraId="69EC065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nil"/>
              <w:left w:val="nil"/>
              <w:bottom w:val="single" w:sz="4" w:space="0" w:color="auto"/>
              <w:right w:val="single" w:sz="4" w:space="0" w:color="auto"/>
            </w:tcBorders>
            <w:vAlign w:val="center"/>
            <w:hideMark/>
          </w:tcPr>
          <w:p w:rsidR="00B33F96" w14:paraId="1EBCAD9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nil"/>
              <w:left w:val="nil"/>
              <w:bottom w:val="single" w:sz="4" w:space="0" w:color="auto"/>
              <w:right w:val="single" w:sz="4" w:space="0" w:color="auto"/>
            </w:tcBorders>
            <w:vAlign w:val="center"/>
            <w:hideMark/>
          </w:tcPr>
          <w:p w:rsidR="00B33F96" w14:paraId="475C869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nil"/>
              <w:left w:val="nil"/>
              <w:bottom w:val="single" w:sz="4" w:space="0" w:color="auto"/>
              <w:right w:val="single" w:sz="4" w:space="0" w:color="auto"/>
            </w:tcBorders>
            <w:vAlign w:val="center"/>
            <w:hideMark/>
          </w:tcPr>
          <w:p w:rsidR="00B33F96" w14:paraId="43A36D8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p>
        </w:tc>
      </w:tr>
      <w:tr w14:paraId="430D53AB" w14:textId="77777777" w:rsidTr="00B33F96">
        <w:tblPrEx>
          <w:tblW w:w="9360" w:type="dxa"/>
          <w:tblInd w:w="108" w:type="dxa"/>
          <w:tblLayout w:type="fixed"/>
          <w:tblLook w:val="04A0"/>
        </w:tblPrEx>
        <w:trPr>
          <w:trHeight w:val="1141"/>
        </w:trPr>
        <w:tc>
          <w:tcPr>
            <w:tcW w:w="2977" w:type="dxa"/>
            <w:tcBorders>
              <w:top w:val="nil"/>
              <w:left w:val="single" w:sz="4" w:space="0" w:color="auto"/>
              <w:bottom w:val="single" w:sz="4" w:space="0" w:color="auto"/>
              <w:right w:val="single" w:sz="4" w:space="0" w:color="auto"/>
            </w:tcBorders>
            <w:vAlign w:val="center"/>
            <w:hideMark/>
          </w:tcPr>
          <w:p w:rsidR="00B33F96" w14:paraId="6F7CA7C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навчальних закладів, в яких </w:t>
            </w:r>
            <w:r>
              <w:rPr>
                <w:rFonts w:ascii="Times New Roman" w:eastAsia="Times New Roman" w:hAnsi="Times New Roman" w:cs="Times New Roman"/>
                <w:sz w:val="24"/>
                <w:szCs w:val="24"/>
              </w:rPr>
              <w:t>облаштовано</w:t>
            </w:r>
            <w:r>
              <w:rPr>
                <w:rFonts w:ascii="Times New Roman" w:eastAsia="Times New Roman" w:hAnsi="Times New Roman" w:cs="Times New Roman"/>
                <w:sz w:val="24"/>
                <w:szCs w:val="24"/>
              </w:rPr>
              <w:t xml:space="preserve"> «класи безпеки» (од.)</w:t>
            </w:r>
          </w:p>
        </w:tc>
        <w:tc>
          <w:tcPr>
            <w:tcW w:w="1134" w:type="dxa"/>
            <w:tcBorders>
              <w:top w:val="nil"/>
              <w:left w:val="nil"/>
              <w:bottom w:val="single" w:sz="4" w:space="0" w:color="auto"/>
              <w:right w:val="single" w:sz="4" w:space="0" w:color="auto"/>
            </w:tcBorders>
            <w:vAlign w:val="center"/>
            <w:hideMark/>
          </w:tcPr>
          <w:p w:rsidR="00B33F96" w14:paraId="1C3C7CA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8" w:type="dxa"/>
            <w:tcBorders>
              <w:top w:val="nil"/>
              <w:left w:val="nil"/>
              <w:bottom w:val="single" w:sz="4" w:space="0" w:color="auto"/>
              <w:right w:val="single" w:sz="4" w:space="0" w:color="auto"/>
            </w:tcBorders>
            <w:vAlign w:val="center"/>
            <w:hideMark/>
          </w:tcPr>
          <w:p w:rsidR="00B33F96" w14:paraId="57867E3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5" w:type="dxa"/>
            <w:tcBorders>
              <w:top w:val="nil"/>
              <w:left w:val="nil"/>
              <w:bottom w:val="single" w:sz="4" w:space="0" w:color="auto"/>
              <w:right w:val="single" w:sz="4" w:space="0" w:color="auto"/>
            </w:tcBorders>
            <w:vAlign w:val="center"/>
            <w:hideMark/>
          </w:tcPr>
          <w:p w:rsidR="00B33F96" w14:paraId="5DA4C74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6" w:type="dxa"/>
            <w:tcBorders>
              <w:top w:val="nil"/>
              <w:left w:val="nil"/>
              <w:bottom w:val="single" w:sz="4" w:space="0" w:color="auto"/>
              <w:right w:val="single" w:sz="4" w:space="0" w:color="auto"/>
            </w:tcBorders>
            <w:vAlign w:val="center"/>
            <w:hideMark/>
          </w:tcPr>
          <w:p w:rsidR="00B33F96" w14:paraId="157D59E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6" w:type="dxa"/>
            <w:tcBorders>
              <w:top w:val="nil"/>
              <w:left w:val="nil"/>
              <w:bottom w:val="single" w:sz="4" w:space="0" w:color="auto"/>
              <w:right w:val="single" w:sz="4" w:space="0" w:color="auto"/>
            </w:tcBorders>
            <w:vAlign w:val="center"/>
            <w:hideMark/>
          </w:tcPr>
          <w:p w:rsidR="00B33F96" w14:paraId="04EE3FA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13</w:t>
            </w:r>
          </w:p>
        </w:tc>
      </w:tr>
      <w:tr w14:paraId="05C1CC7E" w14:textId="77777777" w:rsidTr="00B33F96">
        <w:tblPrEx>
          <w:tblW w:w="9360" w:type="dxa"/>
          <w:tblInd w:w="108" w:type="dxa"/>
          <w:tblLayout w:type="fixed"/>
          <w:tblLook w:val="04A0"/>
        </w:tblPrEx>
        <w:trPr>
          <w:trHeight w:val="1831"/>
        </w:trPr>
        <w:tc>
          <w:tcPr>
            <w:tcW w:w="2977" w:type="dxa"/>
            <w:tcBorders>
              <w:top w:val="nil"/>
              <w:left w:val="single" w:sz="4" w:space="0" w:color="auto"/>
              <w:bottom w:val="single" w:sz="4" w:space="0" w:color="auto"/>
              <w:right w:val="single" w:sz="4" w:space="0" w:color="auto"/>
            </w:tcBorders>
            <w:vAlign w:val="center"/>
            <w:hideMark/>
          </w:tcPr>
          <w:p w:rsidR="00B33F96" w14:paraId="714FAB1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камер, встановлених відповідно до «Інтегрованої системи відеоспостереження та </w:t>
            </w:r>
            <w:r>
              <w:rPr>
                <w:rFonts w:ascii="Times New Roman" w:eastAsia="Times New Roman" w:hAnsi="Times New Roman" w:cs="Times New Roman"/>
                <w:sz w:val="24"/>
                <w:szCs w:val="24"/>
              </w:rPr>
              <w:t>відеоаналітики</w:t>
            </w:r>
            <w:r>
              <w:rPr>
                <w:rFonts w:ascii="Times New Roman" w:eastAsia="Times New Roman" w:hAnsi="Times New Roman" w:cs="Times New Roman"/>
                <w:sz w:val="24"/>
                <w:szCs w:val="24"/>
              </w:rPr>
              <w:t xml:space="preserve"> «Безпечна громада» (шт.)</w:t>
            </w:r>
          </w:p>
        </w:tc>
        <w:tc>
          <w:tcPr>
            <w:tcW w:w="1134" w:type="dxa"/>
            <w:tcBorders>
              <w:top w:val="nil"/>
              <w:left w:val="nil"/>
              <w:bottom w:val="single" w:sz="4" w:space="0" w:color="auto"/>
              <w:right w:val="single" w:sz="4" w:space="0" w:color="auto"/>
            </w:tcBorders>
            <w:vAlign w:val="center"/>
            <w:hideMark/>
          </w:tcPr>
          <w:p w:rsidR="00B33F96" w14:paraId="1862DD9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18" w:type="dxa"/>
            <w:tcBorders>
              <w:top w:val="nil"/>
              <w:left w:val="nil"/>
              <w:bottom w:val="single" w:sz="4" w:space="0" w:color="auto"/>
              <w:right w:val="single" w:sz="4" w:space="0" w:color="auto"/>
            </w:tcBorders>
            <w:vAlign w:val="center"/>
            <w:hideMark/>
          </w:tcPr>
          <w:p w:rsidR="00B33F96" w14:paraId="23DB6357"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5" w:type="dxa"/>
            <w:tcBorders>
              <w:top w:val="nil"/>
              <w:left w:val="nil"/>
              <w:bottom w:val="single" w:sz="4" w:space="0" w:color="auto"/>
              <w:right w:val="single" w:sz="4" w:space="0" w:color="auto"/>
            </w:tcBorders>
            <w:vAlign w:val="center"/>
            <w:hideMark/>
          </w:tcPr>
          <w:p w:rsidR="00B33F96" w14:paraId="327EBBA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6" w:type="dxa"/>
            <w:tcBorders>
              <w:top w:val="nil"/>
              <w:left w:val="nil"/>
              <w:bottom w:val="single" w:sz="4" w:space="0" w:color="auto"/>
              <w:right w:val="single" w:sz="4" w:space="0" w:color="auto"/>
            </w:tcBorders>
            <w:vAlign w:val="center"/>
            <w:hideMark/>
          </w:tcPr>
          <w:p w:rsidR="00B33F96" w14:paraId="42F1AE3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6" w:type="dxa"/>
            <w:tcBorders>
              <w:top w:val="nil"/>
              <w:left w:val="nil"/>
              <w:bottom w:val="single" w:sz="4" w:space="0" w:color="auto"/>
              <w:right w:val="single" w:sz="4" w:space="0" w:color="auto"/>
            </w:tcBorders>
            <w:vAlign w:val="center"/>
            <w:hideMark/>
          </w:tcPr>
          <w:p w:rsidR="00B33F96" w14:paraId="4CB6395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50</w:t>
            </w:r>
          </w:p>
        </w:tc>
      </w:tr>
      <w:tr w14:paraId="48325BA4" w14:textId="77777777" w:rsidTr="00B33F96">
        <w:tblPrEx>
          <w:tblW w:w="9360" w:type="dxa"/>
          <w:tblInd w:w="108" w:type="dxa"/>
          <w:tblLayout w:type="fixed"/>
          <w:tblLook w:val="04A0"/>
        </w:tblPrEx>
        <w:trPr>
          <w:trHeight w:val="2682"/>
        </w:trPr>
        <w:tc>
          <w:tcPr>
            <w:tcW w:w="2977" w:type="dxa"/>
            <w:tcBorders>
              <w:top w:val="nil"/>
              <w:left w:val="single" w:sz="4" w:space="0" w:color="auto"/>
              <w:bottom w:val="single" w:sz="4" w:space="0" w:color="auto"/>
              <w:right w:val="single" w:sz="4" w:space="0" w:color="auto"/>
            </w:tcBorders>
            <w:vAlign w:val="center"/>
            <w:hideMark/>
          </w:tcPr>
          <w:p w:rsidR="00B33F96" w14:paraId="76CEBF1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Частка об’єктів критичної інфраструктури комунальної власності, яка забезпечена  альтернативними джерелами енергопостачання (генераторами, інверторами…) (%)</w:t>
            </w:r>
          </w:p>
        </w:tc>
        <w:tc>
          <w:tcPr>
            <w:tcW w:w="1134" w:type="dxa"/>
            <w:tcBorders>
              <w:top w:val="nil"/>
              <w:left w:val="nil"/>
              <w:bottom w:val="single" w:sz="4" w:space="0" w:color="auto"/>
              <w:right w:val="single" w:sz="4" w:space="0" w:color="auto"/>
            </w:tcBorders>
            <w:vAlign w:val="center"/>
            <w:hideMark/>
          </w:tcPr>
          <w:p w:rsidR="00B33F96" w14:paraId="74867DFE"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18" w:type="dxa"/>
            <w:tcBorders>
              <w:top w:val="nil"/>
              <w:left w:val="nil"/>
              <w:bottom w:val="single" w:sz="4" w:space="0" w:color="auto"/>
              <w:right w:val="single" w:sz="4" w:space="0" w:color="auto"/>
            </w:tcBorders>
            <w:vAlign w:val="center"/>
            <w:hideMark/>
          </w:tcPr>
          <w:p w:rsidR="00B33F96" w14:paraId="669C7DF8"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vAlign w:val="center"/>
            <w:hideMark/>
          </w:tcPr>
          <w:p w:rsidR="00B33F96" w14:paraId="1C99874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B33F96" w14:paraId="48E8B0F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B33F96" w14:paraId="21DA210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100</w:t>
            </w:r>
          </w:p>
        </w:tc>
      </w:tr>
      <w:tr w14:paraId="277D17E6" w14:textId="77777777" w:rsidTr="00B33F96">
        <w:tblPrEx>
          <w:tblW w:w="9360" w:type="dxa"/>
          <w:tblInd w:w="108" w:type="dxa"/>
          <w:tblLayout w:type="fixed"/>
          <w:tblLook w:val="04A0"/>
        </w:tblPrEx>
        <w:trPr>
          <w:trHeight w:val="990"/>
        </w:trPr>
        <w:tc>
          <w:tcPr>
            <w:tcW w:w="2977" w:type="dxa"/>
            <w:tcBorders>
              <w:top w:val="nil"/>
              <w:left w:val="single" w:sz="4" w:space="0" w:color="auto"/>
              <w:bottom w:val="single" w:sz="4" w:space="0" w:color="auto"/>
              <w:right w:val="single" w:sz="4" w:space="0" w:color="auto"/>
            </w:tcBorders>
            <w:vAlign w:val="center"/>
            <w:hideMark/>
          </w:tcPr>
          <w:p w:rsidR="00B33F96" w14:paraId="4EF288B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зон відпочинку: парків, скверів на території громади (од.)</w:t>
            </w:r>
          </w:p>
        </w:tc>
        <w:tc>
          <w:tcPr>
            <w:tcW w:w="1134" w:type="dxa"/>
            <w:tcBorders>
              <w:top w:val="nil"/>
              <w:left w:val="nil"/>
              <w:bottom w:val="single" w:sz="4" w:space="0" w:color="auto"/>
              <w:right w:val="single" w:sz="4" w:space="0" w:color="auto"/>
            </w:tcBorders>
            <w:vAlign w:val="center"/>
            <w:hideMark/>
          </w:tcPr>
          <w:p w:rsidR="00B33F96" w14:paraId="4973515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8" w:type="dxa"/>
            <w:tcBorders>
              <w:top w:val="nil"/>
              <w:left w:val="nil"/>
              <w:bottom w:val="single" w:sz="4" w:space="0" w:color="auto"/>
              <w:right w:val="single" w:sz="4" w:space="0" w:color="auto"/>
            </w:tcBorders>
            <w:vAlign w:val="center"/>
            <w:hideMark/>
          </w:tcPr>
          <w:p w:rsidR="00B33F96" w14:paraId="680411F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15</w:t>
            </w:r>
          </w:p>
        </w:tc>
        <w:tc>
          <w:tcPr>
            <w:tcW w:w="1275" w:type="dxa"/>
            <w:tcBorders>
              <w:top w:val="nil"/>
              <w:left w:val="nil"/>
              <w:bottom w:val="single" w:sz="4" w:space="0" w:color="auto"/>
              <w:right w:val="single" w:sz="4" w:space="0" w:color="auto"/>
            </w:tcBorders>
            <w:vAlign w:val="center"/>
            <w:hideMark/>
          </w:tcPr>
          <w:p w:rsidR="00B33F96" w14:paraId="7F31A2F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15</w:t>
            </w:r>
          </w:p>
        </w:tc>
        <w:tc>
          <w:tcPr>
            <w:tcW w:w="1276" w:type="dxa"/>
            <w:tcBorders>
              <w:top w:val="nil"/>
              <w:left w:val="nil"/>
              <w:bottom w:val="single" w:sz="4" w:space="0" w:color="auto"/>
              <w:right w:val="single" w:sz="4" w:space="0" w:color="auto"/>
            </w:tcBorders>
            <w:vAlign w:val="center"/>
            <w:hideMark/>
          </w:tcPr>
          <w:p w:rsidR="00B33F96" w14:paraId="2E44E79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15</w:t>
            </w:r>
          </w:p>
        </w:tc>
        <w:tc>
          <w:tcPr>
            <w:tcW w:w="1276" w:type="dxa"/>
            <w:tcBorders>
              <w:top w:val="nil"/>
              <w:left w:val="nil"/>
              <w:bottom w:val="single" w:sz="4" w:space="0" w:color="auto"/>
              <w:right w:val="single" w:sz="4" w:space="0" w:color="auto"/>
            </w:tcBorders>
            <w:vAlign w:val="center"/>
            <w:hideMark/>
          </w:tcPr>
          <w:p w:rsidR="00B33F96" w14:paraId="247494C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15</w:t>
            </w:r>
          </w:p>
        </w:tc>
      </w:tr>
      <w:tr w14:paraId="3D4A4175" w14:textId="77777777" w:rsidTr="00B33F96">
        <w:tblPrEx>
          <w:tblW w:w="9360" w:type="dxa"/>
          <w:tblInd w:w="108" w:type="dxa"/>
          <w:tblLayout w:type="fixed"/>
          <w:tblLook w:val="04A0"/>
        </w:tblPrEx>
        <w:trPr>
          <w:trHeight w:val="1402"/>
        </w:trPr>
        <w:tc>
          <w:tcPr>
            <w:tcW w:w="2977" w:type="dxa"/>
            <w:tcBorders>
              <w:top w:val="nil"/>
              <w:left w:val="single" w:sz="4" w:space="0" w:color="auto"/>
              <w:bottom w:val="single" w:sz="4" w:space="0" w:color="auto"/>
              <w:right w:val="single" w:sz="4" w:space="0" w:color="auto"/>
            </w:tcBorders>
            <w:vAlign w:val="center"/>
            <w:hideMark/>
          </w:tcPr>
          <w:p w:rsidR="00B33F96" w14:paraId="050A987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суб'єктів підприємницької діяльності,   всього (за даними ГУ ДФС у Київській області) (од.)</w:t>
            </w:r>
          </w:p>
        </w:tc>
        <w:tc>
          <w:tcPr>
            <w:tcW w:w="1134" w:type="dxa"/>
            <w:tcBorders>
              <w:top w:val="nil"/>
              <w:left w:val="nil"/>
              <w:bottom w:val="single" w:sz="4" w:space="0" w:color="auto"/>
              <w:right w:val="single" w:sz="4" w:space="0" w:color="auto"/>
            </w:tcBorders>
            <w:vAlign w:val="center"/>
            <w:hideMark/>
          </w:tcPr>
          <w:p w:rsidR="00B33F96" w14:paraId="0287D2C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18 640</w:t>
            </w:r>
          </w:p>
        </w:tc>
        <w:tc>
          <w:tcPr>
            <w:tcW w:w="1418" w:type="dxa"/>
            <w:tcBorders>
              <w:top w:val="nil"/>
              <w:left w:val="nil"/>
              <w:bottom w:val="single" w:sz="4" w:space="0" w:color="auto"/>
              <w:right w:val="single" w:sz="4" w:space="0" w:color="auto"/>
            </w:tcBorders>
            <w:vAlign w:val="center"/>
            <w:hideMark/>
          </w:tcPr>
          <w:p w:rsidR="00B33F96" w14:paraId="2FAD724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18 740</w:t>
            </w:r>
          </w:p>
        </w:tc>
        <w:tc>
          <w:tcPr>
            <w:tcW w:w="1275" w:type="dxa"/>
            <w:tcBorders>
              <w:top w:val="nil"/>
              <w:left w:val="nil"/>
              <w:bottom w:val="single" w:sz="4" w:space="0" w:color="auto"/>
              <w:right w:val="single" w:sz="4" w:space="0" w:color="auto"/>
            </w:tcBorders>
            <w:vAlign w:val="center"/>
            <w:hideMark/>
          </w:tcPr>
          <w:p w:rsidR="00B33F96" w14:paraId="2C052BA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18 820</w:t>
            </w:r>
          </w:p>
        </w:tc>
        <w:tc>
          <w:tcPr>
            <w:tcW w:w="1276" w:type="dxa"/>
            <w:tcBorders>
              <w:top w:val="nil"/>
              <w:left w:val="nil"/>
              <w:bottom w:val="single" w:sz="4" w:space="0" w:color="auto"/>
              <w:right w:val="single" w:sz="4" w:space="0" w:color="auto"/>
            </w:tcBorders>
            <w:vAlign w:val="center"/>
            <w:hideMark/>
          </w:tcPr>
          <w:p w:rsidR="00B33F96" w14:paraId="5D67FF0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19 020</w:t>
            </w:r>
          </w:p>
        </w:tc>
        <w:tc>
          <w:tcPr>
            <w:tcW w:w="1276" w:type="dxa"/>
            <w:tcBorders>
              <w:top w:val="nil"/>
              <w:left w:val="nil"/>
              <w:bottom w:val="single" w:sz="4" w:space="0" w:color="auto"/>
              <w:right w:val="single" w:sz="4" w:space="0" w:color="auto"/>
            </w:tcBorders>
            <w:vAlign w:val="center"/>
            <w:hideMark/>
          </w:tcPr>
          <w:p w:rsidR="00B33F96" w14:paraId="79AEADB0"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19 100</w:t>
            </w:r>
          </w:p>
        </w:tc>
      </w:tr>
      <w:tr w14:paraId="2A77D3C5" w14:textId="77777777" w:rsidTr="00B33F96">
        <w:tblPrEx>
          <w:tblW w:w="9360" w:type="dxa"/>
          <w:tblInd w:w="108" w:type="dxa"/>
          <w:tblLayout w:type="fixed"/>
          <w:tblLook w:val="04A0"/>
        </w:tblPrEx>
        <w:trPr>
          <w:trHeight w:val="1549"/>
        </w:trPr>
        <w:tc>
          <w:tcPr>
            <w:tcW w:w="2977" w:type="dxa"/>
            <w:tcBorders>
              <w:top w:val="nil"/>
              <w:left w:val="single" w:sz="4" w:space="0" w:color="auto"/>
              <w:bottom w:val="single" w:sz="4" w:space="0" w:color="auto"/>
              <w:right w:val="single" w:sz="4" w:space="0" w:color="auto"/>
            </w:tcBorders>
            <w:vAlign w:val="center"/>
            <w:hideMark/>
          </w:tcPr>
          <w:p w:rsidR="00B33F96" w14:paraId="64BDFD6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w:t>
            </w:r>
            <w:r>
              <w:rPr>
                <w:rFonts w:ascii="Times New Roman" w:eastAsia="Times New Roman" w:hAnsi="Times New Roman" w:cs="Times New Roman"/>
                <w:sz w:val="24"/>
                <w:szCs w:val="24"/>
              </w:rPr>
              <w:t>обꞌєктів</w:t>
            </w:r>
            <w:r>
              <w:rPr>
                <w:rFonts w:ascii="Times New Roman" w:eastAsia="Times New Roman" w:hAnsi="Times New Roman" w:cs="Times New Roman"/>
                <w:sz w:val="24"/>
                <w:szCs w:val="24"/>
              </w:rPr>
              <w:t xml:space="preserve"> інфраструктури для підтримки розвитку інфраструктури для бізнесу в громаді  (од.)</w:t>
            </w:r>
          </w:p>
        </w:tc>
        <w:tc>
          <w:tcPr>
            <w:tcW w:w="1134" w:type="dxa"/>
            <w:tcBorders>
              <w:top w:val="nil"/>
              <w:left w:val="nil"/>
              <w:bottom w:val="single" w:sz="4" w:space="0" w:color="auto"/>
              <w:right w:val="single" w:sz="4" w:space="0" w:color="auto"/>
            </w:tcBorders>
            <w:vAlign w:val="center"/>
            <w:hideMark/>
          </w:tcPr>
          <w:p w:rsidR="00B33F96" w14:paraId="67AEE800"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8" w:type="dxa"/>
            <w:tcBorders>
              <w:top w:val="nil"/>
              <w:left w:val="nil"/>
              <w:bottom w:val="single" w:sz="4" w:space="0" w:color="auto"/>
              <w:right w:val="single" w:sz="4" w:space="0" w:color="auto"/>
            </w:tcBorders>
            <w:vAlign w:val="center"/>
            <w:hideMark/>
          </w:tcPr>
          <w:p w:rsidR="00B33F96" w14:paraId="3C073FD0"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75" w:type="dxa"/>
            <w:tcBorders>
              <w:top w:val="nil"/>
              <w:left w:val="nil"/>
              <w:bottom w:val="single" w:sz="4" w:space="0" w:color="auto"/>
              <w:right w:val="single" w:sz="4" w:space="0" w:color="auto"/>
            </w:tcBorders>
            <w:vAlign w:val="center"/>
            <w:hideMark/>
          </w:tcPr>
          <w:p w:rsidR="00B33F96" w14:paraId="7D27D30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76" w:type="dxa"/>
            <w:tcBorders>
              <w:top w:val="nil"/>
              <w:left w:val="nil"/>
              <w:bottom w:val="single" w:sz="4" w:space="0" w:color="auto"/>
              <w:right w:val="single" w:sz="4" w:space="0" w:color="auto"/>
            </w:tcBorders>
            <w:vAlign w:val="center"/>
            <w:hideMark/>
          </w:tcPr>
          <w:p w:rsidR="00B33F96" w14:paraId="7BD84DF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76" w:type="dxa"/>
            <w:tcBorders>
              <w:top w:val="nil"/>
              <w:left w:val="nil"/>
              <w:bottom w:val="single" w:sz="4" w:space="0" w:color="auto"/>
              <w:right w:val="single" w:sz="4" w:space="0" w:color="auto"/>
            </w:tcBorders>
            <w:vAlign w:val="center"/>
            <w:hideMark/>
          </w:tcPr>
          <w:p w:rsidR="00B33F96" w14:paraId="34332DF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18</w:t>
            </w:r>
          </w:p>
        </w:tc>
      </w:tr>
      <w:tr w14:paraId="7105DE0D" w14:textId="77777777" w:rsidTr="00B33F96">
        <w:tblPrEx>
          <w:tblW w:w="9360" w:type="dxa"/>
          <w:tblInd w:w="108" w:type="dxa"/>
          <w:tblLayout w:type="fixed"/>
          <w:tblLook w:val="04A0"/>
        </w:tblPrEx>
        <w:trPr>
          <w:trHeight w:val="990"/>
        </w:trPr>
        <w:tc>
          <w:tcPr>
            <w:tcW w:w="2977" w:type="dxa"/>
            <w:tcBorders>
              <w:top w:val="nil"/>
              <w:left w:val="single" w:sz="4" w:space="0" w:color="auto"/>
              <w:bottom w:val="single" w:sz="4" w:space="0" w:color="auto"/>
              <w:right w:val="single" w:sz="4" w:space="0" w:color="auto"/>
            </w:tcBorders>
            <w:vAlign w:val="center"/>
            <w:hideMark/>
          </w:tcPr>
          <w:p w:rsidR="00B33F96" w14:paraId="5204016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проведених навчальних заходів для СПД в громаді (од.)</w:t>
            </w:r>
          </w:p>
        </w:tc>
        <w:tc>
          <w:tcPr>
            <w:tcW w:w="1134" w:type="dxa"/>
            <w:tcBorders>
              <w:top w:val="nil"/>
              <w:left w:val="nil"/>
              <w:bottom w:val="single" w:sz="4" w:space="0" w:color="auto"/>
              <w:right w:val="single" w:sz="4" w:space="0" w:color="auto"/>
            </w:tcBorders>
            <w:vAlign w:val="center"/>
            <w:hideMark/>
          </w:tcPr>
          <w:p w:rsidR="00B33F96" w14:paraId="7EB5FE1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18" w:type="dxa"/>
            <w:tcBorders>
              <w:top w:val="nil"/>
              <w:left w:val="nil"/>
              <w:bottom w:val="single" w:sz="4" w:space="0" w:color="auto"/>
              <w:right w:val="single" w:sz="4" w:space="0" w:color="auto"/>
            </w:tcBorders>
            <w:vAlign w:val="center"/>
            <w:hideMark/>
          </w:tcPr>
          <w:p w:rsidR="00B33F96" w14:paraId="26E2A5D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75" w:type="dxa"/>
            <w:tcBorders>
              <w:top w:val="nil"/>
              <w:left w:val="nil"/>
              <w:bottom w:val="single" w:sz="4" w:space="0" w:color="auto"/>
              <w:right w:val="single" w:sz="4" w:space="0" w:color="auto"/>
            </w:tcBorders>
            <w:vAlign w:val="center"/>
            <w:hideMark/>
          </w:tcPr>
          <w:p w:rsidR="00B33F96" w14:paraId="60019E0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276" w:type="dxa"/>
            <w:tcBorders>
              <w:top w:val="nil"/>
              <w:left w:val="nil"/>
              <w:bottom w:val="single" w:sz="4" w:space="0" w:color="auto"/>
              <w:right w:val="single" w:sz="4" w:space="0" w:color="auto"/>
            </w:tcBorders>
            <w:vAlign w:val="center"/>
            <w:hideMark/>
          </w:tcPr>
          <w:p w:rsidR="00B33F96" w14:paraId="391903E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76" w:type="dxa"/>
            <w:tcBorders>
              <w:top w:val="nil"/>
              <w:left w:val="nil"/>
              <w:bottom w:val="single" w:sz="4" w:space="0" w:color="auto"/>
              <w:right w:val="single" w:sz="4" w:space="0" w:color="auto"/>
            </w:tcBorders>
            <w:vAlign w:val="center"/>
            <w:hideMark/>
          </w:tcPr>
          <w:p w:rsidR="00B33F96" w14:paraId="0FB6C08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45</w:t>
            </w:r>
          </w:p>
        </w:tc>
      </w:tr>
      <w:tr w14:paraId="2067959B" w14:textId="77777777" w:rsidTr="00B33F96">
        <w:tblPrEx>
          <w:tblW w:w="9360" w:type="dxa"/>
          <w:tblInd w:w="108" w:type="dxa"/>
          <w:tblLayout w:type="fixed"/>
          <w:tblLook w:val="04A0"/>
        </w:tblPrEx>
        <w:trPr>
          <w:trHeight w:val="848"/>
        </w:trPr>
        <w:tc>
          <w:tcPr>
            <w:tcW w:w="2977" w:type="dxa"/>
            <w:tcBorders>
              <w:top w:val="nil"/>
              <w:left w:val="single" w:sz="4" w:space="0" w:color="auto"/>
              <w:bottom w:val="single" w:sz="4" w:space="0" w:color="auto"/>
              <w:right w:val="single" w:sz="4" w:space="0" w:color="auto"/>
            </w:tcBorders>
            <w:vAlign w:val="center"/>
            <w:hideMark/>
          </w:tcPr>
          <w:p w:rsidR="00B33F96" w14:paraId="09248A1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індустріального парку в громаді (од.)</w:t>
            </w:r>
          </w:p>
        </w:tc>
        <w:tc>
          <w:tcPr>
            <w:tcW w:w="1134" w:type="dxa"/>
            <w:tcBorders>
              <w:top w:val="nil"/>
              <w:left w:val="nil"/>
              <w:bottom w:val="single" w:sz="4" w:space="0" w:color="auto"/>
              <w:right w:val="single" w:sz="4" w:space="0" w:color="auto"/>
            </w:tcBorders>
            <w:vAlign w:val="center"/>
            <w:hideMark/>
          </w:tcPr>
          <w:p w:rsidR="00B33F96" w14:paraId="59D2677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8" w:type="dxa"/>
            <w:tcBorders>
              <w:top w:val="nil"/>
              <w:left w:val="nil"/>
              <w:bottom w:val="single" w:sz="4" w:space="0" w:color="auto"/>
              <w:right w:val="single" w:sz="4" w:space="0" w:color="auto"/>
            </w:tcBorders>
            <w:vAlign w:val="center"/>
            <w:hideMark/>
          </w:tcPr>
          <w:p w:rsidR="00B33F96" w14:paraId="77D7917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nil"/>
              <w:left w:val="nil"/>
              <w:bottom w:val="single" w:sz="4" w:space="0" w:color="auto"/>
              <w:right w:val="single" w:sz="4" w:space="0" w:color="auto"/>
            </w:tcBorders>
            <w:vAlign w:val="center"/>
            <w:hideMark/>
          </w:tcPr>
          <w:p w:rsidR="00B33F96" w14:paraId="23F4C1F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vAlign w:val="center"/>
            <w:hideMark/>
          </w:tcPr>
          <w:p w:rsidR="00B33F96" w14:paraId="7FC24066"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nil"/>
              <w:left w:val="nil"/>
              <w:bottom w:val="single" w:sz="4" w:space="0" w:color="auto"/>
              <w:right w:val="single" w:sz="4" w:space="0" w:color="auto"/>
            </w:tcBorders>
            <w:vAlign w:val="center"/>
            <w:hideMark/>
          </w:tcPr>
          <w:p w:rsidR="00B33F96" w14:paraId="5A2D8C2E"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p>
        </w:tc>
      </w:tr>
      <w:tr w14:paraId="7C96C90B" w14:textId="77777777" w:rsidTr="00B33F96">
        <w:tblPrEx>
          <w:tblW w:w="9360" w:type="dxa"/>
          <w:tblInd w:w="108" w:type="dxa"/>
          <w:tblLayout w:type="fixed"/>
          <w:tblLook w:val="04A0"/>
        </w:tblPrEx>
        <w:trPr>
          <w:trHeight w:val="974"/>
        </w:trPr>
        <w:tc>
          <w:tcPr>
            <w:tcW w:w="2977" w:type="dxa"/>
            <w:tcBorders>
              <w:top w:val="nil"/>
              <w:left w:val="single" w:sz="4" w:space="0" w:color="auto"/>
              <w:bottom w:val="single" w:sz="4" w:space="0" w:color="auto"/>
              <w:right w:val="single" w:sz="4" w:space="0" w:color="auto"/>
            </w:tcBorders>
            <w:vAlign w:val="center"/>
            <w:hideMark/>
          </w:tcPr>
          <w:p w:rsidR="00B33F96" w14:paraId="40E32D6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реалізованих бізнесом інвестиційних </w:t>
            </w:r>
            <w:r>
              <w:rPr>
                <w:rFonts w:ascii="Times New Roman" w:eastAsia="Times New Roman" w:hAnsi="Times New Roman" w:cs="Times New Roman"/>
                <w:sz w:val="24"/>
                <w:szCs w:val="24"/>
              </w:rPr>
              <w:t>проєктів</w:t>
            </w:r>
            <w:r>
              <w:rPr>
                <w:rFonts w:ascii="Times New Roman" w:eastAsia="Times New Roman" w:hAnsi="Times New Roman" w:cs="Times New Roman"/>
                <w:sz w:val="24"/>
                <w:szCs w:val="24"/>
              </w:rPr>
              <w:t xml:space="preserve"> в громаді (од.)</w:t>
            </w:r>
          </w:p>
        </w:tc>
        <w:tc>
          <w:tcPr>
            <w:tcW w:w="1134" w:type="dxa"/>
            <w:tcBorders>
              <w:top w:val="nil"/>
              <w:left w:val="nil"/>
              <w:bottom w:val="single" w:sz="4" w:space="0" w:color="auto"/>
              <w:right w:val="single" w:sz="4" w:space="0" w:color="auto"/>
            </w:tcBorders>
            <w:vAlign w:val="center"/>
            <w:hideMark/>
          </w:tcPr>
          <w:p w:rsidR="00B33F96" w14:paraId="6652B1C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18" w:type="dxa"/>
            <w:tcBorders>
              <w:top w:val="nil"/>
              <w:left w:val="nil"/>
              <w:bottom w:val="single" w:sz="4" w:space="0" w:color="auto"/>
              <w:right w:val="single" w:sz="4" w:space="0" w:color="auto"/>
            </w:tcBorders>
            <w:vAlign w:val="center"/>
            <w:hideMark/>
          </w:tcPr>
          <w:p w:rsidR="00B33F96" w14:paraId="0D7BBAFA"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5" w:type="dxa"/>
            <w:tcBorders>
              <w:top w:val="nil"/>
              <w:left w:val="nil"/>
              <w:bottom w:val="single" w:sz="4" w:space="0" w:color="auto"/>
              <w:right w:val="single" w:sz="4" w:space="0" w:color="auto"/>
            </w:tcBorders>
            <w:vAlign w:val="center"/>
            <w:hideMark/>
          </w:tcPr>
          <w:p w:rsidR="00B33F96" w14:paraId="5EC0B07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76" w:type="dxa"/>
            <w:tcBorders>
              <w:top w:val="nil"/>
              <w:left w:val="nil"/>
              <w:bottom w:val="single" w:sz="4" w:space="0" w:color="auto"/>
              <w:right w:val="single" w:sz="4" w:space="0" w:color="auto"/>
            </w:tcBorders>
            <w:vAlign w:val="center"/>
            <w:hideMark/>
          </w:tcPr>
          <w:p w:rsidR="00B33F96" w14:paraId="213E55B8"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76" w:type="dxa"/>
            <w:tcBorders>
              <w:top w:val="nil"/>
              <w:left w:val="nil"/>
              <w:bottom w:val="single" w:sz="4" w:space="0" w:color="auto"/>
              <w:right w:val="single" w:sz="4" w:space="0" w:color="auto"/>
            </w:tcBorders>
            <w:vAlign w:val="center"/>
            <w:hideMark/>
          </w:tcPr>
          <w:p w:rsidR="00B33F96" w14:paraId="6F6B25D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16</w:t>
            </w:r>
          </w:p>
        </w:tc>
      </w:tr>
      <w:tr w14:paraId="528867D6" w14:textId="77777777" w:rsidTr="00B33F96">
        <w:tblPrEx>
          <w:tblW w:w="9360" w:type="dxa"/>
          <w:tblInd w:w="108" w:type="dxa"/>
          <w:tblLayout w:type="fixed"/>
          <w:tblLook w:val="04A0"/>
        </w:tblPrEx>
        <w:trPr>
          <w:trHeight w:val="1555"/>
        </w:trPr>
        <w:tc>
          <w:tcPr>
            <w:tcW w:w="2977" w:type="dxa"/>
            <w:tcBorders>
              <w:top w:val="nil"/>
              <w:left w:val="single" w:sz="4" w:space="0" w:color="auto"/>
              <w:bottom w:val="single" w:sz="4" w:space="0" w:color="auto"/>
              <w:right w:val="single" w:sz="4" w:space="0" w:color="auto"/>
            </w:tcBorders>
            <w:vAlign w:val="center"/>
            <w:hideMark/>
          </w:tcPr>
          <w:p w:rsidR="00B33F96" w14:paraId="3FABB07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отриманих грантів </w:t>
            </w:r>
            <w:r>
              <w:rPr>
                <w:rFonts w:ascii="Times New Roman" w:eastAsia="Times New Roman" w:hAnsi="Times New Roman" w:cs="Times New Roman"/>
                <w:sz w:val="24"/>
                <w:szCs w:val="24"/>
              </w:rPr>
              <w:t>субꞌєктами</w:t>
            </w:r>
            <w:r>
              <w:rPr>
                <w:rFonts w:ascii="Times New Roman" w:eastAsia="Times New Roman" w:hAnsi="Times New Roman" w:cs="Times New Roman"/>
                <w:sz w:val="24"/>
                <w:szCs w:val="24"/>
              </w:rPr>
              <w:t xml:space="preserve"> підприємницької діяльності в межах діючих державних програм (од.)</w:t>
            </w:r>
          </w:p>
        </w:tc>
        <w:tc>
          <w:tcPr>
            <w:tcW w:w="1134" w:type="dxa"/>
            <w:tcBorders>
              <w:top w:val="nil"/>
              <w:left w:val="nil"/>
              <w:bottom w:val="single" w:sz="4" w:space="0" w:color="auto"/>
              <w:right w:val="single" w:sz="4" w:space="0" w:color="auto"/>
            </w:tcBorders>
            <w:vAlign w:val="center"/>
            <w:hideMark/>
          </w:tcPr>
          <w:p w:rsidR="00B33F96" w14:paraId="389CCC3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18" w:type="dxa"/>
            <w:tcBorders>
              <w:top w:val="nil"/>
              <w:left w:val="nil"/>
              <w:bottom w:val="single" w:sz="4" w:space="0" w:color="auto"/>
              <w:right w:val="single" w:sz="4" w:space="0" w:color="auto"/>
            </w:tcBorders>
            <w:vAlign w:val="center"/>
            <w:hideMark/>
          </w:tcPr>
          <w:p w:rsidR="00B33F96" w14:paraId="7253732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5" w:type="dxa"/>
            <w:tcBorders>
              <w:top w:val="nil"/>
              <w:left w:val="nil"/>
              <w:bottom w:val="single" w:sz="4" w:space="0" w:color="auto"/>
              <w:right w:val="single" w:sz="4" w:space="0" w:color="auto"/>
            </w:tcBorders>
            <w:vAlign w:val="center"/>
            <w:hideMark/>
          </w:tcPr>
          <w:p w:rsidR="00B33F96" w14:paraId="0674C3A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76" w:type="dxa"/>
            <w:tcBorders>
              <w:top w:val="nil"/>
              <w:left w:val="nil"/>
              <w:bottom w:val="single" w:sz="4" w:space="0" w:color="auto"/>
              <w:right w:val="single" w:sz="4" w:space="0" w:color="auto"/>
            </w:tcBorders>
            <w:vAlign w:val="center"/>
            <w:hideMark/>
          </w:tcPr>
          <w:p w:rsidR="00B33F96" w14:paraId="4883CC7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76" w:type="dxa"/>
            <w:tcBorders>
              <w:top w:val="nil"/>
              <w:left w:val="nil"/>
              <w:bottom w:val="single" w:sz="4" w:space="0" w:color="auto"/>
              <w:right w:val="single" w:sz="4" w:space="0" w:color="auto"/>
            </w:tcBorders>
            <w:vAlign w:val="center"/>
            <w:hideMark/>
          </w:tcPr>
          <w:p w:rsidR="00B33F96" w14:paraId="0346E9EA"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55</w:t>
            </w:r>
          </w:p>
        </w:tc>
      </w:tr>
      <w:tr w14:paraId="35FD04F0" w14:textId="77777777" w:rsidTr="00B33F96">
        <w:tblPrEx>
          <w:tblW w:w="9360" w:type="dxa"/>
          <w:tblInd w:w="108" w:type="dxa"/>
          <w:tblLayout w:type="fixed"/>
          <w:tblLook w:val="04A0"/>
        </w:tblPrEx>
        <w:trPr>
          <w:trHeight w:val="968"/>
        </w:trPr>
        <w:tc>
          <w:tcPr>
            <w:tcW w:w="2977" w:type="dxa"/>
            <w:tcBorders>
              <w:top w:val="nil"/>
              <w:left w:val="single" w:sz="4" w:space="0" w:color="auto"/>
              <w:bottom w:val="single" w:sz="4" w:space="0" w:color="auto"/>
              <w:right w:val="single" w:sz="4" w:space="0" w:color="auto"/>
            </w:tcBorders>
            <w:vAlign w:val="center"/>
            <w:hideMark/>
          </w:tcPr>
          <w:p w:rsidR="00B33F96" w14:paraId="56044E9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видів послуг, які фактично можна отримати в ЦНАП (од.)</w:t>
            </w:r>
          </w:p>
        </w:tc>
        <w:tc>
          <w:tcPr>
            <w:tcW w:w="1134" w:type="dxa"/>
            <w:tcBorders>
              <w:top w:val="nil"/>
              <w:left w:val="nil"/>
              <w:bottom w:val="single" w:sz="4" w:space="0" w:color="auto"/>
              <w:right w:val="single" w:sz="4" w:space="0" w:color="auto"/>
            </w:tcBorders>
            <w:vAlign w:val="center"/>
            <w:hideMark/>
          </w:tcPr>
          <w:p w:rsidR="00B33F96" w14:paraId="7E46E8A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288</w:t>
            </w:r>
          </w:p>
        </w:tc>
        <w:tc>
          <w:tcPr>
            <w:tcW w:w="1418" w:type="dxa"/>
            <w:tcBorders>
              <w:top w:val="nil"/>
              <w:left w:val="nil"/>
              <w:bottom w:val="single" w:sz="4" w:space="0" w:color="auto"/>
              <w:right w:val="single" w:sz="4" w:space="0" w:color="auto"/>
            </w:tcBorders>
            <w:vAlign w:val="center"/>
            <w:hideMark/>
          </w:tcPr>
          <w:p w:rsidR="00B33F96" w14:paraId="0157BED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337</w:t>
            </w:r>
          </w:p>
        </w:tc>
        <w:tc>
          <w:tcPr>
            <w:tcW w:w="1275" w:type="dxa"/>
            <w:tcBorders>
              <w:top w:val="nil"/>
              <w:left w:val="nil"/>
              <w:bottom w:val="single" w:sz="4" w:space="0" w:color="auto"/>
              <w:right w:val="single" w:sz="4" w:space="0" w:color="auto"/>
            </w:tcBorders>
            <w:vAlign w:val="center"/>
            <w:hideMark/>
          </w:tcPr>
          <w:p w:rsidR="00B33F96" w14:paraId="1E41CB5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337</w:t>
            </w:r>
          </w:p>
        </w:tc>
        <w:tc>
          <w:tcPr>
            <w:tcW w:w="1276" w:type="dxa"/>
            <w:tcBorders>
              <w:top w:val="nil"/>
              <w:left w:val="nil"/>
              <w:bottom w:val="single" w:sz="4" w:space="0" w:color="auto"/>
              <w:right w:val="single" w:sz="4" w:space="0" w:color="auto"/>
            </w:tcBorders>
            <w:vAlign w:val="center"/>
            <w:hideMark/>
          </w:tcPr>
          <w:p w:rsidR="00B33F96" w14:paraId="5D21FAF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337</w:t>
            </w:r>
          </w:p>
        </w:tc>
        <w:tc>
          <w:tcPr>
            <w:tcW w:w="1276" w:type="dxa"/>
            <w:tcBorders>
              <w:top w:val="nil"/>
              <w:left w:val="nil"/>
              <w:bottom w:val="single" w:sz="4" w:space="0" w:color="auto"/>
              <w:right w:val="single" w:sz="4" w:space="0" w:color="auto"/>
            </w:tcBorders>
            <w:vAlign w:val="center"/>
            <w:hideMark/>
          </w:tcPr>
          <w:p w:rsidR="00B33F96" w14:paraId="7BA64DA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337</w:t>
            </w:r>
          </w:p>
        </w:tc>
      </w:tr>
      <w:tr w14:paraId="5C2ACC39" w14:textId="77777777" w:rsidTr="00B33F96">
        <w:tblPrEx>
          <w:tblW w:w="9360" w:type="dxa"/>
          <w:tblInd w:w="108" w:type="dxa"/>
          <w:tblLayout w:type="fixed"/>
          <w:tblLook w:val="04A0"/>
        </w:tblPrEx>
        <w:trPr>
          <w:trHeight w:val="698"/>
        </w:trPr>
        <w:tc>
          <w:tcPr>
            <w:tcW w:w="2977" w:type="dxa"/>
            <w:tcBorders>
              <w:top w:val="nil"/>
              <w:left w:val="single" w:sz="4" w:space="0" w:color="auto"/>
              <w:bottom w:val="single" w:sz="4" w:space="0" w:color="auto"/>
              <w:right w:val="single" w:sz="4" w:space="0" w:color="auto"/>
            </w:tcBorders>
            <w:vAlign w:val="center"/>
            <w:hideMark/>
          </w:tcPr>
          <w:p w:rsidR="00B33F96" w14:paraId="46B330C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тому числі електронних послуг (од.)</w:t>
            </w:r>
          </w:p>
        </w:tc>
        <w:tc>
          <w:tcPr>
            <w:tcW w:w="1134" w:type="dxa"/>
            <w:tcBorders>
              <w:top w:val="nil"/>
              <w:left w:val="nil"/>
              <w:bottom w:val="single" w:sz="4" w:space="0" w:color="auto"/>
              <w:right w:val="single" w:sz="4" w:space="0" w:color="auto"/>
            </w:tcBorders>
            <w:vAlign w:val="center"/>
            <w:hideMark/>
          </w:tcPr>
          <w:p w:rsidR="00B33F96" w14:paraId="6363D22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43</w:t>
            </w:r>
          </w:p>
        </w:tc>
        <w:tc>
          <w:tcPr>
            <w:tcW w:w="1418" w:type="dxa"/>
            <w:tcBorders>
              <w:top w:val="nil"/>
              <w:left w:val="nil"/>
              <w:bottom w:val="single" w:sz="4" w:space="0" w:color="auto"/>
              <w:right w:val="single" w:sz="4" w:space="0" w:color="auto"/>
            </w:tcBorders>
            <w:vAlign w:val="center"/>
            <w:hideMark/>
          </w:tcPr>
          <w:p w:rsidR="00B33F96" w14:paraId="07813BE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42</w:t>
            </w:r>
          </w:p>
        </w:tc>
        <w:tc>
          <w:tcPr>
            <w:tcW w:w="1275" w:type="dxa"/>
            <w:tcBorders>
              <w:top w:val="nil"/>
              <w:left w:val="nil"/>
              <w:bottom w:val="single" w:sz="4" w:space="0" w:color="auto"/>
              <w:right w:val="single" w:sz="4" w:space="0" w:color="auto"/>
            </w:tcBorders>
            <w:vAlign w:val="center"/>
            <w:hideMark/>
          </w:tcPr>
          <w:p w:rsidR="00B33F96" w14:paraId="03E375FE"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42</w:t>
            </w:r>
          </w:p>
        </w:tc>
        <w:tc>
          <w:tcPr>
            <w:tcW w:w="1276" w:type="dxa"/>
            <w:tcBorders>
              <w:top w:val="nil"/>
              <w:left w:val="nil"/>
              <w:bottom w:val="single" w:sz="4" w:space="0" w:color="auto"/>
              <w:right w:val="single" w:sz="4" w:space="0" w:color="auto"/>
            </w:tcBorders>
            <w:vAlign w:val="center"/>
            <w:hideMark/>
          </w:tcPr>
          <w:p w:rsidR="00B33F96" w14:paraId="483254C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42</w:t>
            </w:r>
          </w:p>
        </w:tc>
        <w:tc>
          <w:tcPr>
            <w:tcW w:w="1276" w:type="dxa"/>
            <w:tcBorders>
              <w:top w:val="nil"/>
              <w:left w:val="nil"/>
              <w:bottom w:val="single" w:sz="4" w:space="0" w:color="auto"/>
              <w:right w:val="single" w:sz="4" w:space="0" w:color="auto"/>
            </w:tcBorders>
            <w:vAlign w:val="center"/>
            <w:hideMark/>
          </w:tcPr>
          <w:p w:rsidR="00B33F96" w14:paraId="4DEB6FB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42</w:t>
            </w:r>
          </w:p>
        </w:tc>
      </w:tr>
    </w:tbl>
    <w:p w:rsidR="00B33F96" w:rsidP="00B33F96" w14:paraId="70E99EBD" w14:textId="77777777">
      <w:pPr>
        <w:spacing w:after="0" w:line="240" w:lineRule="auto"/>
        <w:rPr>
          <w:rFonts w:ascii="Times New Roman" w:eastAsia="Times New Roman" w:hAnsi="Times New Roman" w:cs="Times New Roman"/>
          <w:sz w:val="24"/>
          <w:szCs w:val="24"/>
        </w:rPr>
      </w:pPr>
    </w:p>
    <w:p w:rsidR="00B33F96" w:rsidP="00B33F96" w14:paraId="4D7BB86A" w14:textId="77777777">
      <w:pPr>
        <w:spacing w:after="0" w:line="240" w:lineRule="auto"/>
        <w:rPr>
          <w:rFonts w:ascii="Times New Roman" w:eastAsia="Times New Roman" w:hAnsi="Times New Roman" w:cs="Times New Roman"/>
          <w:sz w:val="24"/>
          <w:szCs w:val="24"/>
        </w:rPr>
      </w:pPr>
    </w:p>
    <w:p w:rsidR="00B33F96" w:rsidP="00B33F96" w14:paraId="1E5E88CF" w14:textId="77777777">
      <w:pPr>
        <w:spacing w:after="0" w:line="240" w:lineRule="auto"/>
        <w:rPr>
          <w:rFonts w:ascii="Times New Roman" w:eastAsia="Times New Roman" w:hAnsi="Times New Roman" w:cs="Times New Roman"/>
          <w:sz w:val="24"/>
          <w:szCs w:val="24"/>
        </w:rPr>
      </w:pPr>
    </w:p>
    <w:p w:rsidR="00B33F96" w:rsidP="00B33F96" w14:paraId="2BB33FEC" w14:textId="77777777">
      <w:pPr>
        <w:spacing w:after="0" w:line="240" w:lineRule="auto"/>
        <w:rPr>
          <w:rFonts w:ascii="Times New Roman" w:eastAsia="Times New Roman" w:hAnsi="Times New Roman" w:cs="Times New Roman"/>
          <w:sz w:val="24"/>
          <w:szCs w:val="24"/>
        </w:rPr>
      </w:pPr>
    </w:p>
    <w:p w:rsidR="00B33F96" w:rsidP="00B33F96" w14:paraId="16A80898" w14:textId="77777777">
      <w:pPr>
        <w:spacing w:after="0" w:line="240" w:lineRule="auto"/>
        <w:rPr>
          <w:rFonts w:ascii="Times New Roman" w:eastAsia="Times New Roman" w:hAnsi="Times New Roman" w:cs="Times New Roman"/>
          <w:sz w:val="24"/>
          <w:szCs w:val="24"/>
        </w:rPr>
      </w:pPr>
    </w:p>
    <w:p w:rsidR="00B33F96" w:rsidP="00B33F96" w14:paraId="475E6A1D" w14:textId="77777777">
      <w:pPr>
        <w:spacing w:after="0" w:line="240" w:lineRule="auto"/>
        <w:ind w:left="72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ІІІ. Загальні показники бюджету</w:t>
      </w:r>
    </w:p>
    <w:p w:rsidR="00B33F96" w:rsidP="00B33F96" w14:paraId="0C19AB89" w14:textId="77777777">
      <w:pPr>
        <w:spacing w:after="0" w:line="240" w:lineRule="auto"/>
        <w:ind w:left="720"/>
        <w:jc w:val="center"/>
        <w:rPr>
          <w:rFonts w:ascii="Times New Roman" w:eastAsia="Calibri" w:hAnsi="Times New Roman" w:cs="Times New Roman"/>
          <w:b/>
          <w:sz w:val="28"/>
          <w:szCs w:val="28"/>
          <w:lang w:eastAsia="en-US"/>
        </w:rPr>
      </w:pPr>
    </w:p>
    <w:p w:rsidR="00B33F96" w:rsidP="00B33F96" w14:paraId="4FD667CF"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sz w:val="28"/>
          <w:szCs w:val="28"/>
          <w:lang w:eastAsia="en-US"/>
        </w:rPr>
        <w:t xml:space="preserve">Прогноз включає показники бюджету Броварської міської територіальної громади за основними видами доходів, видатків, кредитування та фінансування, взаємовідносинами бюджету територіальної громади з бюджетами інших рівнів, </w:t>
      </w:r>
      <w:r>
        <w:rPr>
          <w:rFonts w:ascii="Times New Roman" w:eastAsia="Calibri" w:hAnsi="Times New Roman" w:cs="Times New Roman"/>
          <w:color w:val="000000"/>
          <w:sz w:val="28"/>
          <w:szCs w:val="28"/>
          <w:lang w:eastAsia="en-US"/>
        </w:rPr>
        <w:t xml:space="preserve">згідно з додатком 1. </w:t>
      </w:r>
    </w:p>
    <w:p w:rsidR="00B33F96" w:rsidP="00B33F96" w14:paraId="6F593D26"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При розрахунку показників бюджету Броварської міської територіальної громади на 2026-2028 роки враховано </w:t>
      </w:r>
      <w:r>
        <w:rPr>
          <w:rFonts w:ascii="Times New Roman" w:eastAsia="Calibri" w:hAnsi="Times New Roman" w:cs="Times New Roman"/>
          <w:sz w:val="28"/>
          <w:szCs w:val="28"/>
          <w:lang w:eastAsia="en-US"/>
        </w:rPr>
        <w:t xml:space="preserve">прогнозні показники економічного і соціального розвитку громади, підвищення розміру мінімальної заробітної плати, динаміку надходжень за 2022 - 2024 роки та очікуване виконання за 2025 рік, </w:t>
      </w:r>
      <w:r>
        <w:rPr>
          <w:rFonts w:ascii="Times New Roman" w:eastAsia="Calibri" w:hAnsi="Times New Roman" w:cs="Times New Roman"/>
          <w:color w:val="000000"/>
          <w:sz w:val="28"/>
          <w:szCs w:val="28"/>
          <w:lang w:eastAsia="en-US"/>
        </w:rPr>
        <w:t>норми положень Бюджетного кодексу України та Податкового кодексу України та застосування чинних ставок оподаткування.</w:t>
      </w:r>
    </w:p>
    <w:p w:rsidR="00B33F96" w:rsidP="00B33F96" w14:paraId="4D8BC98C" w14:textId="77777777">
      <w:pPr>
        <w:widowControl w:val="0"/>
        <w:snapToGrid w:val="0"/>
        <w:spacing w:after="0" w:line="240" w:lineRule="auto"/>
        <w:ind w:left="714"/>
        <w:jc w:val="both"/>
        <w:rPr>
          <w:rFonts w:ascii="Times New Roman" w:eastAsia="Times New Roman" w:hAnsi="Times New Roman" w:cs="Times New Roman"/>
          <w:color w:val="000000"/>
          <w:sz w:val="16"/>
          <w:szCs w:val="16"/>
          <w:lang w:eastAsia="ru-RU"/>
        </w:rPr>
      </w:pPr>
    </w:p>
    <w:p w:rsidR="00B33F96" w:rsidP="00B33F96" w14:paraId="06BFEB89"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Макроекономічні показники економічного і соціального розвитку, визначені з урахуваннями постанови Кабінету Міністрів України від 27 червня 2025 № 774 «Про схвалення Бюджетної декларації на 2026–2028 роки»:</w:t>
      </w:r>
    </w:p>
    <w:p w:rsidR="00B33F96" w:rsidP="00B33F96" w14:paraId="0BBB9AEC"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зростання валового внутрішнього продукту у 2026 році – 4,5 відсотка, у 2027 році – 5,0 відсотків, у 2028 році - 5,7 відсотків;</w:t>
      </w:r>
    </w:p>
    <w:p w:rsidR="00B33F96" w:rsidP="00B33F96" w14:paraId="37331365"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індекс споживчих цін (грудень до грудня попереднього року) становитиме 108,6 відсотків у 2026 році, 105,9 відсотків у 2027 році, 105,3 відсотків у 2028 році; </w:t>
      </w:r>
    </w:p>
    <w:p w:rsidR="00B33F96" w:rsidP="00B33F96" w14:paraId="3D7BE45B"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індекс цін виробників (грудень до грудня попереднього року) у 2026 році 111,3 відсотків, у 2027 році – 109,4 відсотків; у 2028 році 107,9 відсотків.</w:t>
      </w:r>
    </w:p>
    <w:p w:rsidR="00B33F96" w:rsidP="00B33F96" w14:paraId="54F448A8" w14:textId="77777777">
      <w:pPr>
        <w:widowControl w:val="0"/>
        <w:snapToGrid w:val="0"/>
        <w:spacing w:after="0" w:line="240" w:lineRule="auto"/>
        <w:ind w:firstLine="567"/>
        <w:jc w:val="both"/>
        <w:rPr>
          <w:rFonts w:ascii="Times New Roman" w:eastAsia="Times New Roman" w:hAnsi="Times New Roman" w:cs="Times New Roman"/>
          <w:color w:val="000000"/>
          <w:sz w:val="16"/>
          <w:szCs w:val="16"/>
          <w:lang w:eastAsia="ru-RU"/>
        </w:rPr>
      </w:pPr>
    </w:p>
    <w:p w:rsidR="00B33F96" w:rsidP="00B33F96" w14:paraId="3A942774"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Показники розміру соціальних стандартів враховано, відповідно до визначених у листі Міністерства фінансів України № 05120-08-6/19235 від 09.07.2025 «Щодо особливостей середньострокового бюджетного планування та складання розрахунків до прогнозів місцевих бюджетів», а саме:</w:t>
      </w:r>
    </w:p>
    <w:p w:rsidR="00B33F96" w:rsidP="00B33F96" w14:paraId="60BA5F7C" w14:textId="1C490452">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розмір мінімальної заробітної плати з 1 січня 2026 року – 8 688 гривень (темп приросту 8,6 відсотка), з 1 січня 2027 року – 9 374 гривень (темп приросту 7,9 відсотка), з 1 січня 2028 року – 10 059 гривень (темп приросту 7,3 відсотка);</w:t>
      </w:r>
    </w:p>
    <w:p w:rsidR="00B33F96" w:rsidP="00B33F96" w14:paraId="68EE09C9" w14:textId="4525EB2A">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розмір посадового окладу працівника І тарифного розряду Єдиної тарифної сітки з 1 січня 2026 року – 3 470 гривень (темп приросту 8,6 відсотка), з 1 січня 2027 року – 3 744 гривень (темп приросту 7,9 відсотка), з 1 </w:t>
      </w:r>
      <w:r>
        <w:rPr>
          <w:rFonts w:ascii="Times New Roman" w:eastAsia="Times New Roman" w:hAnsi="Times New Roman" w:cs="Times New Roman"/>
          <w:color w:val="000000"/>
          <w:sz w:val="28"/>
          <w:szCs w:val="28"/>
          <w:lang w:eastAsia="ru-RU"/>
        </w:rPr>
        <w:t xml:space="preserve">січня 2028 року - 4 018 гривень (темп приросту 7,3 відсотка). </w:t>
      </w:r>
    </w:p>
    <w:p w:rsidR="00B33F96" w:rsidP="00B33F96" w14:paraId="0EFA59E3" w14:textId="77777777">
      <w:pPr>
        <w:widowControl w:val="0"/>
        <w:snapToGrid w:val="0"/>
        <w:spacing w:after="0" w:line="240" w:lineRule="auto"/>
        <w:ind w:left="567"/>
        <w:jc w:val="both"/>
        <w:rPr>
          <w:rFonts w:ascii="Times New Roman" w:eastAsia="Times New Roman" w:hAnsi="Times New Roman" w:cs="Times New Roman"/>
          <w:color w:val="000000"/>
          <w:sz w:val="16"/>
          <w:szCs w:val="16"/>
          <w:lang w:eastAsia="ru-RU"/>
        </w:rPr>
      </w:pPr>
    </w:p>
    <w:p w:rsidR="00B33F96" w:rsidP="00B33F96" w14:paraId="3557023A" w14:textId="66501343">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Обсяг доходів загального фонду бюджету Броварської міської територіальної громади (з міжбюджетними трансфертами), розрахований на 2026 рік у сумі  2 629 768 704 гривень, на 2027 рік – 2 743 940 983 гривень., на 2028 рік  – 2 867 541 258 </w:t>
      </w:r>
      <w:r w:rsidR="00F26253">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ru-RU"/>
        </w:rPr>
        <w:t>.</w:t>
      </w:r>
    </w:p>
    <w:p w:rsidR="00B33F96" w:rsidP="00B33F96" w14:paraId="65FD3DB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Темп росту доходів загального фонду складає: 2026 року до 2025 року – 9,5 відсотка, 2027 року до 2026 року – 4,3 відсотка, 2028 року до 2027 року – 4,5 відсотків.</w:t>
      </w:r>
    </w:p>
    <w:p w:rsidR="00B33F96" w:rsidP="00B33F96" w14:paraId="3F357CBB" w14:textId="3EF22991">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Обсяг доходів спеціального фонду бюджету міської територіальної громади, прогнозується на 2026 р</w:t>
      </w:r>
      <w:r w:rsidR="00715639">
        <w:rPr>
          <w:rFonts w:ascii="Times New Roman" w:eastAsia="Times New Roman" w:hAnsi="Times New Roman" w:cs="Times New Roman"/>
          <w:sz w:val="28"/>
          <w:szCs w:val="28"/>
          <w:lang w:eastAsia="ru-RU"/>
        </w:rPr>
        <w:t>ік</w:t>
      </w:r>
      <w:r>
        <w:rPr>
          <w:rFonts w:ascii="Times New Roman" w:eastAsia="Times New Roman" w:hAnsi="Times New Roman" w:cs="Times New Roman"/>
          <w:sz w:val="28"/>
          <w:szCs w:val="28"/>
          <w:lang w:eastAsia="ru-RU"/>
        </w:rPr>
        <w:t xml:space="preserve"> у сумі 100 827 657 гривень,  на 2027 рік – 104 159 423 гривні, на 2028 рік  –</w:t>
      </w:r>
      <w:r w:rsidR="007156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109 295 169 гривень.</w:t>
      </w:r>
    </w:p>
    <w:p w:rsidR="00B33F96" w:rsidP="00B33F96" w14:paraId="01FEF75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Темп росту доходів спеціального фонду складає: 2026 року до 2025 </w:t>
      </w:r>
      <w:r>
        <w:rPr>
          <w:rFonts w:ascii="Times New Roman" w:eastAsia="Times New Roman" w:hAnsi="Times New Roman" w:cs="Times New Roman"/>
          <w:sz w:val="28"/>
          <w:szCs w:val="28"/>
          <w:lang w:eastAsia="ru-RU"/>
        </w:rPr>
        <w:t>року–</w:t>
      </w:r>
      <w:r>
        <w:rPr>
          <w:rFonts w:ascii="Times New Roman" w:eastAsia="Times New Roman" w:hAnsi="Times New Roman" w:cs="Times New Roman"/>
          <w:sz w:val="28"/>
          <w:szCs w:val="28"/>
          <w:lang w:eastAsia="ru-RU"/>
        </w:rPr>
        <w:t xml:space="preserve"> - 63,5 відсотка, 2027 року до 2026 року – 3,3 відсотка, 2028 року до 2027 року – 4,9 відсотка.</w:t>
      </w:r>
    </w:p>
    <w:p w:rsidR="00B33F96" w:rsidP="00B33F96" w14:paraId="2D6288B0" w14:textId="77777777">
      <w:pPr>
        <w:widowControl w:val="0"/>
        <w:snapToGrid w:val="0"/>
        <w:spacing w:after="0" w:line="240" w:lineRule="auto"/>
        <w:ind w:firstLine="567"/>
        <w:jc w:val="both"/>
        <w:rPr>
          <w:rFonts w:ascii="Times New Roman" w:eastAsia="Times New Roman" w:hAnsi="Times New Roman" w:cs="Times New Roman"/>
          <w:sz w:val="16"/>
          <w:szCs w:val="16"/>
          <w:lang w:eastAsia="ru-RU"/>
        </w:rPr>
      </w:pPr>
    </w:p>
    <w:p w:rsidR="00B33F96" w:rsidP="00B33F96" w14:paraId="38228C80"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Фінансування бюджету</w:t>
      </w:r>
      <w:r>
        <w:rPr>
          <w:rFonts w:ascii="Calibri" w:eastAsia="Calibri" w:hAnsi="Calibri" w:cs="Times New Roman"/>
          <w:sz w:val="28"/>
          <w:szCs w:val="28"/>
          <w:lang w:eastAsia="en-US"/>
        </w:rPr>
        <w:t xml:space="preserve"> </w:t>
      </w:r>
      <w:r>
        <w:rPr>
          <w:rFonts w:ascii="Times New Roman" w:eastAsia="Calibri" w:hAnsi="Times New Roman" w:cs="Times New Roman"/>
          <w:sz w:val="28"/>
          <w:szCs w:val="28"/>
          <w:lang w:eastAsia="en-US"/>
        </w:rPr>
        <w:t xml:space="preserve">передбачено на погашення кредиту від Акціонерного товариства «Державний </w:t>
      </w:r>
      <w:r>
        <w:rPr>
          <w:rFonts w:ascii="Times New Roman" w:eastAsia="Calibri" w:hAnsi="Times New Roman" w:cs="Times New Roman"/>
          <w:sz w:val="28"/>
          <w:szCs w:val="28"/>
          <w:lang w:eastAsia="en-US"/>
        </w:rPr>
        <w:t>експортно</w:t>
      </w:r>
      <w:r>
        <w:rPr>
          <w:rFonts w:ascii="Times New Roman" w:eastAsia="Calibri" w:hAnsi="Times New Roman" w:cs="Times New Roman"/>
          <w:sz w:val="28"/>
          <w:szCs w:val="28"/>
          <w:lang w:eastAsia="en-US"/>
        </w:rPr>
        <w:t xml:space="preserve"> - імпортний банк України» для фінансування видатків по об’єкту: «Будівництво загальноосвітньої школи І ступеню по вул. Петлюри Симона (</w:t>
      </w:r>
      <w:r>
        <w:rPr>
          <w:rFonts w:ascii="Times New Roman" w:eastAsia="Calibri" w:hAnsi="Times New Roman" w:cs="Times New Roman"/>
          <w:sz w:val="28"/>
          <w:szCs w:val="28"/>
          <w:lang w:eastAsia="en-US"/>
        </w:rPr>
        <w:t>Черняховського</w:t>
      </w:r>
      <w:r>
        <w:rPr>
          <w:rFonts w:ascii="Times New Roman" w:eastAsia="Calibri" w:hAnsi="Times New Roman" w:cs="Times New Roman"/>
          <w:sz w:val="28"/>
          <w:szCs w:val="28"/>
          <w:lang w:eastAsia="en-US"/>
        </w:rPr>
        <w:t xml:space="preserve">), 17-Б в </w:t>
      </w:r>
      <w:r>
        <w:rPr>
          <w:rFonts w:ascii="Times New Roman" w:eastAsia="Calibri" w:hAnsi="Times New Roman" w:cs="Times New Roman"/>
          <w:sz w:val="28"/>
          <w:szCs w:val="28"/>
          <w:lang w:eastAsia="en-US"/>
        </w:rPr>
        <w:t>м.Бровари</w:t>
      </w:r>
      <w:r>
        <w:rPr>
          <w:rFonts w:ascii="Times New Roman" w:eastAsia="Calibri" w:hAnsi="Times New Roman" w:cs="Times New Roman"/>
          <w:sz w:val="28"/>
          <w:szCs w:val="28"/>
          <w:lang w:eastAsia="en-US"/>
        </w:rPr>
        <w:t xml:space="preserve"> Київської області»:</w:t>
      </w:r>
    </w:p>
    <w:p w:rsidR="00B33F96" w:rsidP="00B33F96" w14:paraId="2074DCB3" w14:textId="77777777">
      <w:pPr>
        <w:spacing w:after="0" w:line="240" w:lineRule="auto"/>
        <w:ind w:left="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 2026 році – 30 300 000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sz w:val="28"/>
          <w:szCs w:val="28"/>
          <w:lang w:eastAsia="en-US"/>
        </w:rPr>
        <w:t>;</w:t>
      </w:r>
    </w:p>
    <w:p w:rsidR="00B33F96" w:rsidP="00B33F96" w14:paraId="3E437C78" w14:textId="77777777">
      <w:pPr>
        <w:spacing w:after="0" w:line="240" w:lineRule="auto"/>
        <w:ind w:left="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 2027 році – 30 300 000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sz w:val="28"/>
          <w:szCs w:val="28"/>
          <w:lang w:eastAsia="en-US"/>
        </w:rPr>
        <w:t>;</w:t>
      </w:r>
    </w:p>
    <w:p w:rsidR="00B33F96" w:rsidP="00B33F96" w14:paraId="3E0ADF56" w14:textId="77777777">
      <w:pPr>
        <w:spacing w:after="0" w:line="240" w:lineRule="auto"/>
        <w:ind w:left="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 2028 році – 30 300 000 </w:t>
      </w:r>
      <w:r>
        <w:rPr>
          <w:rFonts w:ascii="Times New Roman" w:eastAsia="Times New Roman" w:hAnsi="Times New Roman" w:cs="Times New Roman"/>
          <w:sz w:val="28"/>
          <w:szCs w:val="28"/>
          <w:lang w:eastAsia="ru-RU"/>
        </w:rPr>
        <w:t>гривень.</w:t>
      </w:r>
    </w:p>
    <w:p w:rsidR="00B33F96" w:rsidP="00B33F96" w14:paraId="4226B49E" w14:textId="77777777">
      <w:pPr>
        <w:spacing w:after="0" w:line="240" w:lineRule="auto"/>
        <w:ind w:left="927"/>
        <w:jc w:val="both"/>
        <w:rPr>
          <w:rFonts w:ascii="Times New Roman" w:eastAsia="Calibri" w:hAnsi="Times New Roman" w:cs="Times New Roman"/>
          <w:sz w:val="16"/>
          <w:szCs w:val="16"/>
          <w:lang w:eastAsia="en-US"/>
        </w:rPr>
      </w:pPr>
    </w:p>
    <w:p w:rsidR="00B33F96" w:rsidP="00B33F96" w14:paraId="61EBEB16" w14:textId="627760FD">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Видатки бюджету Броварської міської територіальної громади (з урахуванням міжбюджетних трансфертів) визначені у наступних обсягах: 2026 рік – 2 700 296 361 гривень (у тому числі: загальний фонд – 2 379 968 704 гривні, спеціальний фонд  – 320 327 657 гривень),  2027 рік – 2 817 800 406 гривень (у тому числі:  загальний фонд –  2 496 140 983 гривень, спеціальний фонд -  321 659 423 гривні), 2028 рік – 2 946 536 427 гривень (у тому числі: загальний фонд – 2 617 741 258 гривень, спеціальний фонд – 328 795 169 гривні).</w:t>
      </w:r>
    </w:p>
    <w:p w:rsidR="00B33F96" w:rsidP="00B33F96" w14:paraId="32A69517" w14:textId="77777777">
      <w:pPr>
        <w:spacing w:after="0" w:line="240" w:lineRule="auto"/>
        <w:ind w:left="567"/>
        <w:jc w:val="both"/>
        <w:rPr>
          <w:rFonts w:ascii="Times New Roman" w:eastAsia="Calibri" w:hAnsi="Times New Roman" w:cs="Times New Roman"/>
          <w:sz w:val="28"/>
          <w:szCs w:val="28"/>
          <w:lang w:eastAsia="en-US"/>
        </w:rPr>
      </w:pPr>
    </w:p>
    <w:p w:rsidR="00B33F96" w:rsidP="00B33F96" w14:paraId="3BB274FD"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val="ru-RU" w:eastAsia="en-US"/>
        </w:rPr>
        <w:t xml:space="preserve">ІV. </w:t>
      </w:r>
      <w:r>
        <w:rPr>
          <w:rFonts w:ascii="Times New Roman" w:eastAsia="Calibri" w:hAnsi="Times New Roman" w:cs="Times New Roman"/>
          <w:b/>
          <w:sz w:val="28"/>
          <w:szCs w:val="28"/>
          <w:lang w:val="ru-RU" w:eastAsia="en-US"/>
        </w:rPr>
        <w:t>Показники</w:t>
      </w:r>
      <w:r>
        <w:rPr>
          <w:rFonts w:ascii="Times New Roman" w:eastAsia="Calibri" w:hAnsi="Times New Roman" w:cs="Times New Roman"/>
          <w:b/>
          <w:sz w:val="28"/>
          <w:szCs w:val="28"/>
          <w:lang w:val="ru-RU" w:eastAsia="en-US"/>
        </w:rPr>
        <w:t xml:space="preserve"> </w:t>
      </w:r>
      <w:r>
        <w:rPr>
          <w:rFonts w:ascii="Times New Roman" w:eastAsia="Calibri" w:hAnsi="Times New Roman" w:cs="Times New Roman"/>
          <w:b/>
          <w:sz w:val="28"/>
          <w:szCs w:val="28"/>
          <w:lang w:val="ru-RU" w:eastAsia="en-US"/>
        </w:rPr>
        <w:t>доході</w:t>
      </w:r>
      <w:r>
        <w:rPr>
          <w:rFonts w:ascii="Times New Roman" w:eastAsia="Calibri" w:hAnsi="Times New Roman" w:cs="Times New Roman"/>
          <w:b/>
          <w:sz w:val="28"/>
          <w:szCs w:val="28"/>
          <w:lang w:val="ru-RU" w:eastAsia="en-US"/>
        </w:rPr>
        <w:t>в</w:t>
      </w:r>
      <w:r>
        <w:rPr>
          <w:rFonts w:ascii="Times New Roman" w:eastAsia="Calibri" w:hAnsi="Times New Roman" w:cs="Times New Roman"/>
          <w:b/>
          <w:sz w:val="28"/>
          <w:szCs w:val="28"/>
          <w:lang w:val="ru-RU" w:eastAsia="en-US"/>
        </w:rPr>
        <w:t xml:space="preserve"> бюджету</w:t>
      </w:r>
    </w:p>
    <w:p w:rsidR="00B33F96" w:rsidP="00B33F96" w14:paraId="483EDB63" w14:textId="77777777">
      <w:pPr>
        <w:spacing w:after="0" w:line="240" w:lineRule="auto"/>
        <w:ind w:firstLine="567"/>
        <w:jc w:val="center"/>
        <w:rPr>
          <w:rFonts w:ascii="Times New Roman" w:eastAsia="Calibri" w:hAnsi="Times New Roman" w:cs="Times New Roman"/>
          <w:b/>
          <w:sz w:val="28"/>
          <w:szCs w:val="28"/>
          <w:lang w:eastAsia="en-US"/>
        </w:rPr>
      </w:pPr>
    </w:p>
    <w:p w:rsidR="00B33F96" w:rsidP="00B33F96" w14:paraId="2E7337C3"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Законодавчою основою формування доходної частини бюджету Броварської міської територіальної громади є норми Бюджетного та Податкового кодексів України. </w:t>
      </w:r>
    </w:p>
    <w:p w:rsidR="00B33F96" w:rsidP="00B33F96" w14:paraId="152F02AB"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Обсяг доходної частини бюджету Броварської міської територіальної громади на 2026 рік згідно з додатком 2 прогнозується в сумі 2 730 596 361 </w:t>
      </w:r>
      <w:r>
        <w:rPr>
          <w:rFonts w:ascii="Times New Roman" w:eastAsia="Times New Roman" w:hAnsi="Times New Roman" w:cs="Times New Roman"/>
          <w:sz w:val="28"/>
          <w:szCs w:val="28"/>
          <w:lang w:eastAsia="ru-RU"/>
        </w:rPr>
        <w:t>гривні</w:t>
      </w:r>
      <w:r>
        <w:rPr>
          <w:rFonts w:ascii="Times New Roman" w:eastAsia="Times New Roman" w:hAnsi="Times New Roman" w:cs="Times New Roman"/>
          <w:sz w:val="28"/>
          <w:szCs w:val="28"/>
          <w:lang w:eastAsia="en-US"/>
        </w:rPr>
        <w:t>, із них:</w:t>
      </w:r>
    </w:p>
    <w:p w:rsidR="00B33F96" w:rsidP="00B33F96" w14:paraId="478610E5" w14:textId="77777777">
      <w:pPr>
        <w:spacing w:after="0" w:line="240" w:lineRule="auto"/>
        <w:ind w:firstLine="567"/>
        <w:jc w:val="both"/>
        <w:rPr>
          <w:rFonts w:ascii="Times New Roman" w:eastAsia="Times New Roman" w:hAnsi="Times New Roman" w:cs="Times New Roman"/>
          <w:sz w:val="8"/>
          <w:szCs w:val="8"/>
          <w:lang w:eastAsia="en-US"/>
        </w:rPr>
      </w:pPr>
    </w:p>
    <w:p w:rsidR="00B33F96" w:rsidP="00B33F96" w14:paraId="7D42F28F"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загального фонду (без урахування міжбюджетних трансфертів) – 2 223 719 600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в тому числі: </w:t>
      </w:r>
    </w:p>
    <w:p w:rsidR="00B33F96" w:rsidP="00B33F96" w14:paraId="0C606232" w14:textId="77777777">
      <w:pPr>
        <w:spacing w:after="0" w:line="240" w:lineRule="auto"/>
        <w:jc w:val="both"/>
        <w:rPr>
          <w:rFonts w:ascii="Times New Roman" w:eastAsia="Times New Roman" w:hAnsi="Times New Roman" w:cs="Times New Roman"/>
          <w:sz w:val="8"/>
          <w:szCs w:val="8"/>
          <w:lang w:eastAsia="en-US"/>
        </w:rPr>
      </w:pPr>
    </w:p>
    <w:p w:rsidR="00B33F96" w:rsidP="00B33F96" w14:paraId="68A3D095"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податкові надходження – 2 194 714 600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6F85DBB6"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неподаткові надходження – 28 845 000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7D4AD16B"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від операцій з капіталом –160 000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w:t>
      </w:r>
    </w:p>
    <w:p w:rsidR="00B33F96" w:rsidP="00B33F96" w14:paraId="3A510343" w14:textId="77777777">
      <w:pPr>
        <w:spacing w:after="0" w:line="240" w:lineRule="auto"/>
        <w:ind w:firstLine="567"/>
        <w:jc w:val="both"/>
        <w:rPr>
          <w:rFonts w:ascii="Times New Roman" w:eastAsia="Times New Roman" w:hAnsi="Times New Roman" w:cs="Times New Roman"/>
          <w:sz w:val="8"/>
          <w:szCs w:val="8"/>
          <w:lang w:eastAsia="en-US"/>
        </w:rPr>
      </w:pPr>
    </w:p>
    <w:p w:rsidR="00B33F96" w:rsidP="00B33F96" w14:paraId="50F6F1E3"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трансферти з державного бюджету – 365 164 400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2CAA756C" w14:textId="77777777">
      <w:pPr>
        <w:spacing w:after="0" w:line="240" w:lineRule="auto"/>
        <w:jc w:val="both"/>
        <w:rPr>
          <w:rFonts w:ascii="Times New Roman" w:eastAsia="Times New Roman" w:hAnsi="Times New Roman" w:cs="Times New Roman"/>
          <w:sz w:val="8"/>
          <w:szCs w:val="8"/>
          <w:lang w:eastAsia="en-US"/>
        </w:rPr>
      </w:pPr>
    </w:p>
    <w:p w:rsidR="00B33F96" w:rsidP="00B33F96" w14:paraId="22676F8D"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субвенції з державного бюджету місцевим бюджетам – 365 164 400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752F3A5A"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трансферти з інших бюджетів – 40 884 704 </w:t>
      </w:r>
      <w:r>
        <w:rPr>
          <w:rFonts w:ascii="Times New Roman" w:eastAsia="Times New Roman" w:hAnsi="Times New Roman" w:cs="Times New Roman"/>
          <w:sz w:val="28"/>
          <w:szCs w:val="28"/>
          <w:lang w:eastAsia="ru-RU"/>
        </w:rPr>
        <w:t>гривні</w:t>
      </w:r>
      <w:r>
        <w:rPr>
          <w:rFonts w:ascii="Times New Roman" w:eastAsia="Times New Roman" w:hAnsi="Times New Roman" w:cs="Times New Roman"/>
          <w:sz w:val="28"/>
          <w:szCs w:val="28"/>
          <w:lang w:eastAsia="en-US"/>
        </w:rPr>
        <w:t>, в тому числі:</w:t>
      </w:r>
    </w:p>
    <w:p w:rsidR="00B33F96" w:rsidP="00B33F96" w14:paraId="2FDE8F80"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дотації з місцевих бюджетів іншим місцевим бюджетам – 5 692 480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0833DE45"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субвенції з місцевих бюджетів іншим місцевим бюджетам –35 192 224 </w:t>
      </w:r>
      <w:r>
        <w:rPr>
          <w:rFonts w:ascii="Times New Roman" w:eastAsia="Times New Roman" w:hAnsi="Times New Roman" w:cs="Times New Roman"/>
          <w:sz w:val="28"/>
          <w:szCs w:val="28"/>
          <w:lang w:eastAsia="ru-RU"/>
        </w:rPr>
        <w:t>гривні;</w:t>
      </w:r>
    </w:p>
    <w:p w:rsidR="00B33F96" w:rsidP="00B33F96" w14:paraId="48E2BC75" w14:textId="77777777">
      <w:pPr>
        <w:spacing w:after="0" w:line="240" w:lineRule="auto"/>
        <w:rPr>
          <w:rFonts w:ascii="Times New Roman" w:eastAsia="Times New Roman" w:hAnsi="Times New Roman" w:cs="Times New Roman"/>
          <w:sz w:val="8"/>
          <w:szCs w:val="8"/>
          <w:lang w:eastAsia="en-US"/>
        </w:rPr>
      </w:pPr>
    </w:p>
    <w:p w:rsidR="00B33F96" w:rsidP="00B33F96" w14:paraId="3D64A19B"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спеціального фонду 100 827 657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58988DA0" w14:textId="77777777">
      <w:pPr>
        <w:spacing w:after="0" w:line="240" w:lineRule="auto"/>
        <w:rPr>
          <w:rFonts w:ascii="Times New Roman" w:eastAsia="Times New Roman" w:hAnsi="Times New Roman" w:cs="Times New Roman"/>
          <w:sz w:val="10"/>
          <w:szCs w:val="10"/>
          <w:lang w:eastAsia="en-US"/>
        </w:rPr>
      </w:pPr>
    </w:p>
    <w:p w:rsidR="00B33F96" w:rsidP="00B33F96" w14:paraId="6F7E168D"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неподаткові надходження – 84 127 657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w:t>
      </w:r>
    </w:p>
    <w:p w:rsidR="00B33F96" w:rsidP="00B33F96" w14:paraId="533420D9"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від операцій з капіталом – 15 000 000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w:t>
      </w:r>
    </w:p>
    <w:p w:rsidR="00B33F96" w:rsidP="00B33F96" w14:paraId="11DD07D1" w14:textId="77777777">
      <w:pPr>
        <w:spacing w:after="0" w:line="240" w:lineRule="auto"/>
        <w:ind w:left="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цільові фонди – 1 700 000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67818E60" w14:textId="77777777">
      <w:pPr>
        <w:spacing w:after="0" w:line="240" w:lineRule="auto"/>
        <w:jc w:val="both"/>
        <w:rPr>
          <w:rFonts w:ascii="Times New Roman" w:eastAsia="Times New Roman" w:hAnsi="Times New Roman" w:cs="Times New Roman"/>
          <w:sz w:val="8"/>
          <w:szCs w:val="8"/>
          <w:lang w:eastAsia="en-US"/>
        </w:rPr>
      </w:pPr>
    </w:p>
    <w:p w:rsidR="00B33F96" w:rsidP="00B33F96" w14:paraId="703FF494"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Обсяг доходної частини бюджету Броварської міської територіальної громади на 2027 рік прогнозується в сумі </w:t>
      </w: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eastAsia="en-US"/>
        </w:rPr>
        <w:t>2 848 100 406</w:t>
      </w: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із них:</w:t>
      </w:r>
    </w:p>
    <w:p w:rsidR="00B33F96" w:rsidP="00B33F96" w14:paraId="6096CDB2" w14:textId="77777777">
      <w:pPr>
        <w:spacing w:after="0" w:line="240" w:lineRule="auto"/>
        <w:ind w:firstLine="567"/>
        <w:jc w:val="both"/>
        <w:rPr>
          <w:rFonts w:ascii="Times New Roman" w:eastAsia="Times New Roman" w:hAnsi="Times New Roman" w:cs="Times New Roman"/>
          <w:sz w:val="8"/>
          <w:szCs w:val="8"/>
          <w:lang w:eastAsia="en-US"/>
        </w:rPr>
      </w:pPr>
    </w:p>
    <w:p w:rsidR="00B33F96" w:rsidP="00B33F96" w14:paraId="145E1024"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загального фонду (без урахування міжбюджетних трансфертів) –     2 306 098 000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779DECD2" w14:textId="77777777">
      <w:pPr>
        <w:spacing w:after="0" w:line="240" w:lineRule="auto"/>
        <w:rPr>
          <w:rFonts w:ascii="Times New Roman" w:eastAsia="Times New Roman" w:hAnsi="Times New Roman" w:cs="Times New Roman"/>
          <w:sz w:val="8"/>
          <w:szCs w:val="8"/>
          <w:lang w:eastAsia="en-US"/>
        </w:rPr>
      </w:pPr>
    </w:p>
    <w:p w:rsidR="00B33F96" w:rsidP="00B33F96" w14:paraId="009339E4"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податкові надходження – 2 276 346 000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2B208E36"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неподаткові надходження – 29 587 000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1AFC71CE"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від операцій з капіталом – 165 000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w:t>
      </w:r>
    </w:p>
    <w:p w:rsidR="00B33F96" w:rsidP="00B33F96" w14:paraId="61A6B60D" w14:textId="77777777">
      <w:pPr>
        <w:spacing w:after="0" w:line="240" w:lineRule="auto"/>
        <w:jc w:val="both"/>
        <w:rPr>
          <w:rFonts w:ascii="Times New Roman" w:eastAsia="Times New Roman" w:hAnsi="Times New Roman" w:cs="Times New Roman"/>
          <w:sz w:val="8"/>
          <w:szCs w:val="8"/>
          <w:lang w:eastAsia="en-US"/>
        </w:rPr>
      </w:pPr>
    </w:p>
    <w:p w:rsidR="00B33F96" w:rsidP="00B33F96" w14:paraId="53A2FA7C"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трансферти з державного бюджету – 393 998 700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2E703C8B" w14:textId="77777777">
      <w:pPr>
        <w:spacing w:after="0" w:line="240" w:lineRule="auto"/>
        <w:jc w:val="both"/>
        <w:rPr>
          <w:rFonts w:ascii="Times New Roman" w:eastAsia="Times New Roman" w:hAnsi="Times New Roman" w:cs="Times New Roman"/>
          <w:sz w:val="8"/>
          <w:szCs w:val="8"/>
          <w:lang w:eastAsia="en-US"/>
        </w:rPr>
      </w:pPr>
    </w:p>
    <w:p w:rsidR="00B33F96" w:rsidP="00B33F96" w14:paraId="22CF5DA4"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субвенції з державного бюджету місцевим бюджетам – 393 998 700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08481873"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трансферти з інших бюджетів – 43 844 283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50DEAC46"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дотації з місцевих бюджетів іншим місцевим бюджетам – 5 692 480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0983D1A0"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субвенції з місцевих бюджетів іншим місцевим бюджетам –  38 151 803 </w:t>
      </w:r>
      <w:r>
        <w:rPr>
          <w:rFonts w:ascii="Times New Roman" w:eastAsia="Times New Roman" w:hAnsi="Times New Roman" w:cs="Times New Roman"/>
          <w:sz w:val="28"/>
          <w:szCs w:val="28"/>
          <w:lang w:eastAsia="ru-RU"/>
        </w:rPr>
        <w:t>гривні;</w:t>
      </w:r>
    </w:p>
    <w:p w:rsidR="00B33F96" w:rsidP="00B33F96" w14:paraId="210D9296" w14:textId="77777777">
      <w:pPr>
        <w:spacing w:after="0" w:line="240" w:lineRule="auto"/>
        <w:rPr>
          <w:rFonts w:ascii="Times New Roman" w:eastAsia="Times New Roman" w:hAnsi="Times New Roman" w:cs="Times New Roman"/>
          <w:sz w:val="8"/>
          <w:szCs w:val="8"/>
          <w:lang w:eastAsia="en-US"/>
        </w:rPr>
      </w:pPr>
    </w:p>
    <w:p w:rsidR="00B33F96" w:rsidP="00B33F96" w14:paraId="20BD4575"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спеціального фонду 104 159 423 </w:t>
      </w:r>
      <w:r>
        <w:rPr>
          <w:rFonts w:ascii="Times New Roman" w:eastAsia="Times New Roman" w:hAnsi="Times New Roman" w:cs="Times New Roman"/>
          <w:sz w:val="28"/>
          <w:szCs w:val="28"/>
          <w:lang w:eastAsia="ru-RU"/>
        </w:rPr>
        <w:t>гривні</w:t>
      </w:r>
      <w:r>
        <w:rPr>
          <w:rFonts w:ascii="Times New Roman" w:eastAsia="Times New Roman" w:hAnsi="Times New Roman" w:cs="Times New Roman"/>
          <w:sz w:val="28"/>
          <w:szCs w:val="28"/>
          <w:lang w:eastAsia="en-US"/>
        </w:rPr>
        <w:t>, в тому числі:</w:t>
      </w:r>
    </w:p>
    <w:p w:rsidR="00B33F96" w:rsidP="00B33F96" w14:paraId="181E5F7D" w14:textId="77777777">
      <w:pPr>
        <w:spacing w:after="0" w:line="240" w:lineRule="auto"/>
        <w:rPr>
          <w:rFonts w:ascii="Times New Roman" w:eastAsia="Times New Roman" w:hAnsi="Times New Roman" w:cs="Times New Roman"/>
          <w:sz w:val="10"/>
          <w:szCs w:val="10"/>
          <w:lang w:eastAsia="en-US"/>
        </w:rPr>
      </w:pPr>
    </w:p>
    <w:p w:rsidR="00B33F96" w:rsidP="00B33F96" w14:paraId="60420AE9"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неподаткові надходження – 85 359 423 </w:t>
      </w:r>
      <w:r>
        <w:rPr>
          <w:rFonts w:ascii="Times New Roman" w:eastAsia="Times New Roman" w:hAnsi="Times New Roman" w:cs="Times New Roman"/>
          <w:sz w:val="28"/>
          <w:szCs w:val="28"/>
          <w:lang w:eastAsia="ru-RU"/>
        </w:rPr>
        <w:t>гривні</w:t>
      </w:r>
      <w:r>
        <w:rPr>
          <w:rFonts w:ascii="Times New Roman" w:eastAsia="Times New Roman" w:hAnsi="Times New Roman" w:cs="Times New Roman"/>
          <w:sz w:val="28"/>
          <w:szCs w:val="28"/>
          <w:lang w:eastAsia="en-US"/>
        </w:rPr>
        <w:t xml:space="preserve">; </w:t>
      </w:r>
    </w:p>
    <w:p w:rsidR="00B33F96" w:rsidP="00B33F96" w14:paraId="60A977F1"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від операцій з капіталом – 17 000 000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w:t>
      </w:r>
    </w:p>
    <w:p w:rsidR="00B33F96" w:rsidP="00B33F96" w14:paraId="606B3696"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цільові фонди – 1 800 000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0C19F0C3" w14:textId="77777777">
      <w:pPr>
        <w:spacing w:after="0" w:line="240" w:lineRule="auto"/>
        <w:jc w:val="both"/>
        <w:rPr>
          <w:rFonts w:ascii="Times New Roman" w:eastAsia="Times New Roman" w:hAnsi="Times New Roman" w:cs="Times New Roman"/>
          <w:sz w:val="16"/>
          <w:szCs w:val="16"/>
          <w:lang w:eastAsia="en-US"/>
        </w:rPr>
      </w:pPr>
    </w:p>
    <w:p w:rsidR="00B33F96" w:rsidP="00B33F96" w14:paraId="5A361B44"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Обсяг доходної частини бюджету Броварської міської територіальної громади на 2028 рік прогнозується в сумі 2 976 836 427</w:t>
      </w: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із них: </w:t>
      </w:r>
    </w:p>
    <w:p w:rsidR="00B33F96" w:rsidP="00B33F96" w14:paraId="68C0E2E8" w14:textId="77777777">
      <w:pPr>
        <w:spacing w:after="0" w:line="240" w:lineRule="auto"/>
        <w:ind w:firstLine="567"/>
        <w:jc w:val="both"/>
        <w:rPr>
          <w:rFonts w:ascii="Times New Roman" w:eastAsia="Times New Roman" w:hAnsi="Times New Roman" w:cs="Times New Roman"/>
          <w:sz w:val="8"/>
          <w:szCs w:val="8"/>
          <w:lang w:eastAsia="en-US"/>
        </w:rPr>
      </w:pPr>
    </w:p>
    <w:p w:rsidR="00B33F96" w:rsidP="00B33F96" w14:paraId="4ACDCB00" w14:textId="77777777">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загального фонду (без урахування міжбюджетних трансфертів) –           2 397 733 800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53F1AE58" w14:textId="77777777">
      <w:pPr>
        <w:spacing w:after="0" w:line="240" w:lineRule="auto"/>
        <w:rPr>
          <w:rFonts w:ascii="Times New Roman" w:eastAsia="Times New Roman" w:hAnsi="Times New Roman" w:cs="Times New Roman"/>
          <w:sz w:val="8"/>
          <w:szCs w:val="8"/>
          <w:lang w:eastAsia="en-US"/>
        </w:rPr>
      </w:pPr>
    </w:p>
    <w:p w:rsidR="00B33F96" w:rsidP="00B33F96" w14:paraId="79BA3CA8"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податкові надходження – 2 367 050 800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78B5FF4D"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неподаткові надходження – 30 513 000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791019FD"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від операцій з капіталом – 170 000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w:t>
      </w:r>
    </w:p>
    <w:p w:rsidR="00B33F96" w:rsidP="00B33F96" w14:paraId="79C20A33" w14:textId="77777777">
      <w:pPr>
        <w:spacing w:after="0" w:line="240" w:lineRule="auto"/>
        <w:jc w:val="both"/>
        <w:rPr>
          <w:rFonts w:ascii="Times New Roman" w:eastAsia="Times New Roman" w:hAnsi="Times New Roman" w:cs="Times New Roman"/>
          <w:sz w:val="8"/>
          <w:szCs w:val="8"/>
          <w:lang w:eastAsia="en-US"/>
        </w:rPr>
      </w:pPr>
    </w:p>
    <w:p w:rsidR="00B33F96" w:rsidP="00B33F96" w14:paraId="240E3A25" w14:textId="77777777">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трансферти з державного бюджету – 422 833 100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50D95B68" w14:textId="77777777">
      <w:pPr>
        <w:spacing w:after="0" w:line="240" w:lineRule="auto"/>
        <w:jc w:val="both"/>
        <w:rPr>
          <w:rFonts w:ascii="Times New Roman" w:eastAsia="Times New Roman" w:hAnsi="Times New Roman" w:cs="Times New Roman"/>
          <w:sz w:val="8"/>
          <w:szCs w:val="8"/>
          <w:lang w:eastAsia="en-US"/>
        </w:rPr>
      </w:pPr>
    </w:p>
    <w:p w:rsidR="00B33F96" w:rsidP="00B33F96" w14:paraId="3D9486F0"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субвенції з державного бюджету місцевим бюджетам – 422 833 100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06097D15"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трансферти з інших бюджетів – 46 974 358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35104494"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дотації з місцевих бюджетів іншим місцевим бюджетам – 5 838 980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4C23B336"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субвенції з місцевих бюджетів іншим місцевим бюджетам –41 135 378 </w:t>
      </w:r>
      <w:r>
        <w:rPr>
          <w:rFonts w:ascii="Times New Roman" w:eastAsia="Times New Roman" w:hAnsi="Times New Roman" w:cs="Times New Roman"/>
          <w:sz w:val="28"/>
          <w:szCs w:val="28"/>
          <w:lang w:eastAsia="ru-RU"/>
        </w:rPr>
        <w:t>гривень;</w:t>
      </w:r>
    </w:p>
    <w:p w:rsidR="00B33F96" w:rsidP="00B33F96" w14:paraId="109F0978" w14:textId="77777777">
      <w:pPr>
        <w:spacing w:after="0" w:line="240" w:lineRule="auto"/>
        <w:rPr>
          <w:rFonts w:ascii="Times New Roman" w:eastAsia="Times New Roman" w:hAnsi="Times New Roman" w:cs="Times New Roman"/>
          <w:sz w:val="8"/>
          <w:szCs w:val="8"/>
          <w:lang w:eastAsia="en-US"/>
        </w:rPr>
      </w:pPr>
    </w:p>
    <w:p w:rsidR="00B33F96" w:rsidP="00B33F96" w14:paraId="403AF4D2"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спеціального фонду 109 295 169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в тому числі:</w:t>
      </w:r>
    </w:p>
    <w:p w:rsidR="00B33F96" w:rsidP="00B33F96" w14:paraId="30CEE6EB" w14:textId="77777777">
      <w:pPr>
        <w:spacing w:after="0" w:line="240" w:lineRule="auto"/>
        <w:rPr>
          <w:rFonts w:ascii="Times New Roman" w:eastAsia="Times New Roman" w:hAnsi="Times New Roman" w:cs="Times New Roman"/>
          <w:sz w:val="10"/>
          <w:szCs w:val="10"/>
          <w:lang w:eastAsia="en-US"/>
        </w:rPr>
      </w:pPr>
    </w:p>
    <w:p w:rsidR="00B33F96" w:rsidP="00B33F96" w14:paraId="0C7D9BEB"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неподаткові надходження – 87 395 169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w:t>
      </w:r>
    </w:p>
    <w:p w:rsidR="00B33F96" w:rsidP="00B33F96" w14:paraId="49D331FB"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доходи від операцій з капіталом – 20 000 000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w:t>
      </w:r>
    </w:p>
    <w:p w:rsidR="00B33F96" w:rsidP="00B33F96" w14:paraId="46313915" w14:textId="77777777">
      <w:pPr>
        <w:spacing w:after="0" w:line="240" w:lineRule="auto"/>
        <w:ind w:firstLine="567"/>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цільові фонди – 1 900 000 </w:t>
      </w:r>
      <w:r>
        <w:rPr>
          <w:rFonts w:ascii="Times New Roman" w:eastAsia="Times New Roman" w:hAnsi="Times New Roman" w:cs="Times New Roman"/>
          <w:sz w:val="28"/>
          <w:szCs w:val="28"/>
          <w:lang w:eastAsia="ru-RU"/>
        </w:rPr>
        <w:t>гривень</w:t>
      </w:r>
      <w:r>
        <w:rPr>
          <w:rFonts w:ascii="Times New Roman" w:eastAsia="Times New Roman" w:hAnsi="Times New Roman" w:cs="Times New Roman"/>
          <w:sz w:val="28"/>
          <w:szCs w:val="28"/>
          <w:lang w:eastAsia="en-US"/>
        </w:rPr>
        <w:t xml:space="preserve"> </w:t>
      </w:r>
    </w:p>
    <w:p w:rsidR="00B33F96" w:rsidP="00B33F96" w14:paraId="6967BEBB" w14:textId="77777777">
      <w:pPr>
        <w:spacing w:after="0" w:line="240" w:lineRule="auto"/>
        <w:jc w:val="both"/>
        <w:rPr>
          <w:rFonts w:ascii="Times New Roman" w:eastAsia="Times New Roman" w:hAnsi="Times New Roman" w:cs="Times New Roman"/>
          <w:sz w:val="8"/>
          <w:szCs w:val="8"/>
          <w:lang w:eastAsia="en-US"/>
        </w:rPr>
      </w:pPr>
    </w:p>
    <w:p w:rsidR="00B33F96" w:rsidP="00B33F96" w14:paraId="4C0CFF8C"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При прогнозуванні обсягу доходів бюджету Броварської міської територіальної громади на 2026-2028 роки враховано: </w:t>
      </w:r>
    </w:p>
    <w:p w:rsidR="00B33F96" w:rsidP="00B33F96" w14:paraId="29B4821D" w14:textId="77777777">
      <w:pPr>
        <w:spacing w:after="0" w:line="240" w:lineRule="auto"/>
        <w:ind w:firstLine="567"/>
        <w:jc w:val="both"/>
        <w:rPr>
          <w:rFonts w:ascii="Times New Roman" w:eastAsia="Times New Roman" w:hAnsi="Times New Roman" w:cs="Times New Roman"/>
          <w:sz w:val="8"/>
          <w:szCs w:val="8"/>
          <w:lang w:eastAsia="en-US"/>
        </w:rPr>
      </w:pPr>
    </w:p>
    <w:p w:rsidR="00B33F96" w:rsidP="00B33F96" w14:paraId="0CF06DBA"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фактичні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показники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економічного</w:t>
      </w:r>
      <w:r>
        <w:rPr>
          <w:rFonts w:ascii="Times New Roman" w:eastAsia="Calibri" w:hAnsi="Times New Roman" w:cs="Times New Roman"/>
          <w:sz w:val="28"/>
          <w:szCs w:val="28"/>
          <w:lang w:val="ru-RU" w:eastAsia="en-US"/>
        </w:rPr>
        <w:t xml:space="preserve"> і </w:t>
      </w:r>
      <w:r>
        <w:rPr>
          <w:rFonts w:ascii="Times New Roman" w:eastAsia="Calibri" w:hAnsi="Times New Roman" w:cs="Times New Roman"/>
          <w:sz w:val="28"/>
          <w:szCs w:val="28"/>
          <w:lang w:val="ru-RU" w:eastAsia="en-US"/>
        </w:rPr>
        <w:t>соц</w:t>
      </w:r>
      <w:r>
        <w:rPr>
          <w:rFonts w:ascii="Times New Roman" w:eastAsia="Calibri" w:hAnsi="Times New Roman" w:cs="Times New Roman"/>
          <w:sz w:val="28"/>
          <w:szCs w:val="28"/>
          <w:lang w:val="ru-RU" w:eastAsia="en-US"/>
        </w:rPr>
        <w:t>іального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розвитку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громади</w:t>
      </w:r>
      <w:r>
        <w:rPr>
          <w:rFonts w:ascii="Times New Roman" w:eastAsia="Calibri" w:hAnsi="Times New Roman" w:cs="Times New Roman"/>
          <w:sz w:val="28"/>
          <w:szCs w:val="28"/>
          <w:lang w:val="ru-RU" w:eastAsia="en-US"/>
        </w:rPr>
        <w:t xml:space="preserve">            за 202</w:t>
      </w:r>
      <w:r>
        <w:rPr>
          <w:rFonts w:ascii="Times New Roman" w:eastAsia="Calibri" w:hAnsi="Times New Roman" w:cs="Times New Roman"/>
          <w:sz w:val="28"/>
          <w:szCs w:val="28"/>
          <w:lang w:eastAsia="en-US"/>
        </w:rPr>
        <w:t>4</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рік</w:t>
      </w:r>
      <w:r>
        <w:rPr>
          <w:rFonts w:ascii="Times New Roman" w:eastAsia="Calibri" w:hAnsi="Times New Roman" w:cs="Times New Roman"/>
          <w:sz w:val="28"/>
          <w:szCs w:val="28"/>
          <w:lang w:val="ru-RU" w:eastAsia="en-US"/>
        </w:rPr>
        <w:t xml:space="preserve">; </w:t>
      </w:r>
    </w:p>
    <w:p w:rsidR="00B33F96" w:rsidP="00B33F96" w14:paraId="7EAE2E37"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очікувані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показники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економічного</w:t>
      </w:r>
      <w:r>
        <w:rPr>
          <w:rFonts w:ascii="Times New Roman" w:eastAsia="Calibri" w:hAnsi="Times New Roman" w:cs="Times New Roman"/>
          <w:sz w:val="28"/>
          <w:szCs w:val="28"/>
          <w:lang w:val="ru-RU" w:eastAsia="en-US"/>
        </w:rPr>
        <w:t xml:space="preserve"> і </w:t>
      </w:r>
      <w:r>
        <w:rPr>
          <w:rFonts w:ascii="Times New Roman" w:eastAsia="Calibri" w:hAnsi="Times New Roman" w:cs="Times New Roman"/>
          <w:sz w:val="28"/>
          <w:szCs w:val="28"/>
          <w:lang w:val="ru-RU" w:eastAsia="en-US"/>
        </w:rPr>
        <w:t>соц</w:t>
      </w:r>
      <w:r>
        <w:rPr>
          <w:rFonts w:ascii="Times New Roman" w:eastAsia="Calibri" w:hAnsi="Times New Roman" w:cs="Times New Roman"/>
          <w:sz w:val="28"/>
          <w:szCs w:val="28"/>
          <w:lang w:val="ru-RU" w:eastAsia="en-US"/>
        </w:rPr>
        <w:t>іального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розвитку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громади</w:t>
      </w:r>
      <w:r>
        <w:rPr>
          <w:rFonts w:ascii="Times New Roman" w:eastAsia="Calibri" w:hAnsi="Times New Roman" w:cs="Times New Roman"/>
          <w:sz w:val="28"/>
          <w:szCs w:val="28"/>
          <w:lang w:val="ru-RU" w:eastAsia="en-US"/>
        </w:rPr>
        <w:t xml:space="preserve">            за 202</w:t>
      </w:r>
      <w:r>
        <w:rPr>
          <w:rFonts w:ascii="Times New Roman" w:eastAsia="Calibri" w:hAnsi="Times New Roman" w:cs="Times New Roman"/>
          <w:sz w:val="28"/>
          <w:szCs w:val="28"/>
          <w:lang w:eastAsia="en-US"/>
        </w:rPr>
        <w:t>5</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рік</w:t>
      </w:r>
      <w:r>
        <w:rPr>
          <w:rFonts w:ascii="Times New Roman" w:eastAsia="Calibri" w:hAnsi="Times New Roman" w:cs="Times New Roman"/>
          <w:sz w:val="28"/>
          <w:szCs w:val="28"/>
          <w:lang w:val="ru-RU" w:eastAsia="en-US"/>
        </w:rPr>
        <w:t xml:space="preserve">; </w:t>
      </w:r>
    </w:p>
    <w:p w:rsidR="00B33F96" w:rsidP="00B33F96" w14:paraId="7B2FF647"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прогнозні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показники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економічного</w:t>
      </w:r>
      <w:r>
        <w:rPr>
          <w:rFonts w:ascii="Times New Roman" w:eastAsia="Calibri" w:hAnsi="Times New Roman" w:cs="Times New Roman"/>
          <w:sz w:val="28"/>
          <w:szCs w:val="28"/>
          <w:lang w:val="ru-RU" w:eastAsia="en-US"/>
        </w:rPr>
        <w:t xml:space="preserve"> і </w:t>
      </w:r>
      <w:r>
        <w:rPr>
          <w:rFonts w:ascii="Times New Roman" w:eastAsia="Calibri" w:hAnsi="Times New Roman" w:cs="Times New Roman"/>
          <w:sz w:val="28"/>
          <w:szCs w:val="28"/>
          <w:lang w:val="ru-RU" w:eastAsia="en-US"/>
        </w:rPr>
        <w:t>соц</w:t>
      </w:r>
      <w:r>
        <w:rPr>
          <w:rFonts w:ascii="Times New Roman" w:eastAsia="Calibri" w:hAnsi="Times New Roman" w:cs="Times New Roman"/>
          <w:sz w:val="28"/>
          <w:szCs w:val="28"/>
          <w:lang w:val="ru-RU" w:eastAsia="en-US"/>
        </w:rPr>
        <w:t>іального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розвитку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громади</w:t>
      </w:r>
      <w:r>
        <w:rPr>
          <w:rFonts w:ascii="Times New Roman" w:eastAsia="Calibri" w:hAnsi="Times New Roman" w:cs="Times New Roman"/>
          <w:sz w:val="28"/>
          <w:szCs w:val="28"/>
          <w:lang w:val="ru-RU" w:eastAsia="en-US"/>
        </w:rPr>
        <w:t xml:space="preserve">          на 202</w:t>
      </w:r>
      <w:r>
        <w:rPr>
          <w:rFonts w:ascii="Times New Roman" w:eastAsia="Calibri" w:hAnsi="Times New Roman" w:cs="Times New Roman"/>
          <w:sz w:val="28"/>
          <w:szCs w:val="28"/>
          <w:lang w:eastAsia="en-US"/>
        </w:rPr>
        <w:t>6</w:t>
      </w:r>
      <w:r>
        <w:rPr>
          <w:rFonts w:ascii="Times New Roman" w:eastAsia="Calibri" w:hAnsi="Times New Roman" w:cs="Times New Roman"/>
          <w:sz w:val="28"/>
          <w:szCs w:val="28"/>
          <w:lang w:val="ru-RU" w:eastAsia="en-US"/>
        </w:rPr>
        <w:t>-202</w:t>
      </w:r>
      <w:r>
        <w:rPr>
          <w:rFonts w:ascii="Times New Roman" w:eastAsia="Calibri" w:hAnsi="Times New Roman" w:cs="Times New Roman"/>
          <w:sz w:val="28"/>
          <w:szCs w:val="28"/>
          <w:lang w:eastAsia="en-US"/>
        </w:rPr>
        <w:t>8</w:t>
      </w:r>
      <w:r>
        <w:rPr>
          <w:rFonts w:ascii="Times New Roman" w:eastAsia="Calibri" w:hAnsi="Times New Roman" w:cs="Times New Roman"/>
          <w:sz w:val="28"/>
          <w:szCs w:val="28"/>
          <w:lang w:val="ru-RU" w:eastAsia="en-US"/>
        </w:rPr>
        <w:t xml:space="preserve"> роки; </w:t>
      </w:r>
    </w:p>
    <w:p w:rsidR="00B33F96" w:rsidP="00B33F96" w14:paraId="7A07FD32"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макропоказники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економічного</w:t>
      </w:r>
      <w:r>
        <w:rPr>
          <w:rFonts w:ascii="Times New Roman" w:eastAsia="Calibri" w:hAnsi="Times New Roman" w:cs="Times New Roman"/>
          <w:sz w:val="28"/>
          <w:szCs w:val="28"/>
          <w:lang w:val="ru-RU" w:eastAsia="en-US"/>
        </w:rPr>
        <w:t xml:space="preserve"> і </w:t>
      </w:r>
      <w:r>
        <w:rPr>
          <w:rFonts w:ascii="Times New Roman" w:eastAsia="Calibri" w:hAnsi="Times New Roman" w:cs="Times New Roman"/>
          <w:sz w:val="28"/>
          <w:szCs w:val="28"/>
          <w:lang w:val="ru-RU" w:eastAsia="en-US"/>
        </w:rPr>
        <w:t>соц</w:t>
      </w:r>
      <w:r>
        <w:rPr>
          <w:rFonts w:ascii="Times New Roman" w:eastAsia="Calibri" w:hAnsi="Times New Roman" w:cs="Times New Roman"/>
          <w:sz w:val="28"/>
          <w:szCs w:val="28"/>
          <w:lang w:val="ru-RU" w:eastAsia="en-US"/>
        </w:rPr>
        <w:t>іального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розвитку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України</w:t>
      </w:r>
      <w:r>
        <w:rPr>
          <w:rFonts w:ascii="Times New Roman" w:eastAsia="Calibri" w:hAnsi="Times New Roman" w:cs="Times New Roman"/>
          <w:sz w:val="28"/>
          <w:szCs w:val="28"/>
          <w:lang w:val="ru-RU" w:eastAsia="en-US"/>
        </w:rPr>
        <w:t xml:space="preserve"> на 202</w:t>
      </w:r>
      <w:r>
        <w:rPr>
          <w:rFonts w:ascii="Times New Roman" w:eastAsia="Calibri" w:hAnsi="Times New Roman" w:cs="Times New Roman"/>
          <w:sz w:val="28"/>
          <w:szCs w:val="28"/>
          <w:lang w:eastAsia="en-US"/>
        </w:rPr>
        <w:t>6</w:t>
      </w:r>
      <w:r>
        <w:rPr>
          <w:rFonts w:ascii="Times New Roman" w:eastAsia="Calibri" w:hAnsi="Times New Roman" w:cs="Times New Roman"/>
          <w:sz w:val="28"/>
          <w:szCs w:val="28"/>
          <w:lang w:val="ru-RU" w:eastAsia="en-US"/>
        </w:rPr>
        <w:t>-202</w:t>
      </w:r>
      <w:r>
        <w:rPr>
          <w:rFonts w:ascii="Times New Roman" w:eastAsia="Calibri" w:hAnsi="Times New Roman" w:cs="Times New Roman"/>
          <w:sz w:val="28"/>
          <w:szCs w:val="28"/>
          <w:lang w:eastAsia="en-US"/>
        </w:rPr>
        <w:t>8</w:t>
      </w:r>
      <w:r>
        <w:rPr>
          <w:rFonts w:ascii="Times New Roman" w:eastAsia="Calibri" w:hAnsi="Times New Roman" w:cs="Times New Roman"/>
          <w:sz w:val="28"/>
          <w:szCs w:val="28"/>
          <w:lang w:val="ru-RU" w:eastAsia="en-US"/>
        </w:rPr>
        <w:t xml:space="preserve"> роки, </w:t>
      </w:r>
      <w:r>
        <w:rPr>
          <w:rFonts w:ascii="Times New Roman" w:eastAsia="Calibri" w:hAnsi="Times New Roman" w:cs="Times New Roman"/>
          <w:sz w:val="28"/>
          <w:szCs w:val="28"/>
          <w:lang w:val="ru-RU" w:eastAsia="en-US"/>
        </w:rPr>
        <w:t>схвалені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постановою</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Кабінету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Міністрів</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України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від</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color w:val="040C28"/>
          <w:sz w:val="28"/>
          <w:szCs w:val="28"/>
          <w:shd w:val="clear" w:color="auto" w:fill="FFFFFF"/>
          <w:lang w:val="ru-RU" w:eastAsia="en-US"/>
        </w:rPr>
        <w:t xml:space="preserve">06.08.2025     № 946 </w:t>
      </w:r>
      <w:r>
        <w:rPr>
          <w:rFonts w:ascii="Times New Roman" w:eastAsia="Calibri" w:hAnsi="Times New Roman" w:cs="Times New Roman"/>
          <w:sz w:val="28"/>
          <w:szCs w:val="28"/>
          <w:lang w:val="ru-RU" w:eastAsia="en-US"/>
        </w:rPr>
        <w:t xml:space="preserve">та </w:t>
      </w:r>
      <w:r>
        <w:rPr>
          <w:rFonts w:ascii="Times New Roman" w:eastAsia="Calibri" w:hAnsi="Times New Roman" w:cs="Times New Roman"/>
          <w:sz w:val="28"/>
          <w:szCs w:val="28"/>
          <w:lang w:val="ru-RU" w:eastAsia="en-US"/>
        </w:rPr>
        <w:t>визначені</w:t>
      </w:r>
      <w:r>
        <w:rPr>
          <w:rFonts w:ascii="Times New Roman" w:eastAsia="Calibri" w:hAnsi="Times New Roman" w:cs="Times New Roman"/>
          <w:sz w:val="28"/>
          <w:szCs w:val="28"/>
          <w:lang w:val="ru-RU" w:eastAsia="en-US"/>
        </w:rPr>
        <w:t xml:space="preserve"> Бюджетною </w:t>
      </w:r>
      <w:r>
        <w:rPr>
          <w:rFonts w:ascii="Times New Roman" w:eastAsia="Calibri" w:hAnsi="Times New Roman" w:cs="Times New Roman"/>
          <w:sz w:val="28"/>
          <w:szCs w:val="28"/>
          <w:lang w:val="ru-RU" w:eastAsia="en-US"/>
        </w:rPr>
        <w:t>декларацією</w:t>
      </w:r>
      <w:r>
        <w:rPr>
          <w:rFonts w:ascii="Times New Roman" w:eastAsia="Calibri" w:hAnsi="Times New Roman" w:cs="Times New Roman"/>
          <w:sz w:val="28"/>
          <w:szCs w:val="28"/>
          <w:lang w:val="ru-RU" w:eastAsia="en-US"/>
        </w:rPr>
        <w:t xml:space="preserve"> на 202</w:t>
      </w:r>
      <w:r>
        <w:rPr>
          <w:rFonts w:ascii="Times New Roman" w:eastAsia="Calibri" w:hAnsi="Times New Roman" w:cs="Times New Roman"/>
          <w:sz w:val="28"/>
          <w:szCs w:val="28"/>
          <w:lang w:eastAsia="en-US"/>
        </w:rPr>
        <w:t>6</w:t>
      </w:r>
      <w:r>
        <w:rPr>
          <w:rFonts w:ascii="Times New Roman" w:eastAsia="Calibri" w:hAnsi="Times New Roman" w:cs="Times New Roman"/>
          <w:sz w:val="28"/>
          <w:szCs w:val="28"/>
          <w:lang w:val="ru-RU" w:eastAsia="en-US"/>
        </w:rPr>
        <w:t>-202</w:t>
      </w:r>
      <w:r>
        <w:rPr>
          <w:rFonts w:ascii="Times New Roman" w:eastAsia="Calibri" w:hAnsi="Times New Roman" w:cs="Times New Roman"/>
          <w:sz w:val="28"/>
          <w:szCs w:val="28"/>
          <w:lang w:eastAsia="en-US"/>
        </w:rPr>
        <w:t>8</w:t>
      </w:r>
      <w:r>
        <w:rPr>
          <w:rFonts w:ascii="Times New Roman" w:eastAsia="Calibri" w:hAnsi="Times New Roman" w:cs="Times New Roman"/>
          <w:sz w:val="28"/>
          <w:szCs w:val="28"/>
          <w:lang w:val="ru-RU" w:eastAsia="en-US"/>
        </w:rPr>
        <w:t xml:space="preserve"> роки, </w:t>
      </w:r>
      <w:r>
        <w:rPr>
          <w:rFonts w:ascii="Times New Roman" w:eastAsia="Calibri" w:hAnsi="Times New Roman" w:cs="Times New Roman"/>
          <w:sz w:val="28"/>
          <w:szCs w:val="28"/>
          <w:lang w:val="ru-RU" w:eastAsia="en-US"/>
        </w:rPr>
        <w:t>що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затверджена</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постановою</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Кабінету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Міністрів</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України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від</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color w:val="474747"/>
          <w:sz w:val="28"/>
          <w:szCs w:val="28"/>
          <w:shd w:val="clear" w:color="auto" w:fill="FFFFFF"/>
          <w:lang w:val="ru-RU" w:eastAsia="en-US"/>
        </w:rPr>
        <w:t>7.06.2025 № 774</w:t>
      </w:r>
      <w:r>
        <w:rPr>
          <w:rFonts w:ascii="Times New Roman" w:eastAsia="Calibri" w:hAnsi="Times New Roman" w:cs="Times New Roman"/>
          <w:sz w:val="28"/>
          <w:szCs w:val="28"/>
          <w:lang w:val="ru-RU" w:eastAsia="en-US"/>
        </w:rPr>
        <w:t>;</w:t>
      </w:r>
    </w:p>
    <w:p w:rsidR="00B33F96" w:rsidP="00B33F96" w14:paraId="1F896DAA"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застосування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чинних</w:t>
      </w:r>
      <w:r>
        <w:rPr>
          <w:rFonts w:ascii="Times New Roman" w:eastAsia="Calibri" w:hAnsi="Times New Roman" w:cs="Times New Roman"/>
          <w:sz w:val="28"/>
          <w:szCs w:val="28"/>
          <w:lang w:val="ru-RU" w:eastAsia="en-US"/>
        </w:rPr>
        <w:t xml:space="preserve"> ставок </w:t>
      </w:r>
      <w:r>
        <w:rPr>
          <w:rFonts w:ascii="Times New Roman" w:eastAsia="Calibri" w:hAnsi="Times New Roman" w:cs="Times New Roman"/>
          <w:sz w:val="28"/>
          <w:szCs w:val="28"/>
          <w:lang w:val="ru-RU" w:eastAsia="en-US"/>
        </w:rPr>
        <w:t>загальнодержавних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податкі</w:t>
      </w:r>
      <w:r>
        <w:rPr>
          <w:rFonts w:ascii="Times New Roman" w:eastAsia="Calibri" w:hAnsi="Times New Roman" w:cs="Times New Roman"/>
          <w:sz w:val="28"/>
          <w:szCs w:val="28"/>
          <w:lang w:val="ru-RU" w:eastAsia="en-US"/>
        </w:rPr>
        <w:t>в</w:t>
      </w:r>
      <w:r>
        <w:rPr>
          <w:rFonts w:ascii="Times New Roman" w:eastAsia="Calibri" w:hAnsi="Times New Roman" w:cs="Times New Roman"/>
          <w:sz w:val="28"/>
          <w:szCs w:val="28"/>
          <w:lang w:val="ru-RU" w:eastAsia="en-US"/>
        </w:rPr>
        <w:t xml:space="preserve">; </w:t>
      </w:r>
    </w:p>
    <w:p w:rsidR="00B33F96" w:rsidP="00B33F96" w14:paraId="7640C807"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застосування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індексу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споживчих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цін</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що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використовується</w:t>
      </w:r>
      <w:r>
        <w:rPr>
          <w:rFonts w:ascii="Times New Roman" w:eastAsia="Calibri" w:hAnsi="Times New Roman" w:cs="Times New Roman"/>
          <w:sz w:val="28"/>
          <w:szCs w:val="28"/>
          <w:lang w:val="ru-RU" w:eastAsia="en-US"/>
        </w:rPr>
        <w:t xml:space="preserve"> для </w:t>
      </w:r>
      <w:r>
        <w:rPr>
          <w:rFonts w:ascii="Times New Roman" w:eastAsia="Calibri" w:hAnsi="Times New Roman" w:cs="Times New Roman"/>
          <w:sz w:val="28"/>
          <w:szCs w:val="28"/>
          <w:lang w:val="ru-RU" w:eastAsia="en-US"/>
        </w:rPr>
        <w:t>визначення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коефіцієнта</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індексації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нормативної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грошової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оцінки</w:t>
      </w:r>
      <w:r>
        <w:rPr>
          <w:rFonts w:ascii="Times New Roman" w:eastAsia="Calibri" w:hAnsi="Times New Roman" w:cs="Times New Roman"/>
          <w:sz w:val="28"/>
          <w:szCs w:val="28"/>
          <w:lang w:val="ru-RU" w:eastAsia="en-US"/>
        </w:rPr>
        <w:t xml:space="preserve"> земель </w:t>
      </w:r>
      <w:r>
        <w:rPr>
          <w:rFonts w:ascii="Times New Roman" w:eastAsia="Calibri" w:hAnsi="Times New Roman" w:cs="Times New Roman"/>
          <w:sz w:val="28"/>
          <w:szCs w:val="28"/>
          <w:lang w:val="ru-RU" w:eastAsia="en-US"/>
        </w:rPr>
        <w:t>населених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пунктів</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із</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значенням</w:t>
      </w:r>
      <w:r>
        <w:rPr>
          <w:rFonts w:ascii="Times New Roman" w:eastAsia="Calibri" w:hAnsi="Times New Roman" w:cs="Times New Roman"/>
          <w:sz w:val="28"/>
          <w:szCs w:val="28"/>
          <w:lang w:val="ru-RU" w:eastAsia="en-US"/>
        </w:rPr>
        <w:t xml:space="preserve"> 1</w:t>
      </w:r>
      <w:r>
        <w:rPr>
          <w:rFonts w:ascii="Times New Roman" w:eastAsia="Calibri" w:hAnsi="Times New Roman" w:cs="Times New Roman"/>
          <w:sz w:val="28"/>
          <w:szCs w:val="28"/>
          <w:lang w:eastAsia="en-US"/>
        </w:rPr>
        <w:t>,12</w:t>
      </w:r>
      <w:r>
        <w:rPr>
          <w:rFonts w:ascii="Times New Roman" w:eastAsia="Calibri" w:hAnsi="Times New Roman" w:cs="Times New Roman"/>
          <w:sz w:val="28"/>
          <w:szCs w:val="28"/>
          <w:lang w:val="ru-RU" w:eastAsia="en-US"/>
        </w:rPr>
        <w:t>;</w:t>
      </w:r>
    </w:p>
    <w:p w:rsidR="00B33F96" w:rsidP="00B33F96" w14:paraId="2E46BA5E"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п</w:t>
      </w:r>
      <w:r>
        <w:rPr>
          <w:rFonts w:ascii="Times New Roman" w:eastAsia="Calibri" w:hAnsi="Times New Roman" w:cs="Times New Roman"/>
          <w:sz w:val="28"/>
          <w:szCs w:val="28"/>
          <w:lang w:val="ru-RU" w:eastAsia="en-US"/>
        </w:rPr>
        <w:t>ідвищення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розміру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прожиткового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мінімуму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мінімальної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заробітної</w:t>
      </w:r>
      <w:r>
        <w:rPr>
          <w:rFonts w:ascii="Times New Roman" w:eastAsia="Calibri" w:hAnsi="Times New Roman" w:cs="Times New Roman"/>
          <w:sz w:val="28"/>
          <w:szCs w:val="28"/>
          <w:lang w:val="ru-RU" w:eastAsia="en-US"/>
        </w:rPr>
        <w:t xml:space="preserve"> плати та </w:t>
      </w:r>
      <w:r>
        <w:rPr>
          <w:rFonts w:ascii="Times New Roman" w:eastAsia="Calibri" w:hAnsi="Times New Roman" w:cs="Times New Roman"/>
          <w:sz w:val="28"/>
          <w:szCs w:val="28"/>
          <w:lang w:val="ru-RU" w:eastAsia="en-US"/>
        </w:rPr>
        <w:t>посадового</w:t>
      </w:r>
      <w:r>
        <w:rPr>
          <w:rFonts w:ascii="Times New Roman" w:eastAsia="Calibri" w:hAnsi="Times New Roman" w:cs="Times New Roman"/>
          <w:sz w:val="28"/>
          <w:szCs w:val="28"/>
          <w:lang w:val="ru-RU" w:eastAsia="en-US"/>
        </w:rPr>
        <w:t xml:space="preserve"> окладу (</w:t>
      </w:r>
      <w:r>
        <w:rPr>
          <w:rFonts w:ascii="Times New Roman" w:eastAsia="Calibri" w:hAnsi="Times New Roman" w:cs="Times New Roman"/>
          <w:sz w:val="28"/>
          <w:szCs w:val="28"/>
          <w:lang w:val="ru-RU" w:eastAsia="en-US"/>
        </w:rPr>
        <w:t>тарифної</w:t>
      </w:r>
      <w:r>
        <w:rPr>
          <w:rFonts w:ascii="Times New Roman" w:eastAsia="Calibri" w:hAnsi="Times New Roman" w:cs="Times New Roman"/>
          <w:sz w:val="28"/>
          <w:szCs w:val="28"/>
          <w:lang w:val="ru-RU" w:eastAsia="en-US"/>
        </w:rPr>
        <w:t xml:space="preserve"> ставки) </w:t>
      </w:r>
      <w:r>
        <w:rPr>
          <w:rFonts w:ascii="Times New Roman" w:eastAsia="Calibri" w:hAnsi="Times New Roman" w:cs="Times New Roman"/>
          <w:sz w:val="28"/>
          <w:szCs w:val="28"/>
          <w:lang w:val="ru-RU" w:eastAsia="en-US"/>
        </w:rPr>
        <w:t>працівника</w:t>
      </w:r>
      <w:r>
        <w:rPr>
          <w:rFonts w:ascii="Times New Roman" w:eastAsia="Calibri" w:hAnsi="Times New Roman" w:cs="Times New Roman"/>
          <w:sz w:val="28"/>
          <w:szCs w:val="28"/>
          <w:lang w:val="ru-RU" w:eastAsia="en-US"/>
        </w:rPr>
        <w:t xml:space="preserve"> I тарифного </w:t>
      </w:r>
      <w:r>
        <w:rPr>
          <w:rFonts w:ascii="Times New Roman" w:eastAsia="Calibri" w:hAnsi="Times New Roman" w:cs="Times New Roman"/>
          <w:sz w:val="28"/>
          <w:szCs w:val="28"/>
          <w:lang w:val="ru-RU" w:eastAsia="en-US"/>
        </w:rPr>
        <w:t>розряду</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Єдиної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тарифної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сітки</w:t>
      </w:r>
      <w:r>
        <w:rPr>
          <w:rFonts w:ascii="Times New Roman" w:eastAsia="Calibri" w:hAnsi="Times New Roman" w:cs="Times New Roman"/>
          <w:sz w:val="28"/>
          <w:szCs w:val="28"/>
          <w:lang w:val="ru-RU" w:eastAsia="en-US"/>
        </w:rPr>
        <w:t xml:space="preserve">; </w:t>
      </w:r>
    </w:p>
    <w:p w:rsidR="00B33F96" w:rsidP="00B33F96" w14:paraId="6A686B5B"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застосування</w:t>
      </w:r>
      <w:r>
        <w:rPr>
          <w:rFonts w:ascii="Times New Roman" w:eastAsia="Calibri" w:hAnsi="Times New Roman" w:cs="Times New Roman"/>
          <w:sz w:val="28"/>
          <w:szCs w:val="28"/>
          <w:lang w:val="ru-RU" w:eastAsia="en-US"/>
        </w:rPr>
        <w:t xml:space="preserve"> ставок </w:t>
      </w:r>
      <w:r>
        <w:rPr>
          <w:rFonts w:ascii="Times New Roman" w:eastAsia="Calibri" w:hAnsi="Times New Roman" w:cs="Times New Roman"/>
          <w:sz w:val="28"/>
          <w:szCs w:val="28"/>
          <w:lang w:val="ru-RU" w:eastAsia="en-US"/>
        </w:rPr>
        <w:t>місцевих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податків</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встановлених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w:t>
      </w:r>
      <w:r>
        <w:rPr>
          <w:rFonts w:ascii="Times New Roman" w:eastAsia="Calibri" w:hAnsi="Times New Roman" w:cs="Times New Roman"/>
          <w:sz w:val="28"/>
          <w:szCs w:val="28"/>
          <w:lang w:val="ru-RU" w:eastAsia="en-US"/>
        </w:rPr>
        <w:t>ішенням</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Броварської міської ради Броварського району Київської області від 08.07.2021 року №309-09-08 «</w:t>
      </w:r>
      <w:r>
        <w:rPr>
          <w:rFonts w:ascii="Times New Roman" w:eastAsia="Calibri" w:hAnsi="Times New Roman" w:cs="Times New Roman"/>
          <w:sz w:val="28"/>
          <w:szCs w:val="28"/>
          <w:lang w:val="ru-RU" w:eastAsia="en-US"/>
        </w:rPr>
        <w:t xml:space="preserve">Про </w:t>
      </w:r>
      <w:r>
        <w:rPr>
          <w:rFonts w:ascii="Times New Roman" w:eastAsia="Calibri" w:hAnsi="Times New Roman" w:cs="Times New Roman"/>
          <w:sz w:val="28"/>
          <w:szCs w:val="28"/>
          <w:lang w:eastAsia="en-US"/>
        </w:rPr>
        <w:t xml:space="preserve">встановлення податків і зборів на території Броварської міської територіальної громади» та </w:t>
      </w:r>
      <w:r>
        <w:rPr>
          <w:rFonts w:ascii="Times New Roman" w:eastAsia="Calibri" w:hAnsi="Times New Roman" w:cs="Times New Roman"/>
          <w:sz w:val="28"/>
          <w:szCs w:val="28"/>
          <w:lang w:val="ru-RU" w:eastAsia="en-US"/>
        </w:rPr>
        <w:t xml:space="preserve">ставок </w:t>
      </w:r>
      <w:r>
        <w:rPr>
          <w:rFonts w:ascii="Times New Roman" w:eastAsia="Calibri" w:hAnsi="Times New Roman" w:cs="Times New Roman"/>
          <w:sz w:val="28"/>
          <w:szCs w:val="28"/>
          <w:lang w:eastAsia="en-US"/>
        </w:rPr>
        <w:t xml:space="preserve">земельного </w:t>
      </w:r>
      <w:r>
        <w:rPr>
          <w:rFonts w:ascii="Times New Roman" w:eastAsia="Calibri" w:hAnsi="Times New Roman" w:cs="Times New Roman"/>
          <w:sz w:val="28"/>
          <w:szCs w:val="28"/>
          <w:lang w:val="ru-RU" w:eastAsia="en-US"/>
        </w:rPr>
        <w:t>податк</w:t>
      </w:r>
      <w:r>
        <w:rPr>
          <w:rFonts w:ascii="Times New Roman" w:eastAsia="Calibri" w:hAnsi="Times New Roman" w:cs="Times New Roman"/>
          <w:sz w:val="28"/>
          <w:szCs w:val="28"/>
          <w:lang w:eastAsia="en-US"/>
        </w:rPr>
        <w:t>у та податку про нерухоме майно, відмінне від земельної ділянки, а також збору за паркування транспортних засобів</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встановлених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рішенням</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 xml:space="preserve">Броварської міської ради Броварського району Київської області від </w:t>
      </w:r>
      <w:r>
        <w:rPr>
          <w:rFonts w:ascii="Times New Roman" w:eastAsia="Calibri" w:hAnsi="Times New Roman" w:cs="Times New Roman"/>
          <w:spacing w:val="-2"/>
          <w:sz w:val="28"/>
          <w:szCs w:val="28"/>
          <w:lang w:val="ru-RU" w:eastAsia="en-US"/>
        </w:rPr>
        <w:t>27.06.2024</w:t>
      </w:r>
      <w:r>
        <w:rPr>
          <w:rFonts w:ascii="Times New Roman" w:eastAsia="Calibri" w:hAnsi="Times New Roman" w:cs="Times New Roman"/>
          <w:sz w:val="28"/>
          <w:szCs w:val="28"/>
          <w:lang w:eastAsia="en-US"/>
        </w:rPr>
        <w:t xml:space="preserve"> року №</w:t>
      </w:r>
      <w:r>
        <w:rPr>
          <w:rFonts w:ascii="Times New Roman" w:eastAsia="Calibri" w:hAnsi="Times New Roman" w:cs="Times New Roman"/>
          <w:sz w:val="28"/>
          <w:szCs w:val="28"/>
          <w:lang w:val="ru-RU" w:eastAsia="en-US"/>
        </w:rPr>
        <w:t>1663-73-</w:t>
      </w:r>
      <w:r>
        <w:rPr>
          <w:rFonts w:ascii="Times New Roman" w:eastAsia="Calibri" w:hAnsi="Times New Roman" w:cs="Times New Roman"/>
          <w:spacing w:val="-5"/>
          <w:sz w:val="28"/>
          <w:szCs w:val="28"/>
          <w:lang w:val="ru-RU" w:eastAsia="en-US"/>
        </w:rPr>
        <w:t>08</w:t>
      </w: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val="ru-RU" w:eastAsia="en-US"/>
        </w:rPr>
        <w:t xml:space="preserve">Про </w:t>
      </w:r>
      <w:r>
        <w:rPr>
          <w:rFonts w:ascii="Times New Roman" w:eastAsia="Calibri" w:hAnsi="Times New Roman" w:cs="Times New Roman"/>
          <w:sz w:val="28"/>
          <w:szCs w:val="28"/>
          <w:lang w:val="ru-RU" w:eastAsia="en-US"/>
        </w:rPr>
        <w:t>внесення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змін</w:t>
      </w:r>
      <w:r>
        <w:rPr>
          <w:rFonts w:ascii="Times New Roman" w:eastAsia="Calibri" w:hAnsi="Times New Roman" w:cs="Times New Roman"/>
          <w:sz w:val="28"/>
          <w:szCs w:val="28"/>
          <w:lang w:val="ru-RU" w:eastAsia="en-US"/>
        </w:rPr>
        <w:t xml:space="preserve"> до </w:t>
      </w:r>
      <w:r>
        <w:rPr>
          <w:rFonts w:ascii="Times New Roman" w:eastAsia="Calibri" w:hAnsi="Times New Roman" w:cs="Times New Roman"/>
          <w:sz w:val="28"/>
          <w:szCs w:val="28"/>
          <w:lang w:val="ru-RU" w:eastAsia="en-US"/>
        </w:rPr>
        <w:t>рішення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Броварської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міської</w:t>
      </w:r>
      <w:r>
        <w:rPr>
          <w:rFonts w:ascii="Times New Roman" w:eastAsia="Calibri" w:hAnsi="Times New Roman" w:cs="Times New Roman"/>
          <w:sz w:val="28"/>
          <w:szCs w:val="28"/>
          <w:lang w:val="ru-RU" w:eastAsia="en-US"/>
        </w:rPr>
        <w:t xml:space="preserve"> ради </w:t>
      </w:r>
      <w:r>
        <w:rPr>
          <w:rFonts w:ascii="Times New Roman" w:eastAsia="Calibri" w:hAnsi="Times New Roman" w:cs="Times New Roman"/>
          <w:sz w:val="28"/>
          <w:szCs w:val="28"/>
          <w:lang w:val="ru-RU" w:eastAsia="en-US"/>
        </w:rPr>
        <w:t>Броварського</w:t>
      </w:r>
      <w:r>
        <w:rPr>
          <w:rFonts w:ascii="Times New Roman" w:eastAsia="Calibri" w:hAnsi="Times New Roman" w:cs="Times New Roman"/>
          <w:sz w:val="28"/>
          <w:szCs w:val="28"/>
          <w:lang w:val="ru-RU" w:eastAsia="en-US"/>
        </w:rPr>
        <w:t xml:space="preserve"> району </w:t>
      </w:r>
      <w:r>
        <w:rPr>
          <w:rFonts w:ascii="Times New Roman" w:eastAsia="Calibri" w:hAnsi="Times New Roman" w:cs="Times New Roman"/>
          <w:sz w:val="28"/>
          <w:szCs w:val="28"/>
          <w:lang w:val="ru-RU" w:eastAsia="en-US"/>
        </w:rPr>
        <w:t>Київської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області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від</w:t>
      </w:r>
      <w:r>
        <w:rPr>
          <w:rFonts w:ascii="Times New Roman" w:eastAsia="Calibri" w:hAnsi="Times New Roman" w:cs="Times New Roman"/>
          <w:spacing w:val="-1"/>
          <w:sz w:val="28"/>
          <w:szCs w:val="28"/>
          <w:lang w:val="ru-RU" w:eastAsia="en-US"/>
        </w:rPr>
        <w:t xml:space="preserve"> </w:t>
      </w:r>
      <w:r>
        <w:rPr>
          <w:rFonts w:ascii="Times New Roman" w:eastAsia="Calibri" w:hAnsi="Times New Roman" w:cs="Times New Roman"/>
          <w:sz w:val="28"/>
          <w:szCs w:val="28"/>
          <w:lang w:val="ru-RU" w:eastAsia="en-US"/>
        </w:rPr>
        <w:t xml:space="preserve">08.07.2021 </w:t>
      </w:r>
      <w:r>
        <w:rPr>
          <w:rFonts w:ascii="Times New Roman" w:eastAsia="Calibri" w:hAnsi="Times New Roman" w:cs="Times New Roman"/>
          <w:spacing w:val="-4"/>
          <w:sz w:val="28"/>
          <w:szCs w:val="28"/>
          <w:lang w:val="ru-RU" w:eastAsia="en-US"/>
        </w:rPr>
        <w:t>року</w:t>
      </w:r>
      <w:r>
        <w:rPr>
          <w:rFonts w:ascii="Times New Roman" w:eastAsia="Calibri" w:hAnsi="Times New Roman" w:cs="Times New Roman"/>
          <w:sz w:val="28"/>
          <w:szCs w:val="28"/>
          <w:lang w:val="ru-RU" w:eastAsia="en-US"/>
        </w:rPr>
        <w:t xml:space="preserve"> №309-09-08</w:t>
      </w:r>
      <w:r>
        <w:rPr>
          <w:rFonts w:ascii="Times New Roman" w:eastAsia="Calibri" w:hAnsi="Times New Roman" w:cs="Times New Roman"/>
          <w:spacing w:val="-6"/>
          <w:sz w:val="28"/>
          <w:szCs w:val="28"/>
          <w:lang w:val="ru-RU" w:eastAsia="en-US"/>
        </w:rPr>
        <w:t xml:space="preserve"> </w:t>
      </w:r>
      <w:r>
        <w:rPr>
          <w:rFonts w:ascii="Times New Roman" w:eastAsia="Calibri" w:hAnsi="Times New Roman" w:cs="Times New Roman"/>
          <w:spacing w:val="-6"/>
          <w:sz w:val="28"/>
          <w:szCs w:val="28"/>
          <w:lang w:eastAsia="en-US"/>
        </w:rPr>
        <w:t>«</w:t>
      </w:r>
      <w:r>
        <w:rPr>
          <w:rFonts w:ascii="Times New Roman" w:eastAsia="Calibri" w:hAnsi="Times New Roman" w:cs="Times New Roman"/>
          <w:sz w:val="28"/>
          <w:szCs w:val="28"/>
          <w:lang w:val="ru-RU" w:eastAsia="en-US"/>
        </w:rPr>
        <w:t xml:space="preserve">Про </w:t>
      </w:r>
      <w:r>
        <w:rPr>
          <w:rFonts w:ascii="Times New Roman" w:eastAsia="Calibri" w:hAnsi="Times New Roman" w:cs="Times New Roman"/>
          <w:sz w:val="28"/>
          <w:szCs w:val="28"/>
          <w:lang w:eastAsia="en-US"/>
        </w:rPr>
        <w:t>встановлення податків і зборів на території Броварської міської територіальної громади»</w:t>
      </w:r>
      <w:r>
        <w:rPr>
          <w:rFonts w:ascii="Times New Roman" w:eastAsia="Calibri" w:hAnsi="Times New Roman" w:cs="Times New Roman"/>
          <w:sz w:val="28"/>
          <w:szCs w:val="28"/>
          <w:lang w:val="ru-RU" w:eastAsia="en-US"/>
        </w:rPr>
        <w:t xml:space="preserve">; </w:t>
      </w:r>
    </w:p>
    <w:p w:rsidR="00B33F96" w:rsidP="00B33F96" w14:paraId="42EB7FA3"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фактичне</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виконання</w:t>
      </w:r>
      <w:r>
        <w:rPr>
          <w:rFonts w:ascii="Times New Roman" w:eastAsia="Calibri" w:hAnsi="Times New Roman" w:cs="Times New Roman"/>
          <w:sz w:val="28"/>
          <w:szCs w:val="28"/>
          <w:lang w:val="ru-RU" w:eastAsia="en-US"/>
        </w:rPr>
        <w:t xml:space="preserve"> дох</w:t>
      </w:r>
      <w:r>
        <w:rPr>
          <w:rFonts w:ascii="Times New Roman" w:eastAsia="Calibri" w:hAnsi="Times New Roman" w:cs="Times New Roman"/>
          <w:sz w:val="28"/>
          <w:szCs w:val="28"/>
          <w:lang w:eastAsia="en-US"/>
        </w:rPr>
        <w:t>о</w:t>
      </w:r>
      <w:r>
        <w:rPr>
          <w:rFonts w:ascii="Times New Roman" w:eastAsia="Calibri" w:hAnsi="Times New Roman" w:cs="Times New Roman"/>
          <w:sz w:val="28"/>
          <w:szCs w:val="28"/>
          <w:lang w:val="ru-RU" w:eastAsia="en-US"/>
        </w:rPr>
        <w:t>дної</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частини</w:t>
      </w:r>
      <w:r>
        <w:rPr>
          <w:rFonts w:ascii="Times New Roman" w:eastAsia="Calibri" w:hAnsi="Times New Roman" w:cs="Times New Roman"/>
          <w:sz w:val="28"/>
          <w:szCs w:val="28"/>
          <w:lang w:val="ru-RU" w:eastAsia="en-US"/>
        </w:rPr>
        <w:t xml:space="preserve"> бюджету </w:t>
      </w:r>
      <w:r>
        <w:rPr>
          <w:rFonts w:ascii="Times New Roman" w:eastAsia="Calibri" w:hAnsi="Times New Roman" w:cs="Times New Roman"/>
          <w:sz w:val="28"/>
          <w:szCs w:val="28"/>
          <w:lang w:eastAsia="en-US"/>
        </w:rPr>
        <w:t>громади</w:t>
      </w:r>
      <w:r>
        <w:rPr>
          <w:rFonts w:ascii="Times New Roman" w:eastAsia="Calibri" w:hAnsi="Times New Roman" w:cs="Times New Roman"/>
          <w:sz w:val="28"/>
          <w:szCs w:val="28"/>
          <w:lang w:val="ru-RU" w:eastAsia="en-US"/>
        </w:rPr>
        <w:t xml:space="preserve"> за результатами 20</w:t>
      </w:r>
      <w:r>
        <w:rPr>
          <w:rFonts w:ascii="Times New Roman" w:eastAsia="Calibri" w:hAnsi="Times New Roman" w:cs="Times New Roman"/>
          <w:sz w:val="28"/>
          <w:szCs w:val="28"/>
          <w:lang w:eastAsia="en-US"/>
        </w:rPr>
        <w:t xml:space="preserve">23 </w:t>
      </w:r>
      <w:r>
        <w:rPr>
          <w:rFonts w:ascii="Times New Roman" w:eastAsia="Calibri" w:hAnsi="Times New Roman" w:cs="Times New Roman"/>
          <w:sz w:val="28"/>
          <w:szCs w:val="28"/>
          <w:lang w:val="ru-RU" w:eastAsia="en-US"/>
        </w:rPr>
        <w:t>- 202</w:t>
      </w:r>
      <w:r>
        <w:rPr>
          <w:rFonts w:ascii="Times New Roman" w:eastAsia="Calibri" w:hAnsi="Times New Roman" w:cs="Times New Roman"/>
          <w:sz w:val="28"/>
          <w:szCs w:val="28"/>
          <w:lang w:eastAsia="en-US"/>
        </w:rPr>
        <w:t>4</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рокі</w:t>
      </w:r>
      <w:r>
        <w:rPr>
          <w:rFonts w:ascii="Times New Roman" w:eastAsia="Calibri" w:hAnsi="Times New Roman" w:cs="Times New Roman"/>
          <w:sz w:val="28"/>
          <w:szCs w:val="28"/>
          <w:lang w:val="ru-RU" w:eastAsia="en-US"/>
        </w:rPr>
        <w:t>в</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та</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 xml:space="preserve">доходної частини громади за </w:t>
      </w:r>
      <w:r>
        <w:rPr>
          <w:rFonts w:ascii="Times New Roman" w:eastAsia="Calibri" w:hAnsi="Times New Roman" w:cs="Times New Roman"/>
          <w:sz w:val="28"/>
          <w:szCs w:val="28"/>
          <w:lang w:val="ru-RU" w:eastAsia="en-US"/>
        </w:rPr>
        <w:t xml:space="preserve">6 </w:t>
      </w:r>
      <w:r>
        <w:rPr>
          <w:rFonts w:ascii="Times New Roman" w:eastAsia="Calibri" w:hAnsi="Times New Roman" w:cs="Times New Roman"/>
          <w:sz w:val="28"/>
          <w:szCs w:val="28"/>
          <w:lang w:val="ru-RU" w:eastAsia="en-US"/>
        </w:rPr>
        <w:t>місяців</w:t>
      </w:r>
      <w:r>
        <w:rPr>
          <w:rFonts w:ascii="Times New Roman" w:eastAsia="Calibri" w:hAnsi="Times New Roman" w:cs="Times New Roman"/>
          <w:sz w:val="28"/>
          <w:szCs w:val="28"/>
          <w:lang w:val="ru-RU" w:eastAsia="en-US"/>
        </w:rPr>
        <w:t xml:space="preserve"> 202</w:t>
      </w:r>
      <w:r>
        <w:rPr>
          <w:rFonts w:ascii="Times New Roman" w:eastAsia="Calibri" w:hAnsi="Times New Roman" w:cs="Times New Roman"/>
          <w:sz w:val="28"/>
          <w:szCs w:val="28"/>
          <w:lang w:eastAsia="en-US"/>
        </w:rPr>
        <w:t>5</w:t>
      </w:r>
      <w:r>
        <w:rPr>
          <w:rFonts w:ascii="Times New Roman" w:eastAsia="Calibri" w:hAnsi="Times New Roman" w:cs="Times New Roman"/>
          <w:sz w:val="28"/>
          <w:szCs w:val="28"/>
          <w:lang w:val="ru-RU" w:eastAsia="en-US"/>
        </w:rPr>
        <w:t xml:space="preserve"> року. </w:t>
      </w:r>
    </w:p>
    <w:p w:rsidR="00B33F96" w:rsidP="00B33F96" w14:paraId="5F8C7A89"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Відповідно</w:t>
      </w:r>
      <w:r>
        <w:rPr>
          <w:rFonts w:ascii="Times New Roman" w:eastAsia="Calibri" w:hAnsi="Times New Roman" w:cs="Times New Roman"/>
          <w:sz w:val="28"/>
          <w:szCs w:val="28"/>
          <w:lang w:val="ru-RU" w:eastAsia="en-US"/>
        </w:rPr>
        <w:t xml:space="preserve"> до статей 98 - 100 Бюджетного кодексу </w:t>
      </w:r>
      <w:r>
        <w:rPr>
          <w:rFonts w:ascii="Times New Roman" w:eastAsia="Calibri" w:hAnsi="Times New Roman" w:cs="Times New Roman"/>
          <w:sz w:val="28"/>
          <w:szCs w:val="28"/>
          <w:lang w:val="ru-RU" w:eastAsia="en-US"/>
        </w:rPr>
        <w:t>України</w:t>
      </w:r>
      <w:r>
        <w:rPr>
          <w:rFonts w:ascii="Times New Roman" w:eastAsia="Calibri" w:hAnsi="Times New Roman" w:cs="Times New Roman"/>
          <w:sz w:val="28"/>
          <w:szCs w:val="28"/>
          <w:lang w:val="ru-RU" w:eastAsia="en-US"/>
        </w:rPr>
        <w:t xml:space="preserve"> система бюджетного </w:t>
      </w:r>
      <w:r>
        <w:rPr>
          <w:rFonts w:ascii="Times New Roman" w:eastAsia="Calibri" w:hAnsi="Times New Roman" w:cs="Times New Roman"/>
          <w:sz w:val="28"/>
          <w:szCs w:val="28"/>
          <w:lang w:val="ru-RU" w:eastAsia="en-US"/>
        </w:rPr>
        <w:t>вирівнювання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передбачає</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горизонтальне</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вирівнювання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податкоспроможності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територій</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залежно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від</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w:t>
      </w:r>
      <w:r>
        <w:rPr>
          <w:rFonts w:ascii="Times New Roman" w:eastAsia="Calibri" w:hAnsi="Times New Roman" w:cs="Times New Roman"/>
          <w:sz w:val="28"/>
          <w:szCs w:val="28"/>
          <w:lang w:val="ru-RU" w:eastAsia="en-US"/>
        </w:rPr>
        <w:t>івня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надходжень</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податку</w:t>
      </w:r>
      <w:r>
        <w:rPr>
          <w:rFonts w:ascii="Times New Roman" w:eastAsia="Calibri" w:hAnsi="Times New Roman" w:cs="Times New Roman"/>
          <w:sz w:val="28"/>
          <w:szCs w:val="28"/>
          <w:lang w:val="ru-RU" w:eastAsia="en-US"/>
        </w:rPr>
        <w:t xml:space="preserve"> на доходи </w:t>
      </w:r>
      <w:r>
        <w:rPr>
          <w:rFonts w:ascii="Times New Roman" w:eastAsia="Calibri" w:hAnsi="Times New Roman" w:cs="Times New Roman"/>
          <w:sz w:val="28"/>
          <w:szCs w:val="28"/>
          <w:lang w:val="ru-RU" w:eastAsia="en-US"/>
        </w:rPr>
        <w:t>фізичних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осіб</w:t>
      </w:r>
      <w:r>
        <w:rPr>
          <w:rFonts w:ascii="Times New Roman" w:eastAsia="Calibri" w:hAnsi="Times New Roman" w:cs="Times New Roman"/>
          <w:sz w:val="28"/>
          <w:szCs w:val="28"/>
          <w:lang w:val="ru-RU" w:eastAsia="en-US"/>
        </w:rPr>
        <w:t xml:space="preserve"> у </w:t>
      </w:r>
      <w:r>
        <w:rPr>
          <w:rFonts w:ascii="Times New Roman" w:eastAsia="Calibri" w:hAnsi="Times New Roman" w:cs="Times New Roman"/>
          <w:sz w:val="28"/>
          <w:szCs w:val="28"/>
          <w:lang w:val="ru-RU" w:eastAsia="en-US"/>
        </w:rPr>
        <w:t>розрахунку</w:t>
      </w:r>
      <w:r>
        <w:rPr>
          <w:rFonts w:ascii="Times New Roman" w:eastAsia="Calibri" w:hAnsi="Times New Roman" w:cs="Times New Roman"/>
          <w:sz w:val="28"/>
          <w:szCs w:val="28"/>
          <w:lang w:val="ru-RU" w:eastAsia="en-US"/>
        </w:rPr>
        <w:t xml:space="preserve"> на одного жителя, шляхом </w:t>
      </w:r>
      <w:r>
        <w:rPr>
          <w:rFonts w:ascii="Times New Roman" w:eastAsia="Calibri" w:hAnsi="Times New Roman" w:cs="Times New Roman"/>
          <w:sz w:val="28"/>
          <w:szCs w:val="28"/>
          <w:lang w:val="ru-RU" w:eastAsia="en-US"/>
        </w:rPr>
        <w:t>передачі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трансфертів</w:t>
      </w:r>
      <w:r>
        <w:rPr>
          <w:rFonts w:ascii="Times New Roman" w:eastAsia="Calibri" w:hAnsi="Times New Roman" w:cs="Times New Roman"/>
          <w:sz w:val="28"/>
          <w:szCs w:val="28"/>
          <w:lang w:val="ru-RU" w:eastAsia="en-US"/>
        </w:rPr>
        <w:t xml:space="preserve">. </w:t>
      </w:r>
    </w:p>
    <w:p w:rsidR="00B33F96" w:rsidP="00B33F96" w14:paraId="2B45D04F"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 урахуванням прогнозу основних макроекономічних показників економічного та соціального розвитку країни, динаміки бази оподаткування, ефективності податкового адміністрування, загальні показники доходів бюджету Броварської міської територіальної громади на 2026-2028 роки зростають. </w:t>
      </w:r>
    </w:p>
    <w:p w:rsidR="00B33F96" w:rsidP="00B33F96" w14:paraId="305527D0" w14:textId="77777777">
      <w:pPr>
        <w:spacing w:after="0" w:line="240" w:lineRule="auto"/>
        <w:ind w:firstLine="567"/>
        <w:jc w:val="both"/>
        <w:rPr>
          <w:rFonts w:ascii="Times New Roman" w:eastAsia="Calibri" w:hAnsi="Times New Roman" w:cs="Times New Roman"/>
          <w:sz w:val="8"/>
          <w:szCs w:val="8"/>
          <w:lang w:eastAsia="en-US"/>
        </w:rPr>
      </w:pPr>
    </w:p>
    <w:p w:rsidR="00B33F96" w:rsidP="00B33F96" w14:paraId="4DE52A7B"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Загальні показники доходів бюджету Броварської міської територіальної громади у 2026-2028 роках</w:t>
      </w:r>
    </w:p>
    <w:tbl>
      <w:tblPr>
        <w:tblW w:w="9780" w:type="dxa"/>
        <w:tblInd w:w="-416" w:type="dxa"/>
        <w:tblLayout w:type="fixed"/>
        <w:tblCellMar>
          <w:left w:w="10" w:type="dxa"/>
          <w:right w:w="10" w:type="dxa"/>
        </w:tblCellMar>
        <w:tblLook w:val="04A0"/>
      </w:tblPr>
      <w:tblGrid>
        <w:gridCol w:w="2268"/>
        <w:gridCol w:w="991"/>
        <w:gridCol w:w="851"/>
        <w:gridCol w:w="709"/>
        <w:gridCol w:w="992"/>
        <w:gridCol w:w="850"/>
        <w:gridCol w:w="709"/>
        <w:gridCol w:w="851"/>
        <w:gridCol w:w="850"/>
        <w:gridCol w:w="709"/>
      </w:tblGrid>
      <w:tr w14:paraId="3CA4261A" w14:textId="77777777" w:rsidTr="00B33F96">
        <w:tblPrEx>
          <w:tblW w:w="9780" w:type="dxa"/>
          <w:tblInd w:w="-416" w:type="dxa"/>
          <w:tblLayout w:type="fixed"/>
          <w:tblCellMar>
            <w:left w:w="10" w:type="dxa"/>
            <w:right w:w="10" w:type="dxa"/>
          </w:tblCellMar>
          <w:tblLook w:val="04A0"/>
        </w:tblPrEx>
        <w:trPr>
          <w:trHeight w:hRule="exact" w:val="259"/>
        </w:trPr>
        <w:tc>
          <w:tcPr>
            <w:tcW w:w="2269" w:type="dxa"/>
            <w:vMerge w:val="restart"/>
            <w:tcBorders>
              <w:top w:val="single" w:sz="4" w:space="0" w:color="auto"/>
              <w:left w:val="single" w:sz="4" w:space="0" w:color="auto"/>
              <w:bottom w:val="nil"/>
              <w:right w:val="nil"/>
            </w:tcBorders>
            <w:shd w:val="clear" w:color="auto" w:fill="FFFFFF"/>
            <w:vAlign w:val="center"/>
            <w:hideMark/>
          </w:tcPr>
          <w:p w:rsidR="00B33F96" w14:paraId="6B9B9B4E" w14:textId="77777777">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Найменування</w:t>
            </w:r>
          </w:p>
          <w:p w:rsidR="00B33F96" w14:paraId="4BA1EB62" w14:textId="77777777">
            <w:pPr>
              <w:widowControl w:val="0"/>
              <w:spacing w:before="60" w:after="0" w:line="240" w:lineRule="auto"/>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показника</w:t>
            </w:r>
          </w:p>
        </w:tc>
        <w:tc>
          <w:tcPr>
            <w:tcW w:w="2552" w:type="dxa"/>
            <w:gridSpan w:val="3"/>
            <w:tcBorders>
              <w:top w:val="single" w:sz="4" w:space="0" w:color="auto"/>
              <w:left w:val="single" w:sz="4" w:space="0" w:color="auto"/>
              <w:bottom w:val="nil"/>
              <w:right w:val="nil"/>
            </w:tcBorders>
            <w:shd w:val="clear" w:color="auto" w:fill="FFFFFF"/>
            <w:vAlign w:val="bottom"/>
            <w:hideMark/>
          </w:tcPr>
          <w:p w:rsidR="00B33F96" w14:paraId="1DCFE599"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2026 рік</w:t>
            </w:r>
          </w:p>
        </w:tc>
        <w:tc>
          <w:tcPr>
            <w:tcW w:w="2551" w:type="dxa"/>
            <w:gridSpan w:val="3"/>
            <w:tcBorders>
              <w:top w:val="single" w:sz="4" w:space="0" w:color="auto"/>
              <w:left w:val="single" w:sz="4" w:space="0" w:color="auto"/>
              <w:bottom w:val="nil"/>
              <w:right w:val="nil"/>
            </w:tcBorders>
            <w:shd w:val="clear" w:color="auto" w:fill="FFFFFF"/>
            <w:vAlign w:val="bottom"/>
            <w:hideMark/>
          </w:tcPr>
          <w:p w:rsidR="00B33F96" w14:paraId="4BA7CDA3"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2027 рік</w:t>
            </w:r>
          </w:p>
        </w:tc>
        <w:tc>
          <w:tcPr>
            <w:tcW w:w="2410" w:type="dxa"/>
            <w:gridSpan w:val="3"/>
            <w:tcBorders>
              <w:top w:val="single" w:sz="4" w:space="0" w:color="auto"/>
              <w:left w:val="single" w:sz="4" w:space="0" w:color="auto"/>
              <w:bottom w:val="nil"/>
              <w:right w:val="single" w:sz="4" w:space="0" w:color="auto"/>
            </w:tcBorders>
            <w:shd w:val="clear" w:color="auto" w:fill="FFFFFF"/>
            <w:vAlign w:val="bottom"/>
            <w:hideMark/>
          </w:tcPr>
          <w:p w:rsidR="00B33F96" w14:paraId="7F88C2BF"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2028 рік</w:t>
            </w:r>
          </w:p>
        </w:tc>
      </w:tr>
      <w:tr w14:paraId="6C7A182D" w14:textId="77777777" w:rsidTr="00B33F96">
        <w:tblPrEx>
          <w:tblW w:w="9780" w:type="dxa"/>
          <w:tblInd w:w="-416" w:type="dxa"/>
          <w:tblLayout w:type="fixed"/>
          <w:tblCellMar>
            <w:left w:w="10" w:type="dxa"/>
            <w:right w:w="10" w:type="dxa"/>
          </w:tblCellMar>
          <w:tblLook w:val="04A0"/>
        </w:tblPrEx>
        <w:trPr>
          <w:trHeight w:hRule="exact" w:val="710"/>
        </w:trPr>
        <w:tc>
          <w:tcPr>
            <w:tcW w:w="2269" w:type="dxa"/>
            <w:vMerge/>
            <w:tcBorders>
              <w:top w:val="single" w:sz="4" w:space="0" w:color="auto"/>
              <w:left w:val="single" w:sz="4" w:space="0" w:color="auto"/>
              <w:bottom w:val="nil"/>
              <w:right w:val="nil"/>
            </w:tcBorders>
            <w:vAlign w:val="center"/>
            <w:hideMark/>
          </w:tcPr>
          <w:p w:rsidR="00B33F96" w14:paraId="005691EF" w14:textId="77777777">
            <w:pPr>
              <w:spacing w:after="0" w:line="240" w:lineRule="auto"/>
              <w:rPr>
                <w:rFonts w:ascii="Times New Roman" w:eastAsia="Times New Roman" w:hAnsi="Times New Roman" w:cs="Times New Roman"/>
                <w:sz w:val="20"/>
                <w:szCs w:val="20"/>
                <w:lang w:val="ru-RU" w:eastAsia="ru-RU"/>
              </w:rPr>
            </w:pPr>
          </w:p>
        </w:tc>
        <w:tc>
          <w:tcPr>
            <w:tcW w:w="992" w:type="dxa"/>
            <w:vMerge w:val="restart"/>
            <w:tcBorders>
              <w:top w:val="single" w:sz="4" w:space="0" w:color="auto"/>
              <w:left w:val="single" w:sz="4" w:space="0" w:color="auto"/>
              <w:bottom w:val="nil"/>
              <w:right w:val="nil"/>
            </w:tcBorders>
            <w:shd w:val="clear" w:color="auto" w:fill="FFFFFF"/>
            <w:vAlign w:val="center"/>
            <w:hideMark/>
          </w:tcPr>
          <w:p w:rsidR="00B33F96" w14:paraId="1429332D" w14:textId="77777777">
            <w:pPr>
              <w:widowControl w:val="0"/>
              <w:spacing w:after="0" w:line="240" w:lineRule="auto"/>
              <w:ind w:left="180"/>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прогноз</w:t>
            </w:r>
          </w:p>
        </w:tc>
        <w:tc>
          <w:tcPr>
            <w:tcW w:w="1560" w:type="dxa"/>
            <w:gridSpan w:val="2"/>
            <w:tcBorders>
              <w:top w:val="single" w:sz="4" w:space="0" w:color="auto"/>
              <w:left w:val="single" w:sz="4" w:space="0" w:color="auto"/>
              <w:bottom w:val="nil"/>
              <w:right w:val="nil"/>
            </w:tcBorders>
            <w:shd w:val="clear" w:color="auto" w:fill="FFFFFF"/>
            <w:vAlign w:val="bottom"/>
            <w:hideMark/>
          </w:tcPr>
          <w:p w:rsidR="00B33F96" w14:paraId="0B9D056B"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Відхилення до попереднього року</w:t>
            </w:r>
          </w:p>
        </w:tc>
        <w:tc>
          <w:tcPr>
            <w:tcW w:w="992" w:type="dxa"/>
            <w:vMerge w:val="restart"/>
            <w:tcBorders>
              <w:top w:val="single" w:sz="4" w:space="0" w:color="auto"/>
              <w:left w:val="single" w:sz="4" w:space="0" w:color="auto"/>
              <w:bottom w:val="nil"/>
              <w:right w:val="nil"/>
            </w:tcBorders>
            <w:shd w:val="clear" w:color="auto" w:fill="FFFFFF"/>
            <w:vAlign w:val="center"/>
            <w:hideMark/>
          </w:tcPr>
          <w:p w:rsidR="00B33F96" w14:paraId="21E580F8" w14:textId="77777777">
            <w:pPr>
              <w:widowControl w:val="0"/>
              <w:spacing w:after="0" w:line="240" w:lineRule="auto"/>
              <w:ind w:left="180"/>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прогноз</w:t>
            </w:r>
          </w:p>
        </w:tc>
        <w:tc>
          <w:tcPr>
            <w:tcW w:w="1559" w:type="dxa"/>
            <w:gridSpan w:val="2"/>
            <w:tcBorders>
              <w:top w:val="single" w:sz="4" w:space="0" w:color="auto"/>
              <w:left w:val="single" w:sz="4" w:space="0" w:color="auto"/>
              <w:bottom w:val="nil"/>
              <w:right w:val="nil"/>
            </w:tcBorders>
            <w:shd w:val="clear" w:color="auto" w:fill="FFFFFF"/>
            <w:vAlign w:val="bottom"/>
            <w:hideMark/>
          </w:tcPr>
          <w:p w:rsidR="00B33F96" w14:paraId="7C915E5F"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Відхилення до попереднього року</w:t>
            </w:r>
          </w:p>
        </w:tc>
        <w:tc>
          <w:tcPr>
            <w:tcW w:w="851" w:type="dxa"/>
            <w:vMerge w:val="restart"/>
            <w:tcBorders>
              <w:top w:val="single" w:sz="4" w:space="0" w:color="auto"/>
              <w:left w:val="single" w:sz="4" w:space="0" w:color="auto"/>
              <w:bottom w:val="nil"/>
              <w:right w:val="nil"/>
            </w:tcBorders>
            <w:shd w:val="clear" w:color="auto" w:fill="FFFFFF"/>
            <w:vAlign w:val="center"/>
            <w:hideMark/>
          </w:tcPr>
          <w:p w:rsidR="00B33F96" w14:paraId="6FDE6256"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прогноз</w:t>
            </w:r>
          </w:p>
        </w:tc>
        <w:tc>
          <w:tcPr>
            <w:tcW w:w="1559" w:type="dxa"/>
            <w:gridSpan w:val="2"/>
            <w:tcBorders>
              <w:top w:val="single" w:sz="4" w:space="0" w:color="auto"/>
              <w:left w:val="single" w:sz="4" w:space="0" w:color="auto"/>
              <w:bottom w:val="nil"/>
              <w:right w:val="single" w:sz="4" w:space="0" w:color="auto"/>
            </w:tcBorders>
            <w:shd w:val="clear" w:color="auto" w:fill="FFFFFF"/>
            <w:vAlign w:val="bottom"/>
            <w:hideMark/>
          </w:tcPr>
          <w:p w:rsidR="00B33F96" w14:paraId="416F78CD"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Відхилення до попереднього року</w:t>
            </w:r>
          </w:p>
        </w:tc>
      </w:tr>
      <w:tr w14:paraId="0C14EC07" w14:textId="77777777" w:rsidTr="00B33F96">
        <w:tblPrEx>
          <w:tblW w:w="9780" w:type="dxa"/>
          <w:tblInd w:w="-416" w:type="dxa"/>
          <w:tblLayout w:type="fixed"/>
          <w:tblCellMar>
            <w:left w:w="10" w:type="dxa"/>
            <w:right w:w="10" w:type="dxa"/>
          </w:tblCellMar>
          <w:tblLook w:val="04A0"/>
        </w:tblPrEx>
        <w:trPr>
          <w:trHeight w:hRule="exact" w:val="245"/>
        </w:trPr>
        <w:tc>
          <w:tcPr>
            <w:tcW w:w="2269" w:type="dxa"/>
            <w:vMerge/>
            <w:tcBorders>
              <w:top w:val="single" w:sz="4" w:space="0" w:color="auto"/>
              <w:left w:val="single" w:sz="4" w:space="0" w:color="auto"/>
              <w:bottom w:val="nil"/>
              <w:right w:val="nil"/>
            </w:tcBorders>
            <w:vAlign w:val="center"/>
            <w:hideMark/>
          </w:tcPr>
          <w:p w:rsidR="00B33F96" w14:paraId="22FE7009" w14:textId="77777777">
            <w:pPr>
              <w:spacing w:after="0" w:line="240" w:lineRule="auto"/>
              <w:rPr>
                <w:rFonts w:ascii="Times New Roman" w:eastAsia="Times New Roman" w:hAnsi="Times New Roman" w:cs="Times New Roman"/>
                <w:sz w:val="20"/>
                <w:szCs w:val="20"/>
                <w:lang w:val="ru-RU" w:eastAsia="ru-RU"/>
              </w:rPr>
            </w:pPr>
          </w:p>
        </w:tc>
        <w:tc>
          <w:tcPr>
            <w:tcW w:w="2552" w:type="dxa"/>
            <w:vMerge/>
            <w:tcBorders>
              <w:top w:val="single" w:sz="4" w:space="0" w:color="auto"/>
              <w:left w:val="single" w:sz="4" w:space="0" w:color="auto"/>
              <w:bottom w:val="nil"/>
              <w:right w:val="nil"/>
            </w:tcBorders>
            <w:vAlign w:val="center"/>
            <w:hideMark/>
          </w:tcPr>
          <w:p w:rsidR="00B33F96" w14:paraId="161CBC26" w14:textId="77777777">
            <w:pPr>
              <w:spacing w:after="0" w:line="240" w:lineRule="auto"/>
              <w:rPr>
                <w:rFonts w:ascii="Times New Roman" w:eastAsia="Times New Roman" w:hAnsi="Times New Roman" w:cs="Times New Roman"/>
                <w:sz w:val="20"/>
                <w:szCs w:val="20"/>
                <w:lang w:val="ru-RU" w:eastAsia="ru-RU"/>
              </w:rPr>
            </w:pPr>
          </w:p>
        </w:tc>
        <w:tc>
          <w:tcPr>
            <w:tcW w:w="851" w:type="dxa"/>
            <w:tcBorders>
              <w:top w:val="single" w:sz="4" w:space="0" w:color="auto"/>
              <w:left w:val="single" w:sz="4" w:space="0" w:color="auto"/>
              <w:bottom w:val="nil"/>
              <w:right w:val="nil"/>
            </w:tcBorders>
            <w:shd w:val="clear" w:color="auto" w:fill="FFFFFF"/>
            <w:vAlign w:val="center"/>
            <w:hideMark/>
          </w:tcPr>
          <w:p w:rsidR="00B33F96" w14:paraId="676ABE17"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w:t>
            </w:r>
          </w:p>
        </w:tc>
        <w:tc>
          <w:tcPr>
            <w:tcW w:w="709" w:type="dxa"/>
            <w:tcBorders>
              <w:top w:val="single" w:sz="4" w:space="0" w:color="auto"/>
              <w:left w:val="single" w:sz="4" w:space="0" w:color="auto"/>
              <w:bottom w:val="nil"/>
              <w:right w:val="nil"/>
            </w:tcBorders>
            <w:shd w:val="clear" w:color="auto" w:fill="FFFFFF"/>
            <w:vAlign w:val="center"/>
            <w:hideMark/>
          </w:tcPr>
          <w:p w:rsidR="00B33F96" w14:paraId="050B72B8" w14:textId="77777777">
            <w:pPr>
              <w:widowControl w:val="0"/>
              <w:spacing w:after="0" w:line="240" w:lineRule="auto"/>
              <w:ind w:left="240"/>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w:t>
            </w:r>
          </w:p>
        </w:tc>
        <w:tc>
          <w:tcPr>
            <w:tcW w:w="2551" w:type="dxa"/>
            <w:vMerge/>
            <w:tcBorders>
              <w:top w:val="single" w:sz="4" w:space="0" w:color="auto"/>
              <w:left w:val="single" w:sz="4" w:space="0" w:color="auto"/>
              <w:bottom w:val="nil"/>
              <w:right w:val="nil"/>
            </w:tcBorders>
            <w:vAlign w:val="center"/>
            <w:hideMark/>
          </w:tcPr>
          <w:p w:rsidR="00B33F96" w14:paraId="233CA1B6" w14:textId="77777777">
            <w:pPr>
              <w:spacing w:after="0" w:line="240" w:lineRule="auto"/>
              <w:rPr>
                <w:rFonts w:ascii="Times New Roman" w:eastAsia="Times New Roman" w:hAnsi="Times New Roman" w:cs="Times New Roman"/>
                <w:sz w:val="20"/>
                <w:szCs w:val="20"/>
                <w:lang w:val="ru-RU" w:eastAsia="ru-RU"/>
              </w:rPr>
            </w:pPr>
          </w:p>
        </w:tc>
        <w:tc>
          <w:tcPr>
            <w:tcW w:w="850" w:type="dxa"/>
            <w:tcBorders>
              <w:top w:val="single" w:sz="4" w:space="0" w:color="auto"/>
              <w:left w:val="single" w:sz="4" w:space="0" w:color="auto"/>
              <w:bottom w:val="nil"/>
              <w:right w:val="nil"/>
            </w:tcBorders>
            <w:shd w:val="clear" w:color="auto" w:fill="FFFFFF"/>
            <w:vAlign w:val="center"/>
            <w:hideMark/>
          </w:tcPr>
          <w:p w:rsidR="00B33F96" w14:paraId="681484AD"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w:t>
            </w:r>
          </w:p>
        </w:tc>
        <w:tc>
          <w:tcPr>
            <w:tcW w:w="709" w:type="dxa"/>
            <w:tcBorders>
              <w:top w:val="single" w:sz="4" w:space="0" w:color="auto"/>
              <w:left w:val="single" w:sz="4" w:space="0" w:color="auto"/>
              <w:bottom w:val="nil"/>
              <w:right w:val="nil"/>
            </w:tcBorders>
            <w:shd w:val="clear" w:color="auto" w:fill="FFFFFF"/>
            <w:vAlign w:val="center"/>
            <w:hideMark/>
          </w:tcPr>
          <w:p w:rsidR="00B33F96" w14:paraId="7632DE93"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w:t>
            </w:r>
          </w:p>
        </w:tc>
        <w:tc>
          <w:tcPr>
            <w:tcW w:w="2410" w:type="dxa"/>
            <w:vMerge/>
            <w:tcBorders>
              <w:top w:val="single" w:sz="4" w:space="0" w:color="auto"/>
              <w:left w:val="single" w:sz="4" w:space="0" w:color="auto"/>
              <w:bottom w:val="nil"/>
              <w:right w:val="nil"/>
            </w:tcBorders>
            <w:vAlign w:val="center"/>
            <w:hideMark/>
          </w:tcPr>
          <w:p w:rsidR="00B33F96" w14:paraId="1891A5AA" w14:textId="77777777">
            <w:pPr>
              <w:spacing w:after="0" w:line="240" w:lineRule="auto"/>
              <w:rPr>
                <w:rFonts w:ascii="Times New Roman" w:eastAsia="Times New Roman" w:hAnsi="Times New Roman" w:cs="Times New Roman"/>
                <w:sz w:val="20"/>
                <w:szCs w:val="20"/>
                <w:lang w:val="ru-RU" w:eastAsia="ru-RU"/>
              </w:rPr>
            </w:pPr>
          </w:p>
        </w:tc>
        <w:tc>
          <w:tcPr>
            <w:tcW w:w="850" w:type="dxa"/>
            <w:tcBorders>
              <w:top w:val="single" w:sz="4" w:space="0" w:color="auto"/>
              <w:left w:val="single" w:sz="4" w:space="0" w:color="auto"/>
              <w:bottom w:val="nil"/>
              <w:right w:val="nil"/>
            </w:tcBorders>
            <w:shd w:val="clear" w:color="auto" w:fill="FFFFFF"/>
            <w:vAlign w:val="center"/>
            <w:hideMark/>
          </w:tcPr>
          <w:p w:rsidR="00B33F96" w14:paraId="268D32C4"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w:t>
            </w:r>
          </w:p>
        </w:tc>
        <w:tc>
          <w:tcPr>
            <w:tcW w:w="709" w:type="dxa"/>
            <w:tcBorders>
              <w:top w:val="single" w:sz="4" w:space="0" w:color="auto"/>
              <w:left w:val="single" w:sz="4" w:space="0" w:color="auto"/>
              <w:bottom w:val="nil"/>
              <w:right w:val="single" w:sz="4" w:space="0" w:color="auto"/>
            </w:tcBorders>
            <w:shd w:val="clear" w:color="auto" w:fill="FFFFFF"/>
            <w:vAlign w:val="center"/>
            <w:hideMark/>
          </w:tcPr>
          <w:p w:rsidR="00B33F96" w14:paraId="11E15209" w14:textId="77777777">
            <w:pPr>
              <w:widowControl w:val="0"/>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shd w:val="clear" w:color="auto" w:fill="FFFFFF"/>
                <w:lang w:bidi="uk-UA"/>
              </w:rPr>
              <w:t>%</w:t>
            </w:r>
          </w:p>
        </w:tc>
      </w:tr>
      <w:tr w14:paraId="2E993081" w14:textId="77777777" w:rsidTr="00B33F96">
        <w:tblPrEx>
          <w:tblW w:w="9780" w:type="dxa"/>
          <w:tblInd w:w="-416" w:type="dxa"/>
          <w:tblLayout w:type="fixed"/>
          <w:tblCellMar>
            <w:left w:w="10" w:type="dxa"/>
            <w:right w:w="10" w:type="dxa"/>
          </w:tblCellMar>
          <w:tblLook w:val="04A0"/>
        </w:tblPrEx>
        <w:trPr>
          <w:cantSplit/>
          <w:trHeight w:hRule="exact" w:val="1876"/>
        </w:trPr>
        <w:tc>
          <w:tcPr>
            <w:tcW w:w="2269" w:type="dxa"/>
            <w:tcBorders>
              <w:top w:val="single" w:sz="4" w:space="0" w:color="auto"/>
              <w:left w:val="single" w:sz="4" w:space="0" w:color="auto"/>
              <w:bottom w:val="nil"/>
              <w:right w:val="nil"/>
            </w:tcBorders>
            <w:shd w:val="clear" w:color="auto" w:fill="FFFFFF"/>
            <w:vAlign w:val="bottom"/>
            <w:hideMark/>
          </w:tcPr>
          <w:p w:rsidR="00B33F96" w14:paraId="19AF8A55" w14:textId="77777777">
            <w:pPr>
              <w:widowControl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bCs/>
                <w:color w:val="000000"/>
                <w:shd w:val="clear" w:color="auto" w:fill="FFFFFF"/>
                <w:lang w:bidi="uk-UA"/>
              </w:rPr>
              <w:t>Бюджет</w:t>
            </w:r>
          </w:p>
          <w:p w:rsidR="00B33F96" w14:paraId="7E5AA4C9" w14:textId="77777777">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Броварської</w:t>
            </w:r>
          </w:p>
          <w:p w:rsidR="00B33F96" w14:paraId="76709EEA" w14:textId="77777777">
            <w:pPr>
              <w:widowControl w:val="0"/>
              <w:spacing w:after="0" w:line="240" w:lineRule="auto"/>
              <w:rPr>
                <w:rFonts w:ascii="Times New Roman" w:eastAsia="Times New Roman" w:hAnsi="Times New Roman" w:cs="Times New Roman"/>
                <w:lang w:val="ru-RU" w:eastAsia="ru-RU"/>
              </w:rPr>
            </w:pPr>
            <w:r>
              <w:rPr>
                <w:rFonts w:ascii="Times New Roman" w:eastAsia="Times New Roman" w:hAnsi="Times New Roman" w:cs="Times New Roman"/>
                <w:bCs/>
                <w:color w:val="000000"/>
                <w:shd w:val="clear" w:color="auto" w:fill="FFFFFF"/>
                <w:lang w:bidi="uk-UA"/>
              </w:rPr>
              <w:t>міської</w:t>
            </w:r>
          </w:p>
          <w:p w:rsidR="00B33F96" w14:paraId="598D666D" w14:textId="77777777">
            <w:pPr>
              <w:widowControl w:val="0"/>
              <w:spacing w:after="0" w:line="240" w:lineRule="auto"/>
              <w:rPr>
                <w:rFonts w:ascii="Times New Roman" w:eastAsia="Times New Roman" w:hAnsi="Times New Roman" w:cs="Times New Roman"/>
                <w:bCs/>
                <w:color w:val="000000"/>
                <w:shd w:val="clear" w:color="auto" w:fill="FFFFFF"/>
                <w:lang w:bidi="uk-UA"/>
              </w:rPr>
            </w:pPr>
            <w:r>
              <w:rPr>
                <w:rFonts w:ascii="Times New Roman" w:eastAsia="Times New Roman" w:hAnsi="Times New Roman" w:cs="Times New Roman"/>
                <w:bCs/>
                <w:color w:val="000000"/>
                <w:shd w:val="clear" w:color="auto" w:fill="FFFFFF"/>
                <w:lang w:bidi="uk-UA"/>
              </w:rPr>
              <w:t xml:space="preserve">територіальної громади </w:t>
            </w:r>
          </w:p>
          <w:p w:rsidR="00B33F96" w14:paraId="209F4156" w14:textId="77777777">
            <w:pPr>
              <w:widowControl w:val="0"/>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Cs/>
                <w:color w:val="000000"/>
                <w:shd w:val="clear" w:color="auto" w:fill="FFFFFF"/>
                <w:lang w:bidi="uk-UA"/>
              </w:rPr>
              <w:t>(без урахування міжбюджетних трансфертів), в тому числі:</w:t>
            </w:r>
          </w:p>
        </w:tc>
        <w:tc>
          <w:tcPr>
            <w:tcW w:w="992" w:type="dxa"/>
            <w:tcBorders>
              <w:top w:val="single" w:sz="4" w:space="0" w:color="auto"/>
              <w:left w:val="single" w:sz="4" w:space="0" w:color="auto"/>
              <w:bottom w:val="nil"/>
              <w:right w:val="nil"/>
            </w:tcBorders>
            <w:shd w:val="clear" w:color="auto" w:fill="FFFFFF"/>
            <w:textDirection w:val="btLr"/>
            <w:vAlign w:val="center"/>
            <w:hideMark/>
          </w:tcPr>
          <w:p w:rsidR="00B33F96" w14:paraId="189A3CA3"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2 324 547 257</w:t>
            </w:r>
          </w:p>
        </w:tc>
        <w:tc>
          <w:tcPr>
            <w:tcW w:w="851" w:type="dxa"/>
            <w:tcBorders>
              <w:top w:val="single" w:sz="4" w:space="0" w:color="auto"/>
              <w:left w:val="single" w:sz="4" w:space="0" w:color="auto"/>
              <w:bottom w:val="nil"/>
              <w:right w:val="nil"/>
            </w:tcBorders>
            <w:shd w:val="clear" w:color="auto" w:fill="FFFFFF"/>
            <w:textDirection w:val="btLr"/>
            <w:vAlign w:val="center"/>
            <w:hideMark/>
          </w:tcPr>
          <w:p w:rsidR="00B33F96" w14:paraId="7014FC20" w14:textId="77777777">
            <w:pPr>
              <w:widowControl w:val="0"/>
              <w:spacing w:after="0" w:line="240" w:lineRule="auto"/>
              <w:ind w:left="-12"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138 768 245</w:t>
            </w:r>
          </w:p>
        </w:tc>
        <w:tc>
          <w:tcPr>
            <w:tcW w:w="709" w:type="dxa"/>
            <w:tcBorders>
              <w:top w:val="single" w:sz="4" w:space="0" w:color="auto"/>
              <w:left w:val="single" w:sz="4" w:space="0" w:color="auto"/>
              <w:bottom w:val="nil"/>
              <w:right w:val="nil"/>
            </w:tcBorders>
            <w:shd w:val="clear" w:color="auto" w:fill="FFFFFF"/>
            <w:textDirection w:val="btLr"/>
            <w:vAlign w:val="center"/>
            <w:hideMark/>
          </w:tcPr>
          <w:p w:rsidR="00B33F96" w14:paraId="70193954" w14:textId="77777777">
            <w:pPr>
              <w:widowControl w:val="0"/>
              <w:spacing w:after="0" w:line="240" w:lineRule="auto"/>
              <w:ind w:left="14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106,3</w:t>
            </w:r>
          </w:p>
        </w:tc>
        <w:tc>
          <w:tcPr>
            <w:tcW w:w="992" w:type="dxa"/>
            <w:tcBorders>
              <w:top w:val="single" w:sz="4" w:space="0" w:color="auto"/>
              <w:left w:val="single" w:sz="4" w:space="0" w:color="auto"/>
              <w:bottom w:val="nil"/>
              <w:right w:val="nil"/>
            </w:tcBorders>
            <w:shd w:val="clear" w:color="auto" w:fill="FFFFFF"/>
            <w:textDirection w:val="btLr"/>
            <w:vAlign w:val="center"/>
            <w:hideMark/>
          </w:tcPr>
          <w:p w:rsidR="00B33F96" w14:paraId="12B94654" w14:textId="77777777">
            <w:pPr>
              <w:widowControl w:val="0"/>
              <w:spacing w:after="0" w:line="240" w:lineRule="auto"/>
              <w:ind w:left="129"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2 410 257 423</w:t>
            </w:r>
          </w:p>
        </w:tc>
        <w:tc>
          <w:tcPr>
            <w:tcW w:w="850" w:type="dxa"/>
            <w:tcBorders>
              <w:top w:val="single" w:sz="4" w:space="0" w:color="auto"/>
              <w:left w:val="single" w:sz="4" w:space="0" w:color="auto"/>
              <w:bottom w:val="nil"/>
              <w:right w:val="nil"/>
            </w:tcBorders>
            <w:shd w:val="clear" w:color="auto" w:fill="FFFFFF"/>
            <w:textDirection w:val="btLr"/>
            <w:vAlign w:val="center"/>
            <w:hideMark/>
          </w:tcPr>
          <w:p w:rsidR="00B33F96" w14:paraId="68CBACE6"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85 710 166</w:t>
            </w:r>
          </w:p>
        </w:tc>
        <w:tc>
          <w:tcPr>
            <w:tcW w:w="709" w:type="dxa"/>
            <w:tcBorders>
              <w:top w:val="single" w:sz="4" w:space="0" w:color="auto"/>
              <w:left w:val="single" w:sz="4" w:space="0" w:color="auto"/>
              <w:bottom w:val="nil"/>
              <w:right w:val="nil"/>
            </w:tcBorders>
            <w:shd w:val="clear" w:color="auto" w:fill="FFFFFF"/>
            <w:textDirection w:val="btLr"/>
            <w:vAlign w:val="center"/>
            <w:hideMark/>
          </w:tcPr>
          <w:p w:rsidR="00B33F96" w14:paraId="68B4F015"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103,7</w:t>
            </w:r>
          </w:p>
        </w:tc>
        <w:tc>
          <w:tcPr>
            <w:tcW w:w="851" w:type="dxa"/>
            <w:tcBorders>
              <w:top w:val="single" w:sz="4" w:space="0" w:color="auto"/>
              <w:left w:val="single" w:sz="4" w:space="0" w:color="auto"/>
              <w:bottom w:val="nil"/>
              <w:right w:val="nil"/>
            </w:tcBorders>
            <w:shd w:val="clear" w:color="auto" w:fill="FFFFFF"/>
            <w:textDirection w:val="btLr"/>
            <w:vAlign w:val="center"/>
            <w:hideMark/>
          </w:tcPr>
          <w:p w:rsidR="00B33F96" w14:paraId="006B517D"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2 507 028 969</w:t>
            </w:r>
          </w:p>
        </w:tc>
        <w:tc>
          <w:tcPr>
            <w:tcW w:w="850" w:type="dxa"/>
            <w:tcBorders>
              <w:top w:val="single" w:sz="4" w:space="0" w:color="auto"/>
              <w:left w:val="single" w:sz="4" w:space="0" w:color="auto"/>
              <w:bottom w:val="nil"/>
              <w:right w:val="nil"/>
            </w:tcBorders>
            <w:shd w:val="clear" w:color="auto" w:fill="FFFFFF"/>
            <w:textDirection w:val="btLr"/>
            <w:vAlign w:val="center"/>
            <w:hideMark/>
          </w:tcPr>
          <w:p w:rsidR="00B33F96" w14:paraId="3021E58E"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96 771 546</w:t>
            </w:r>
          </w:p>
        </w:tc>
        <w:tc>
          <w:tcPr>
            <w:tcW w:w="709" w:type="dxa"/>
            <w:tcBorders>
              <w:top w:val="single" w:sz="4" w:space="0" w:color="auto"/>
              <w:left w:val="single" w:sz="4" w:space="0" w:color="auto"/>
              <w:bottom w:val="nil"/>
              <w:right w:val="single" w:sz="4" w:space="0" w:color="auto"/>
            </w:tcBorders>
            <w:shd w:val="clear" w:color="auto" w:fill="FFFFFF"/>
            <w:textDirection w:val="btLr"/>
            <w:vAlign w:val="center"/>
            <w:hideMark/>
          </w:tcPr>
          <w:p w:rsidR="00B33F96" w14:paraId="1F703475"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104,0</w:t>
            </w:r>
          </w:p>
        </w:tc>
      </w:tr>
      <w:tr w14:paraId="02935687" w14:textId="77777777" w:rsidTr="00B33F96">
        <w:tblPrEx>
          <w:tblW w:w="9780" w:type="dxa"/>
          <w:tblInd w:w="-416" w:type="dxa"/>
          <w:tblLayout w:type="fixed"/>
          <w:tblCellMar>
            <w:left w:w="10" w:type="dxa"/>
            <w:right w:w="10" w:type="dxa"/>
          </w:tblCellMar>
          <w:tblLook w:val="04A0"/>
        </w:tblPrEx>
        <w:trPr>
          <w:cantSplit/>
          <w:trHeight w:hRule="exact" w:val="1690"/>
        </w:trPr>
        <w:tc>
          <w:tcPr>
            <w:tcW w:w="2269" w:type="dxa"/>
            <w:tcBorders>
              <w:top w:val="single" w:sz="4" w:space="0" w:color="auto"/>
              <w:left w:val="single" w:sz="4" w:space="0" w:color="auto"/>
              <w:bottom w:val="nil"/>
              <w:right w:val="nil"/>
            </w:tcBorders>
            <w:shd w:val="clear" w:color="auto" w:fill="FFFFFF"/>
            <w:vAlign w:val="bottom"/>
          </w:tcPr>
          <w:p w:rsidR="00B33F96" w14:paraId="45E68557" w14:textId="77777777">
            <w:pPr>
              <w:widowControl w:val="0"/>
              <w:spacing w:after="0" w:line="240" w:lineRule="auto"/>
              <w:rPr>
                <w:rFonts w:ascii="Times New Roman" w:eastAsia="Times New Roman" w:hAnsi="Times New Roman" w:cs="Times New Roman"/>
                <w:color w:val="000000"/>
                <w:shd w:val="clear" w:color="auto" w:fill="FFFFFF"/>
                <w:lang w:bidi="uk-UA"/>
              </w:rPr>
            </w:pPr>
            <w:r>
              <w:rPr>
                <w:rFonts w:ascii="Times New Roman" w:eastAsia="Times New Roman" w:hAnsi="Times New Roman" w:cs="Times New Roman"/>
                <w:color w:val="000000"/>
                <w:shd w:val="clear" w:color="auto" w:fill="FFFFFF"/>
                <w:lang w:bidi="uk-UA"/>
              </w:rPr>
              <w:t>Загальний фонд</w:t>
            </w:r>
          </w:p>
          <w:p w:rsidR="00B33F96" w14:paraId="37962CD7" w14:textId="77777777">
            <w:pPr>
              <w:widowControl w:val="0"/>
              <w:spacing w:after="0" w:line="240" w:lineRule="auto"/>
              <w:rPr>
                <w:rFonts w:ascii="Times New Roman" w:eastAsia="Times New Roman" w:hAnsi="Times New Roman" w:cs="Times New Roman"/>
                <w:color w:val="000000"/>
                <w:shd w:val="clear" w:color="auto" w:fill="FFFFFF"/>
                <w:lang w:bidi="uk-UA"/>
              </w:rPr>
            </w:pPr>
          </w:p>
          <w:p w:rsidR="00B33F96" w14:paraId="17430841" w14:textId="77777777">
            <w:pPr>
              <w:widowControl w:val="0"/>
              <w:spacing w:after="0" w:line="240" w:lineRule="auto"/>
              <w:rPr>
                <w:rFonts w:ascii="Times New Roman" w:eastAsia="Times New Roman" w:hAnsi="Times New Roman" w:cs="Times New Roman"/>
                <w:color w:val="000000"/>
                <w:shd w:val="clear" w:color="auto" w:fill="FFFFFF"/>
                <w:lang w:bidi="uk-UA"/>
              </w:rPr>
            </w:pPr>
          </w:p>
          <w:p w:rsidR="00B33F96" w14:paraId="01A0586B" w14:textId="77777777">
            <w:pPr>
              <w:widowControl w:val="0"/>
              <w:spacing w:after="0" w:line="240" w:lineRule="auto"/>
              <w:rPr>
                <w:rFonts w:ascii="Times New Roman" w:eastAsia="Times New Roman" w:hAnsi="Times New Roman" w:cs="Times New Roman"/>
                <w:color w:val="000000"/>
                <w:shd w:val="clear" w:color="auto" w:fill="FFFFFF"/>
                <w:lang w:bidi="uk-UA"/>
              </w:rPr>
            </w:pPr>
          </w:p>
          <w:p w:rsidR="00B33F96" w14:paraId="7F6CBA30" w14:textId="77777777">
            <w:pPr>
              <w:widowControl w:val="0"/>
              <w:spacing w:after="0" w:line="240" w:lineRule="auto"/>
              <w:rPr>
                <w:rFonts w:ascii="Times New Roman" w:eastAsia="Times New Roman" w:hAnsi="Times New Roman" w:cs="Times New Roman"/>
                <w:color w:val="000000"/>
                <w:shd w:val="clear" w:color="auto" w:fill="FFFFFF"/>
                <w:lang w:bidi="uk-UA"/>
              </w:rPr>
            </w:pPr>
          </w:p>
          <w:p w:rsidR="00B33F96" w14:paraId="092FC1EC" w14:textId="77777777">
            <w:pPr>
              <w:widowControl w:val="0"/>
              <w:spacing w:after="0" w:line="240" w:lineRule="auto"/>
              <w:rPr>
                <w:rFonts w:ascii="Times New Roman" w:eastAsia="Times New Roman" w:hAnsi="Times New Roman" w:cs="Times New Roman"/>
                <w:sz w:val="28"/>
                <w:szCs w:val="28"/>
                <w:lang w:val="ru-RU" w:eastAsia="ru-RU"/>
              </w:rPr>
            </w:pPr>
          </w:p>
        </w:tc>
        <w:tc>
          <w:tcPr>
            <w:tcW w:w="992" w:type="dxa"/>
            <w:tcBorders>
              <w:top w:val="single" w:sz="4" w:space="0" w:color="auto"/>
              <w:left w:val="single" w:sz="4" w:space="0" w:color="auto"/>
              <w:bottom w:val="nil"/>
              <w:right w:val="nil"/>
            </w:tcBorders>
            <w:shd w:val="clear" w:color="auto" w:fill="FFFFFF"/>
            <w:textDirection w:val="btLr"/>
            <w:vAlign w:val="bottom"/>
          </w:tcPr>
          <w:p w:rsidR="00B33F96" w14:paraId="082F2AC4"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2 223 719 600</w:t>
            </w:r>
          </w:p>
          <w:p w:rsidR="00B33F96" w14:paraId="1488653E" w14:textId="77777777">
            <w:pPr>
              <w:widowControl w:val="0"/>
              <w:spacing w:after="0" w:line="240" w:lineRule="auto"/>
              <w:ind w:left="113" w:right="113"/>
              <w:jc w:val="both"/>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nil"/>
              <w:right w:val="nil"/>
            </w:tcBorders>
            <w:shd w:val="clear" w:color="auto" w:fill="FFFFFF"/>
            <w:textDirection w:val="btLr"/>
            <w:vAlign w:val="bottom"/>
          </w:tcPr>
          <w:p w:rsidR="00B33F96" w14:paraId="4FA0AC4D"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162 183 388</w:t>
            </w:r>
          </w:p>
          <w:p w:rsidR="00B33F96" w14:paraId="61FEE953" w14:textId="77777777">
            <w:pPr>
              <w:widowControl w:val="0"/>
              <w:spacing w:after="0" w:line="240" w:lineRule="auto"/>
              <w:ind w:left="113" w:right="113"/>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nil"/>
            </w:tcBorders>
            <w:shd w:val="clear" w:color="auto" w:fill="FFFFFF"/>
            <w:textDirection w:val="btLr"/>
            <w:vAlign w:val="bottom"/>
          </w:tcPr>
          <w:p w:rsidR="00B33F96" w14:paraId="0B4A0FD0" w14:textId="77777777">
            <w:pPr>
              <w:widowControl w:val="0"/>
              <w:spacing w:after="0" w:line="240" w:lineRule="auto"/>
              <w:ind w:left="14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107,9</w:t>
            </w:r>
          </w:p>
          <w:p w:rsidR="00B33F96" w14:paraId="334D5F4D" w14:textId="77777777">
            <w:pPr>
              <w:widowControl w:val="0"/>
              <w:spacing w:after="0" w:line="240" w:lineRule="auto"/>
              <w:ind w:left="140" w:right="113"/>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nil"/>
              <w:right w:val="nil"/>
            </w:tcBorders>
            <w:shd w:val="clear" w:color="auto" w:fill="FFFFFF"/>
            <w:textDirection w:val="btLr"/>
            <w:vAlign w:val="bottom"/>
          </w:tcPr>
          <w:p w:rsidR="00B33F96" w14:paraId="3A4DE46A" w14:textId="77777777">
            <w:pPr>
              <w:widowControl w:val="0"/>
              <w:spacing w:after="0" w:line="240" w:lineRule="auto"/>
              <w:ind w:left="129"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2 306 098 000</w:t>
            </w:r>
          </w:p>
          <w:p w:rsidR="00B33F96" w14:paraId="59408F5F" w14:textId="77777777">
            <w:pPr>
              <w:widowControl w:val="0"/>
              <w:spacing w:after="0" w:line="240" w:lineRule="auto"/>
              <w:ind w:left="129" w:right="113"/>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nil"/>
              <w:right w:val="nil"/>
            </w:tcBorders>
            <w:shd w:val="clear" w:color="auto" w:fill="FFFFFF"/>
            <w:textDirection w:val="btLr"/>
            <w:vAlign w:val="bottom"/>
          </w:tcPr>
          <w:p w:rsidR="00B33F96" w14:paraId="1CC919B0" w14:textId="77777777">
            <w:pPr>
              <w:widowControl w:val="0"/>
              <w:spacing w:after="0" w:line="240" w:lineRule="auto"/>
              <w:ind w:left="136"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82 378 400</w:t>
            </w:r>
          </w:p>
          <w:p w:rsidR="00B33F96" w14:paraId="69EB372C" w14:textId="77777777">
            <w:pPr>
              <w:widowControl w:val="0"/>
              <w:spacing w:after="0" w:line="240" w:lineRule="auto"/>
              <w:ind w:left="136" w:right="113"/>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nil"/>
            </w:tcBorders>
            <w:shd w:val="clear" w:color="auto" w:fill="FFFFFF"/>
            <w:textDirection w:val="btLr"/>
            <w:vAlign w:val="bottom"/>
          </w:tcPr>
          <w:p w:rsidR="00B33F96" w14:paraId="7FB082B3"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103,7</w:t>
            </w:r>
          </w:p>
          <w:p w:rsidR="00B33F96" w14:paraId="31930690" w14:textId="77777777">
            <w:pPr>
              <w:widowControl w:val="0"/>
              <w:spacing w:after="0" w:line="240" w:lineRule="auto"/>
              <w:ind w:left="200" w:right="113"/>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nil"/>
              <w:right w:val="nil"/>
            </w:tcBorders>
            <w:shd w:val="clear" w:color="auto" w:fill="FFFFFF"/>
            <w:textDirection w:val="btLr"/>
            <w:vAlign w:val="bottom"/>
          </w:tcPr>
          <w:p w:rsidR="00B33F96" w14:paraId="706F8D9D" w14:textId="77777777">
            <w:pPr>
              <w:widowControl w:val="0"/>
              <w:spacing w:after="0" w:line="240" w:lineRule="auto"/>
              <w:ind w:left="273" w:right="113" w:hanging="16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2 397 733 800</w:t>
            </w:r>
          </w:p>
          <w:p w:rsidR="00B33F96" w14:paraId="0298AEEF" w14:textId="77777777">
            <w:pPr>
              <w:widowControl w:val="0"/>
              <w:spacing w:after="0" w:line="240" w:lineRule="auto"/>
              <w:ind w:left="273" w:right="113" w:hanging="160"/>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nil"/>
              <w:right w:val="nil"/>
            </w:tcBorders>
            <w:shd w:val="clear" w:color="auto" w:fill="FFFFFF"/>
            <w:textDirection w:val="btLr"/>
            <w:vAlign w:val="bottom"/>
          </w:tcPr>
          <w:p w:rsidR="00B33F96" w14:paraId="367BB3B5" w14:textId="77777777">
            <w:pPr>
              <w:widowControl w:val="0"/>
              <w:spacing w:after="0" w:line="240" w:lineRule="auto"/>
              <w:ind w:left="-15"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91 635 800</w:t>
            </w:r>
          </w:p>
          <w:p w:rsidR="00B33F96" w14:paraId="42A9F907" w14:textId="77777777">
            <w:pPr>
              <w:widowControl w:val="0"/>
              <w:spacing w:after="0" w:line="240" w:lineRule="auto"/>
              <w:ind w:left="-15" w:right="113"/>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shd w:val="clear" w:color="auto" w:fill="FFFFFF"/>
            <w:textDirection w:val="btLr"/>
            <w:vAlign w:val="bottom"/>
          </w:tcPr>
          <w:p w:rsidR="00B33F96" w14:paraId="0DC35CF5"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104,0</w:t>
            </w:r>
          </w:p>
          <w:p w:rsidR="00B33F96" w14:paraId="1AD1ED8F" w14:textId="77777777">
            <w:pPr>
              <w:widowControl w:val="0"/>
              <w:spacing w:after="0" w:line="240" w:lineRule="auto"/>
              <w:ind w:left="200" w:right="113"/>
              <w:jc w:val="center"/>
              <w:rPr>
                <w:rFonts w:ascii="Times New Roman" w:eastAsia="Times New Roman" w:hAnsi="Times New Roman" w:cs="Times New Roman"/>
                <w:sz w:val="20"/>
                <w:szCs w:val="20"/>
                <w:lang w:eastAsia="ru-RU"/>
              </w:rPr>
            </w:pPr>
          </w:p>
        </w:tc>
      </w:tr>
      <w:tr w14:paraId="4B5A818D" w14:textId="77777777" w:rsidTr="00B33F96">
        <w:tblPrEx>
          <w:tblW w:w="9780" w:type="dxa"/>
          <w:tblInd w:w="-416" w:type="dxa"/>
          <w:tblLayout w:type="fixed"/>
          <w:tblCellMar>
            <w:left w:w="10" w:type="dxa"/>
            <w:right w:w="10" w:type="dxa"/>
          </w:tblCellMar>
          <w:tblLook w:val="04A0"/>
        </w:tblPrEx>
        <w:trPr>
          <w:cantSplit/>
          <w:trHeight w:hRule="exact" w:val="1558"/>
        </w:trPr>
        <w:tc>
          <w:tcPr>
            <w:tcW w:w="2269" w:type="dxa"/>
            <w:tcBorders>
              <w:top w:val="single" w:sz="4" w:space="0" w:color="auto"/>
              <w:left w:val="single" w:sz="4" w:space="0" w:color="auto"/>
              <w:bottom w:val="single" w:sz="4" w:space="0" w:color="auto"/>
              <w:right w:val="nil"/>
            </w:tcBorders>
            <w:shd w:val="clear" w:color="auto" w:fill="FFFFFF"/>
            <w:vAlign w:val="bottom"/>
          </w:tcPr>
          <w:p w:rsidR="00B33F96" w14:paraId="696B28C5" w14:textId="77777777">
            <w:pPr>
              <w:widowControl w:val="0"/>
              <w:spacing w:after="0" w:line="240" w:lineRule="auto"/>
              <w:ind w:left="300" w:hanging="306"/>
              <w:rPr>
                <w:rFonts w:ascii="Times New Roman" w:eastAsia="Times New Roman" w:hAnsi="Times New Roman" w:cs="Times New Roman"/>
                <w:color w:val="000000"/>
                <w:shd w:val="clear" w:color="auto" w:fill="FFFFFF"/>
                <w:lang w:bidi="uk-UA"/>
              </w:rPr>
            </w:pPr>
            <w:r>
              <w:rPr>
                <w:rFonts w:ascii="Times New Roman" w:eastAsia="Times New Roman" w:hAnsi="Times New Roman" w:cs="Times New Roman"/>
                <w:color w:val="000000"/>
                <w:shd w:val="clear" w:color="auto" w:fill="FFFFFF"/>
                <w:lang w:bidi="uk-UA"/>
              </w:rPr>
              <w:t>Спеціальний фонд</w:t>
            </w:r>
          </w:p>
          <w:p w:rsidR="00B33F96" w14:paraId="4F080275" w14:textId="77777777">
            <w:pPr>
              <w:widowControl w:val="0"/>
              <w:spacing w:after="0" w:line="240" w:lineRule="auto"/>
              <w:ind w:left="300" w:hanging="306"/>
              <w:rPr>
                <w:rFonts w:ascii="Times New Roman" w:eastAsia="Times New Roman" w:hAnsi="Times New Roman" w:cs="Times New Roman"/>
                <w:color w:val="000000"/>
                <w:shd w:val="clear" w:color="auto" w:fill="FFFFFF"/>
                <w:lang w:bidi="uk-UA"/>
              </w:rPr>
            </w:pPr>
          </w:p>
          <w:p w:rsidR="00B33F96" w14:paraId="01531AC6" w14:textId="77777777">
            <w:pPr>
              <w:widowControl w:val="0"/>
              <w:spacing w:after="0" w:line="240" w:lineRule="auto"/>
              <w:ind w:left="300" w:hanging="306"/>
              <w:rPr>
                <w:rFonts w:ascii="Times New Roman" w:eastAsia="Times New Roman" w:hAnsi="Times New Roman" w:cs="Times New Roman"/>
                <w:color w:val="000000"/>
                <w:shd w:val="clear" w:color="auto" w:fill="FFFFFF"/>
                <w:lang w:bidi="uk-UA"/>
              </w:rPr>
            </w:pPr>
          </w:p>
          <w:p w:rsidR="00B33F96" w14:paraId="6C36D05B" w14:textId="77777777">
            <w:pPr>
              <w:widowControl w:val="0"/>
              <w:spacing w:after="0" w:line="240" w:lineRule="auto"/>
              <w:ind w:left="300" w:hanging="306"/>
              <w:rPr>
                <w:rFonts w:ascii="Times New Roman" w:eastAsia="Times New Roman" w:hAnsi="Times New Roman" w:cs="Times New Roman"/>
                <w:sz w:val="28"/>
                <w:szCs w:val="28"/>
                <w:lang w:val="ru-RU" w:eastAsia="ru-RU"/>
              </w:rPr>
            </w:pPr>
          </w:p>
        </w:tc>
        <w:tc>
          <w:tcPr>
            <w:tcW w:w="992" w:type="dxa"/>
            <w:tcBorders>
              <w:top w:val="single" w:sz="4" w:space="0" w:color="auto"/>
              <w:left w:val="single" w:sz="4" w:space="0" w:color="auto"/>
              <w:bottom w:val="single" w:sz="4" w:space="0" w:color="auto"/>
              <w:right w:val="nil"/>
            </w:tcBorders>
            <w:shd w:val="clear" w:color="auto" w:fill="FFFFFF"/>
            <w:textDirection w:val="btLr"/>
            <w:vAlign w:val="center"/>
            <w:hideMark/>
          </w:tcPr>
          <w:p w:rsidR="00B33F96" w14:paraId="0DE41645" w14:textId="77777777">
            <w:pPr>
              <w:widowControl w:val="0"/>
              <w:spacing w:after="0" w:line="240" w:lineRule="auto"/>
              <w:ind w:left="129"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100 827 657</w:t>
            </w:r>
          </w:p>
        </w:tc>
        <w:tc>
          <w:tcPr>
            <w:tcW w:w="851" w:type="dxa"/>
            <w:tcBorders>
              <w:top w:val="single" w:sz="4" w:space="0" w:color="auto"/>
              <w:left w:val="single" w:sz="4" w:space="0" w:color="auto"/>
              <w:bottom w:val="single" w:sz="4" w:space="0" w:color="auto"/>
              <w:right w:val="nil"/>
            </w:tcBorders>
            <w:shd w:val="clear" w:color="auto" w:fill="FFFFFF"/>
            <w:textDirection w:val="btLr"/>
            <w:vAlign w:val="center"/>
            <w:hideMark/>
          </w:tcPr>
          <w:p w:rsidR="00B33F96" w14:paraId="0237009B"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-23 415 143</w:t>
            </w:r>
          </w:p>
        </w:tc>
        <w:tc>
          <w:tcPr>
            <w:tcW w:w="70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B33F96" w14:paraId="131EDBE1" w14:textId="77777777">
            <w:pPr>
              <w:widowControl w:val="0"/>
              <w:spacing w:after="0" w:line="240" w:lineRule="auto"/>
              <w:ind w:left="14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81,2</w:t>
            </w:r>
          </w:p>
        </w:tc>
        <w:tc>
          <w:tcPr>
            <w:tcW w:w="992" w:type="dxa"/>
            <w:tcBorders>
              <w:top w:val="single" w:sz="4" w:space="0" w:color="auto"/>
              <w:left w:val="single" w:sz="4" w:space="0" w:color="auto"/>
              <w:bottom w:val="single" w:sz="4" w:space="0" w:color="auto"/>
              <w:right w:val="nil"/>
            </w:tcBorders>
            <w:shd w:val="clear" w:color="auto" w:fill="FFFFFF"/>
            <w:textDirection w:val="btLr"/>
            <w:vAlign w:val="center"/>
            <w:hideMark/>
          </w:tcPr>
          <w:p w:rsidR="00B33F96" w14:paraId="21E6089B" w14:textId="77777777">
            <w:pPr>
              <w:widowControl w:val="0"/>
              <w:spacing w:after="0" w:line="240" w:lineRule="auto"/>
              <w:ind w:left="129"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104 159 423</w:t>
            </w:r>
          </w:p>
        </w:tc>
        <w:tc>
          <w:tcPr>
            <w:tcW w:w="85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B33F96" w14:paraId="10E4DFD4" w14:textId="77777777">
            <w:pPr>
              <w:widowControl w:val="0"/>
              <w:spacing w:after="0" w:line="240" w:lineRule="auto"/>
              <w:ind w:left="18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3 331 766</w:t>
            </w:r>
          </w:p>
        </w:tc>
        <w:tc>
          <w:tcPr>
            <w:tcW w:w="70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B33F96" w14:paraId="376B805D"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103,3</w:t>
            </w:r>
          </w:p>
        </w:tc>
        <w:tc>
          <w:tcPr>
            <w:tcW w:w="851" w:type="dxa"/>
            <w:tcBorders>
              <w:top w:val="single" w:sz="4" w:space="0" w:color="auto"/>
              <w:left w:val="single" w:sz="4" w:space="0" w:color="auto"/>
              <w:bottom w:val="single" w:sz="4" w:space="0" w:color="auto"/>
              <w:right w:val="nil"/>
            </w:tcBorders>
            <w:shd w:val="clear" w:color="auto" w:fill="FFFFFF"/>
            <w:textDirection w:val="btLr"/>
            <w:vAlign w:val="center"/>
            <w:hideMark/>
          </w:tcPr>
          <w:p w:rsidR="00B33F96" w14:paraId="32283A0A"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109 295 169</w:t>
            </w:r>
          </w:p>
        </w:tc>
        <w:tc>
          <w:tcPr>
            <w:tcW w:w="85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B33F96" w14:paraId="4C476BB2" w14:textId="77777777">
            <w:pPr>
              <w:widowControl w:val="0"/>
              <w:spacing w:after="0" w:line="240" w:lineRule="auto"/>
              <w:ind w:left="-157"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5 135 746</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B33F96" w14:paraId="6AFB723D"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104,9</w:t>
            </w:r>
          </w:p>
        </w:tc>
      </w:tr>
    </w:tbl>
    <w:p w:rsidR="00B33F96" w:rsidP="00B33F96" w14:paraId="6A28CD92" w14:textId="77777777">
      <w:pPr>
        <w:spacing w:after="0" w:line="240" w:lineRule="auto"/>
        <w:rPr>
          <w:rFonts w:ascii="Times New Roman" w:eastAsia="Calibri" w:hAnsi="Times New Roman" w:cs="Times New Roman"/>
          <w:b/>
          <w:sz w:val="28"/>
          <w:szCs w:val="28"/>
          <w:lang w:eastAsia="en-US"/>
        </w:rPr>
      </w:pPr>
    </w:p>
    <w:p w:rsidR="00B33F96" w:rsidP="00B33F96" w14:paraId="3A634197"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val="ru-RU" w:eastAsia="en-US"/>
        </w:rPr>
        <w:t>V</w:t>
      </w:r>
      <w:r>
        <w:rPr>
          <w:rFonts w:ascii="Times New Roman" w:eastAsia="Calibri" w:hAnsi="Times New Roman" w:cs="Times New Roman"/>
          <w:b/>
          <w:sz w:val="28"/>
          <w:szCs w:val="28"/>
          <w:lang w:eastAsia="en-US"/>
        </w:rPr>
        <w:t>. Показники фінансування бюджету, показники місцевого боргу,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B33F96" w:rsidP="00B33F96" w14:paraId="0CD818BF" w14:textId="77777777">
      <w:pPr>
        <w:spacing w:after="0" w:line="240" w:lineRule="auto"/>
        <w:ind w:firstLine="567"/>
        <w:jc w:val="center"/>
        <w:rPr>
          <w:rFonts w:ascii="Times New Roman" w:eastAsia="Calibri" w:hAnsi="Times New Roman" w:cs="Times New Roman"/>
          <w:sz w:val="16"/>
          <w:szCs w:val="16"/>
          <w:lang w:eastAsia="en-US"/>
        </w:rPr>
      </w:pPr>
    </w:p>
    <w:p w:rsidR="00B33F96" w:rsidP="00B33F96" w14:paraId="593A178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Прогнозні показники фінансування Броварської  міської територіальної громади в першу чергу враховують передачу коштів із загального фонду бюджету до бюджету розвитку (спеціального фонду) на реалізацію публічних інвестицій, на підготовку та реалізацію публічних інвестиційних проектів та </w:t>
      </w:r>
      <w:r>
        <w:rPr>
          <w:rFonts w:ascii="Times New Roman" w:eastAsia="Times New Roman" w:hAnsi="Times New Roman" w:cs="Times New Roman"/>
          <w:sz w:val="28"/>
          <w:szCs w:val="28"/>
          <w:lang w:eastAsia="ru-RU"/>
        </w:rPr>
        <w:t xml:space="preserve">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громади. </w:t>
      </w:r>
    </w:p>
    <w:p w:rsidR="00B33F96" w:rsidP="00B33F96" w14:paraId="24A55C1A" w14:textId="77777777">
      <w:pPr>
        <w:widowControl w:val="0"/>
        <w:snapToGrid w:val="0"/>
        <w:spacing w:after="0" w:line="240" w:lineRule="auto"/>
        <w:ind w:firstLine="567"/>
        <w:jc w:val="both"/>
        <w:rPr>
          <w:rFonts w:ascii="Times New Roman" w:eastAsia="Times New Roman" w:hAnsi="Times New Roman" w:cs="Times New Roman"/>
          <w:sz w:val="16"/>
          <w:szCs w:val="16"/>
          <w:lang w:eastAsia="ru-RU"/>
        </w:rPr>
      </w:pPr>
    </w:p>
    <w:p w:rsidR="00B33F96" w:rsidP="00B33F96" w14:paraId="76CB24EA"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Показники фінансування бюджету наведені у додатку 3 до «Прогнозу бюджету Броварської міської територіальної громади на 2026-2028 роки». </w:t>
      </w:r>
    </w:p>
    <w:p w:rsidR="00B33F96" w:rsidP="00B33F96" w14:paraId="6A540C2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Профіцит за загальним фондом бюджету Броварської міської територіальної громади визначений у сумі: на 2026 рік</w:t>
      </w:r>
      <w:r>
        <w:rPr>
          <w:rFonts w:ascii="Times New Roman" w:eastAsia="Times New Roman" w:hAnsi="Times New Roman" w:cs="Times New Roman"/>
          <w:sz w:val="28"/>
          <w:szCs w:val="28"/>
          <w:lang w:eastAsia="ru-RU"/>
        </w:rPr>
        <w:t xml:space="preserve"> – 249 800 000 гривень, на 2027 рік – 247 800 000 гривень, на 2028 рік – 249 800 000 гривень. </w:t>
      </w:r>
    </w:p>
    <w:p w:rsidR="00B33F96" w:rsidP="00B33F96" w14:paraId="3564458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Дефіцит за спеціальним фондом бюджету Броварської міської територіальної громади визначений у сумі: на 2026 рік – 219 500 000 гривень, на 2027 рік – 217 500 000 гривень, на 2028 рік – 219 500 000 гривень. </w:t>
      </w:r>
    </w:p>
    <w:p w:rsidR="00B33F96" w:rsidP="00B33F96" w14:paraId="62CD5AA9"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 xml:space="preserve">Погашення кредиту </w:t>
      </w:r>
      <w:r>
        <w:rPr>
          <w:rFonts w:ascii="Times New Roman" w:eastAsia="Calibri" w:hAnsi="Times New Roman" w:cs="Times New Roman"/>
          <w:sz w:val="28"/>
          <w:szCs w:val="28"/>
          <w:lang w:eastAsia="en-US"/>
        </w:rPr>
        <w:t xml:space="preserve">від Акціонерного товариства «Державний </w:t>
      </w:r>
      <w:r>
        <w:rPr>
          <w:rFonts w:ascii="Times New Roman" w:eastAsia="Calibri" w:hAnsi="Times New Roman" w:cs="Times New Roman"/>
          <w:sz w:val="28"/>
          <w:szCs w:val="28"/>
          <w:lang w:eastAsia="en-US"/>
        </w:rPr>
        <w:t>експортно</w:t>
      </w:r>
      <w:r>
        <w:rPr>
          <w:rFonts w:ascii="Times New Roman" w:eastAsia="Calibri" w:hAnsi="Times New Roman" w:cs="Times New Roman"/>
          <w:sz w:val="28"/>
          <w:szCs w:val="28"/>
          <w:lang w:eastAsia="en-US"/>
        </w:rPr>
        <w:t xml:space="preserve"> - імпортний банк України» для фінансування видатків по об’єкту: «Будівництво загальноосвітньої школи І ступеню по вул. Петлюри Симона (</w:t>
      </w:r>
      <w:r>
        <w:rPr>
          <w:rFonts w:ascii="Times New Roman" w:eastAsia="Calibri" w:hAnsi="Times New Roman" w:cs="Times New Roman"/>
          <w:sz w:val="28"/>
          <w:szCs w:val="28"/>
          <w:lang w:eastAsia="en-US"/>
        </w:rPr>
        <w:t>Черняховського</w:t>
      </w:r>
      <w:r>
        <w:rPr>
          <w:rFonts w:ascii="Times New Roman" w:eastAsia="Calibri" w:hAnsi="Times New Roman" w:cs="Times New Roman"/>
          <w:sz w:val="28"/>
          <w:szCs w:val="28"/>
          <w:lang w:eastAsia="en-US"/>
        </w:rPr>
        <w:t xml:space="preserve">), 17-Б в </w:t>
      </w:r>
      <w:r>
        <w:rPr>
          <w:rFonts w:ascii="Times New Roman" w:eastAsia="Calibri" w:hAnsi="Times New Roman" w:cs="Times New Roman"/>
          <w:sz w:val="28"/>
          <w:szCs w:val="28"/>
          <w:lang w:eastAsia="en-US"/>
        </w:rPr>
        <w:t>м.Бровари</w:t>
      </w:r>
      <w:r>
        <w:rPr>
          <w:rFonts w:ascii="Times New Roman" w:eastAsia="Calibri" w:hAnsi="Times New Roman" w:cs="Times New Roman"/>
          <w:sz w:val="28"/>
          <w:szCs w:val="28"/>
          <w:lang w:eastAsia="en-US"/>
        </w:rPr>
        <w:t xml:space="preserve"> Київської області»:</w:t>
      </w:r>
    </w:p>
    <w:p w:rsidR="00B33F96" w:rsidP="00B33F96" w14:paraId="7B1BEBD1" w14:textId="77777777">
      <w:pPr>
        <w:spacing w:after="0" w:line="240" w:lineRule="auto"/>
        <w:ind w:left="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 2026 році – 30 300 000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sz w:val="28"/>
          <w:szCs w:val="28"/>
          <w:lang w:eastAsia="en-US"/>
        </w:rPr>
        <w:t>;</w:t>
      </w:r>
    </w:p>
    <w:p w:rsidR="00B33F96" w:rsidP="00B33F96" w14:paraId="7932BCBD" w14:textId="77777777">
      <w:pPr>
        <w:spacing w:after="0" w:line="240" w:lineRule="auto"/>
        <w:ind w:left="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 2027 році – 30 300 000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sz w:val="28"/>
          <w:szCs w:val="28"/>
          <w:lang w:eastAsia="en-US"/>
        </w:rPr>
        <w:t>;</w:t>
      </w:r>
    </w:p>
    <w:p w:rsidR="00B33F96" w:rsidP="00B33F96" w14:paraId="2A7F9C9E" w14:textId="77777777">
      <w:pPr>
        <w:spacing w:after="0" w:line="240" w:lineRule="auto"/>
        <w:ind w:left="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 2028 році – 30 300 000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sz w:val="28"/>
          <w:szCs w:val="28"/>
          <w:lang w:eastAsia="en-US"/>
        </w:rPr>
        <w:t xml:space="preserve"> </w:t>
      </w:r>
    </w:p>
    <w:p w:rsidR="00B33F96" w:rsidP="00B33F96" w14:paraId="7CA819E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Пріоритетними напрямками розвитку міської територіальної громади на середньостроковий період, визначено об‘єкти соціально-економічного значення в усіх галузях і сферах діяльності, підвищення рівня умов для населення громади, підтримка в належному стані об’єктів житлово-комунального господарства, інших об’єктів інфраструктури територіальної громади, визначених Стратегією розвитку Броварської міської територіальної громади, впровадження заходів з енергозбереження, а також, виконання в межах фінансових можливостей місцевих цільових програм.</w:t>
      </w:r>
    </w:p>
    <w:p w:rsidR="00B33F96" w:rsidP="00B33F96" w14:paraId="364401BA"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Показники місцевого боргу наведені у додатку 4 до «Прогнозу бюджету Броварської міської територіальної громади на 2026-2028 роки».</w:t>
      </w:r>
    </w:p>
    <w:p w:rsidR="00B33F96" w:rsidP="00B33F96" w14:paraId="6A02FF41"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В показниках фінансування бюджету Броварської міської територіальної громади в прогнозованому періоді враховано виконання зобов’язань за запозиченням від Акціонерного товариства «Державний </w:t>
      </w:r>
      <w:r>
        <w:rPr>
          <w:rFonts w:ascii="Times New Roman" w:eastAsia="Calibri" w:hAnsi="Times New Roman" w:cs="Times New Roman"/>
          <w:color w:val="000000"/>
          <w:sz w:val="28"/>
          <w:szCs w:val="28"/>
          <w:lang w:eastAsia="en-US"/>
        </w:rPr>
        <w:t>експортно</w:t>
      </w:r>
      <w:r>
        <w:rPr>
          <w:rFonts w:ascii="Times New Roman" w:eastAsia="Calibri" w:hAnsi="Times New Roman" w:cs="Times New Roman"/>
          <w:color w:val="000000"/>
          <w:sz w:val="28"/>
          <w:szCs w:val="28"/>
          <w:lang w:eastAsia="en-US"/>
        </w:rPr>
        <w:t xml:space="preserve"> - імпортний банк України» та </w:t>
      </w:r>
      <w:r>
        <w:rPr>
          <w:rFonts w:ascii="Times New Roman" w:eastAsia="Calibri" w:hAnsi="Times New Roman" w:cs="Times New Roman"/>
          <w:sz w:val="28"/>
          <w:szCs w:val="28"/>
          <w:lang w:eastAsia="en-US"/>
        </w:rPr>
        <w:t>борг по середньостроковій позичці з єдиного казначейського рахунку (відсутній механізм повернення).</w:t>
      </w:r>
    </w:p>
    <w:p w:rsidR="00B33F96" w:rsidP="00B33F96" w14:paraId="100753C8" w14:textId="77777777">
      <w:pPr>
        <w:spacing w:after="0" w:line="0" w:lineRule="atLeast"/>
        <w:ind w:firstLine="567"/>
        <w:jc w:val="both"/>
        <w:rPr>
          <w:rFonts w:ascii="Times New Roman" w:eastAsia="Calibri" w:hAnsi="Times New Roman" w:cs="Times New Roman"/>
          <w:sz w:val="28"/>
          <w:szCs w:val="28"/>
          <w:lang w:eastAsia="en-US"/>
        </w:rPr>
      </w:pPr>
      <w:r>
        <w:rPr>
          <w:rFonts w:ascii="Times New Roman" w:eastAsia="Calibri" w:hAnsi="Times New Roman" w:cs="Times New Roman"/>
          <w:color w:val="000000"/>
          <w:sz w:val="28"/>
          <w:szCs w:val="28"/>
          <w:lang w:eastAsia="en-US"/>
        </w:rPr>
        <w:t>На виконання рішення Броварської міської ради Броварського району Київської області  від 18 жовтня 2024 року № 1782-79-08 «Про здійснення місцевого запозичення Броварською міською радою Броварського району Київської області у 2024 році»</w:t>
      </w:r>
      <w:r>
        <w:rPr>
          <w:rFonts w:ascii="Times New Roman" w:eastAsia="Calibri" w:hAnsi="Times New Roman" w:cs="Times New Roman"/>
          <w:color w:val="FF0000"/>
          <w:sz w:val="28"/>
          <w:szCs w:val="28"/>
          <w:lang w:eastAsia="en-US"/>
        </w:rPr>
        <w:t xml:space="preserve"> </w:t>
      </w:r>
      <w:r>
        <w:rPr>
          <w:rFonts w:ascii="Times New Roman" w:eastAsia="Calibri" w:hAnsi="Times New Roman" w:cs="Times New Roman"/>
          <w:color w:val="000000"/>
          <w:sz w:val="28"/>
          <w:szCs w:val="28"/>
          <w:lang w:eastAsia="en-US"/>
        </w:rPr>
        <w:t>залучено 2 200 000 євро  кредитних коштів від Акціонерного товариства «Державний експортно-імпортний банк України» на період  60 місяців,</w:t>
      </w:r>
      <w:r>
        <w:rPr>
          <w:rFonts w:ascii="Times New Roman" w:eastAsia="Calibri" w:hAnsi="Times New Roman" w:cs="Times New Roman"/>
          <w:color w:val="FF0000"/>
          <w:sz w:val="28"/>
          <w:szCs w:val="28"/>
          <w:lang w:eastAsia="en-US"/>
        </w:rPr>
        <w:t xml:space="preserve"> </w:t>
      </w:r>
      <w:r>
        <w:rPr>
          <w:rFonts w:ascii="Times New Roman" w:eastAsia="Calibri" w:hAnsi="Times New Roman" w:cs="Times New Roman"/>
          <w:sz w:val="28"/>
          <w:szCs w:val="28"/>
          <w:lang w:eastAsia="en-US"/>
        </w:rPr>
        <w:t xml:space="preserve">відсоткова ставка за користування кредитними коштами – змінювана та встановлюється з урахуванням Європейської міжбанківської ставки пропозиції (EURIBOR 6М) і збільшується на розмір маржі, але не може бути більше 8,0 % річних. Маржа визначається як різниця між ставкою 6,5% та розміром EURIBOR 6М, який складеться на день, що передує дню </w:t>
      </w:r>
      <w:r>
        <w:rPr>
          <w:rFonts w:ascii="Times New Roman" w:eastAsia="Calibri" w:hAnsi="Times New Roman" w:cs="Times New Roman"/>
          <w:sz w:val="28"/>
          <w:szCs w:val="28"/>
          <w:lang w:eastAsia="en-US"/>
        </w:rPr>
        <w:t>укладання кредитного договору. Маржа банку фіксується в кредитному договорі на дату укладання та залишається незмінною протягом всього строку дії кредитного договору.</w:t>
      </w:r>
    </w:p>
    <w:p w:rsidR="00B33F96" w:rsidP="00B33F96" w14:paraId="0425DA1B" w14:textId="77777777">
      <w:pPr>
        <w:shd w:val="clear" w:color="auto" w:fill="FFFFFF"/>
        <w:spacing w:after="0" w:line="240" w:lineRule="auto"/>
        <w:ind w:firstLine="567"/>
        <w:jc w:val="both"/>
        <w:textAlignment w:val="baseline"/>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ru-RU" w:eastAsia="en-US"/>
        </w:rPr>
        <w:t>Витрати</w:t>
      </w:r>
      <w:r>
        <w:rPr>
          <w:rFonts w:ascii="Times New Roman" w:eastAsia="Calibri" w:hAnsi="Times New Roman" w:cs="Times New Roman"/>
          <w:color w:val="000000"/>
          <w:sz w:val="28"/>
          <w:szCs w:val="28"/>
          <w:lang w:val="ru-RU" w:eastAsia="en-US"/>
        </w:rPr>
        <w:t xml:space="preserve"> бюджету на 202</w:t>
      </w:r>
      <w:r>
        <w:rPr>
          <w:rFonts w:ascii="Times New Roman" w:eastAsia="Calibri" w:hAnsi="Times New Roman" w:cs="Times New Roman"/>
          <w:color w:val="000000"/>
          <w:sz w:val="28"/>
          <w:szCs w:val="28"/>
          <w:lang w:eastAsia="en-US"/>
        </w:rPr>
        <w:t>6</w:t>
      </w:r>
      <w:r>
        <w:rPr>
          <w:rFonts w:ascii="Times New Roman" w:eastAsia="Calibri" w:hAnsi="Times New Roman" w:cs="Times New Roman"/>
          <w:color w:val="000000"/>
          <w:sz w:val="28"/>
          <w:szCs w:val="28"/>
          <w:lang w:val="ru-RU" w:eastAsia="en-US"/>
        </w:rPr>
        <w:t xml:space="preserve"> – 202</w:t>
      </w:r>
      <w:r>
        <w:rPr>
          <w:rFonts w:ascii="Times New Roman" w:eastAsia="Calibri" w:hAnsi="Times New Roman" w:cs="Times New Roman"/>
          <w:color w:val="000000"/>
          <w:sz w:val="28"/>
          <w:szCs w:val="28"/>
          <w:lang w:eastAsia="en-US"/>
        </w:rPr>
        <w:t>8</w:t>
      </w:r>
      <w:r>
        <w:rPr>
          <w:rFonts w:ascii="Times New Roman" w:eastAsia="Calibri" w:hAnsi="Times New Roman" w:cs="Times New Roman"/>
          <w:color w:val="000000"/>
          <w:sz w:val="28"/>
          <w:szCs w:val="28"/>
          <w:lang w:val="ru-RU" w:eastAsia="en-US"/>
        </w:rPr>
        <w:t xml:space="preserve"> роки з </w:t>
      </w:r>
      <w:r>
        <w:rPr>
          <w:rFonts w:ascii="Times New Roman" w:eastAsia="Calibri" w:hAnsi="Times New Roman" w:cs="Times New Roman"/>
          <w:color w:val="000000"/>
          <w:sz w:val="28"/>
          <w:szCs w:val="28"/>
          <w:lang w:val="ru-RU" w:eastAsia="en-US"/>
        </w:rPr>
        <w:t>погашення</w:t>
      </w:r>
      <w:r>
        <w:rPr>
          <w:rFonts w:ascii="Times New Roman" w:eastAsia="Calibri" w:hAnsi="Times New Roman" w:cs="Times New Roman"/>
          <w:color w:val="000000"/>
          <w:sz w:val="28"/>
          <w:szCs w:val="28"/>
          <w:lang w:val="ru-RU" w:eastAsia="en-US"/>
        </w:rPr>
        <w:t xml:space="preserve"> та </w:t>
      </w:r>
      <w:r>
        <w:rPr>
          <w:rFonts w:ascii="Times New Roman" w:eastAsia="Calibri" w:hAnsi="Times New Roman" w:cs="Times New Roman"/>
          <w:color w:val="000000"/>
          <w:sz w:val="28"/>
          <w:szCs w:val="28"/>
          <w:lang w:val="ru-RU" w:eastAsia="en-US"/>
        </w:rPr>
        <w:t>обслуговування</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місцевого</w:t>
      </w:r>
      <w:r>
        <w:rPr>
          <w:rFonts w:ascii="Times New Roman" w:eastAsia="Calibri" w:hAnsi="Times New Roman" w:cs="Times New Roman"/>
          <w:color w:val="000000"/>
          <w:sz w:val="28"/>
          <w:szCs w:val="28"/>
          <w:lang w:val="ru-RU" w:eastAsia="en-US"/>
        </w:rPr>
        <w:t xml:space="preserve"> боргу </w:t>
      </w:r>
      <w:r>
        <w:rPr>
          <w:rFonts w:ascii="Times New Roman" w:eastAsia="Calibri" w:hAnsi="Times New Roman" w:cs="Times New Roman"/>
          <w:color w:val="000000"/>
          <w:sz w:val="28"/>
          <w:szCs w:val="28"/>
          <w:lang w:val="ru-RU" w:eastAsia="en-US"/>
        </w:rPr>
        <w:t>заплановано</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відповідно</w:t>
      </w:r>
      <w:r>
        <w:rPr>
          <w:rFonts w:ascii="Times New Roman" w:eastAsia="Calibri" w:hAnsi="Times New Roman" w:cs="Times New Roman"/>
          <w:color w:val="000000"/>
          <w:sz w:val="28"/>
          <w:szCs w:val="28"/>
          <w:lang w:val="ru-RU" w:eastAsia="en-US"/>
        </w:rPr>
        <w:t xml:space="preserve"> до </w:t>
      </w:r>
      <w:r>
        <w:rPr>
          <w:rFonts w:ascii="Times New Roman" w:eastAsia="Calibri" w:hAnsi="Times New Roman" w:cs="Times New Roman"/>
          <w:color w:val="000000"/>
          <w:sz w:val="28"/>
          <w:szCs w:val="28"/>
          <w:lang w:val="ru-RU" w:eastAsia="en-US"/>
        </w:rPr>
        <w:t>графі</w:t>
      </w:r>
      <w:r>
        <w:rPr>
          <w:rFonts w:ascii="Times New Roman" w:eastAsia="Calibri" w:hAnsi="Times New Roman" w:cs="Times New Roman"/>
          <w:color w:val="000000"/>
          <w:sz w:val="28"/>
          <w:szCs w:val="28"/>
          <w:lang w:val="ru-RU" w:eastAsia="en-US"/>
        </w:rPr>
        <w:t>к</w:t>
      </w:r>
      <w:r>
        <w:rPr>
          <w:rFonts w:ascii="Times New Roman" w:eastAsia="Calibri" w:hAnsi="Times New Roman" w:cs="Times New Roman"/>
          <w:color w:val="000000"/>
          <w:sz w:val="28"/>
          <w:szCs w:val="28"/>
          <w:lang w:val="ru-RU" w:eastAsia="en-US"/>
        </w:rPr>
        <w:t>ів</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платежів</w:t>
      </w:r>
      <w:r>
        <w:rPr>
          <w:rFonts w:ascii="Times New Roman" w:eastAsia="Calibri" w:hAnsi="Times New Roman" w:cs="Times New Roman"/>
          <w:color w:val="000000"/>
          <w:sz w:val="28"/>
          <w:szCs w:val="28"/>
          <w:lang w:val="ru-RU" w:eastAsia="en-US"/>
        </w:rPr>
        <w:t xml:space="preserve"> за </w:t>
      </w:r>
      <w:r>
        <w:rPr>
          <w:rFonts w:ascii="Times New Roman" w:eastAsia="Calibri" w:hAnsi="Times New Roman" w:cs="Times New Roman"/>
          <w:color w:val="000000"/>
          <w:sz w:val="28"/>
          <w:szCs w:val="28"/>
          <w:lang w:val="ru-RU" w:eastAsia="en-US"/>
        </w:rPr>
        <w:t>вже</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існуючим</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місцевим</w:t>
      </w:r>
      <w:r>
        <w:rPr>
          <w:rFonts w:ascii="Times New Roman" w:eastAsia="Calibri" w:hAnsi="Times New Roman" w:cs="Times New Roman"/>
          <w:color w:val="000000"/>
          <w:sz w:val="28"/>
          <w:szCs w:val="28"/>
          <w:lang w:val="ru-RU" w:eastAsia="en-US"/>
        </w:rPr>
        <w:t xml:space="preserve"> боргом, </w:t>
      </w:r>
      <w:r>
        <w:rPr>
          <w:rFonts w:ascii="Times New Roman" w:eastAsia="Calibri" w:hAnsi="Times New Roman" w:cs="Times New Roman"/>
          <w:color w:val="000000"/>
          <w:sz w:val="28"/>
          <w:szCs w:val="28"/>
          <w:lang w:val="ru-RU" w:eastAsia="en-US"/>
        </w:rPr>
        <w:t>прогнозних</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відсоткових</w:t>
      </w:r>
      <w:r>
        <w:rPr>
          <w:rFonts w:ascii="Times New Roman" w:eastAsia="Calibri" w:hAnsi="Times New Roman" w:cs="Times New Roman"/>
          <w:color w:val="000000"/>
          <w:sz w:val="28"/>
          <w:szCs w:val="28"/>
          <w:lang w:val="ru-RU" w:eastAsia="en-US"/>
        </w:rPr>
        <w:t xml:space="preserve"> ставок. </w:t>
      </w:r>
    </w:p>
    <w:p w:rsidR="00B33F96" w:rsidP="00B33F96" w14:paraId="3B2CE4FF"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ru-RU" w:eastAsia="en-US"/>
        </w:rPr>
        <w:t>Спроможність</w:t>
      </w:r>
      <w:r>
        <w:rPr>
          <w:rFonts w:ascii="Times New Roman" w:eastAsia="Calibri" w:hAnsi="Times New Roman" w:cs="Times New Roman"/>
          <w:color w:val="000000"/>
          <w:sz w:val="28"/>
          <w:szCs w:val="28"/>
          <w:lang w:val="ru-RU" w:eastAsia="en-US"/>
        </w:rPr>
        <w:t xml:space="preserve"> бюджету </w:t>
      </w:r>
      <w:r>
        <w:rPr>
          <w:rFonts w:ascii="Times New Roman" w:eastAsia="Calibri" w:hAnsi="Times New Roman" w:cs="Times New Roman"/>
          <w:color w:val="000000"/>
          <w:sz w:val="28"/>
          <w:szCs w:val="28"/>
          <w:lang w:val="ru-RU" w:eastAsia="en-US"/>
        </w:rPr>
        <w:t>забезпечити</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своєчасне</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погашення</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місцевого</w:t>
      </w:r>
      <w:r>
        <w:rPr>
          <w:rFonts w:ascii="Times New Roman" w:eastAsia="Calibri" w:hAnsi="Times New Roman" w:cs="Times New Roman"/>
          <w:color w:val="000000"/>
          <w:sz w:val="28"/>
          <w:szCs w:val="28"/>
          <w:lang w:val="ru-RU" w:eastAsia="en-US"/>
        </w:rPr>
        <w:t xml:space="preserve"> боргу </w:t>
      </w:r>
      <w:r>
        <w:rPr>
          <w:rFonts w:ascii="Times New Roman" w:eastAsia="Calibri" w:hAnsi="Times New Roman" w:cs="Times New Roman"/>
          <w:color w:val="000000"/>
          <w:sz w:val="28"/>
          <w:szCs w:val="28"/>
          <w:lang w:val="ru-RU" w:eastAsia="en-US"/>
        </w:rPr>
        <w:t>характеризується</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такими</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даними</w:t>
      </w:r>
      <w:r>
        <w:rPr>
          <w:rFonts w:ascii="Times New Roman" w:eastAsia="Calibri" w:hAnsi="Times New Roman" w:cs="Times New Roman"/>
          <w:color w:val="000000"/>
          <w:sz w:val="28"/>
          <w:szCs w:val="28"/>
          <w:lang w:val="ru-RU" w:eastAsia="en-US"/>
        </w:rPr>
        <w:t xml:space="preserve">: </w:t>
      </w:r>
    </w:p>
    <w:p w:rsidR="00B33F96" w:rsidP="00B33F96" w14:paraId="4459E467"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співвідношення запланованого обсягу місцевого боргу та середньорічного прогнозного обсягу надходжень бюджету розвитку спеціального фонду бюджету Броварської міської територіальної громади (з урахуванням коштів, що передаються із загального фонду бюджету до бюджету розвитку) відповідає вимогам п. 3 ст. 18 Бюджетного кодексу України; </w:t>
      </w:r>
    </w:p>
    <w:p w:rsidR="00B33F96" w:rsidP="00B33F96" w14:paraId="479C0E1F"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частка відсотків за обслуговування місцевого боргу у видатках загального фонду бюджету Броварської міської територіальної громади (без урахування реверсної дотації та субвенцій, крім субвенцій, передбачених пунктами 6-8 частини першої статті 97 Бюджетного кодексу</w:t>
      </w:r>
      <w:r>
        <w:rPr>
          <w:rFonts w:ascii="Times New Roman" w:eastAsia="Calibri" w:hAnsi="Times New Roman" w:cs="Times New Roman"/>
          <w:color w:val="FF0000"/>
          <w:sz w:val="28"/>
          <w:szCs w:val="28"/>
          <w:lang w:eastAsia="en-US"/>
        </w:rPr>
        <w:t xml:space="preserve"> </w:t>
      </w:r>
      <w:r>
        <w:rPr>
          <w:rFonts w:ascii="Times New Roman" w:eastAsia="Calibri" w:hAnsi="Times New Roman" w:cs="Times New Roman"/>
          <w:color w:val="000000"/>
          <w:sz w:val="28"/>
          <w:szCs w:val="28"/>
          <w:lang w:eastAsia="en-US"/>
        </w:rPr>
        <w:t xml:space="preserve">України) відповідає вимогам статті 74 Бюджетного кодексу України. </w:t>
      </w:r>
    </w:p>
    <w:p w:rsidR="00B33F96" w:rsidP="00B33F96" w14:paraId="48D698C6"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val="ru-RU" w:eastAsia="en-US"/>
        </w:rPr>
        <w:t>Основними</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завданнями</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управління</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місцевим</w:t>
      </w:r>
      <w:r>
        <w:rPr>
          <w:rFonts w:ascii="Times New Roman" w:eastAsia="Calibri" w:hAnsi="Times New Roman" w:cs="Times New Roman"/>
          <w:color w:val="000000"/>
          <w:sz w:val="28"/>
          <w:szCs w:val="28"/>
          <w:lang w:val="ru-RU" w:eastAsia="en-US"/>
        </w:rPr>
        <w:t xml:space="preserve"> боргом є </w:t>
      </w:r>
      <w:r>
        <w:rPr>
          <w:rFonts w:ascii="Times New Roman" w:eastAsia="Calibri" w:hAnsi="Times New Roman" w:cs="Times New Roman"/>
          <w:color w:val="000000"/>
          <w:sz w:val="28"/>
          <w:szCs w:val="28"/>
          <w:lang w:val="ru-RU" w:eastAsia="en-US"/>
        </w:rPr>
        <w:t>забезпечення</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виконання</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запланованих</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податкових</w:t>
      </w:r>
      <w:r>
        <w:rPr>
          <w:rFonts w:ascii="Times New Roman" w:eastAsia="Calibri" w:hAnsi="Times New Roman" w:cs="Times New Roman"/>
          <w:color w:val="000000"/>
          <w:sz w:val="28"/>
          <w:szCs w:val="28"/>
          <w:lang w:val="ru-RU" w:eastAsia="en-US"/>
        </w:rPr>
        <w:t xml:space="preserve"> та </w:t>
      </w:r>
      <w:r>
        <w:rPr>
          <w:rFonts w:ascii="Times New Roman" w:eastAsia="Calibri" w:hAnsi="Times New Roman" w:cs="Times New Roman"/>
          <w:color w:val="000000"/>
          <w:sz w:val="28"/>
          <w:szCs w:val="28"/>
          <w:lang w:val="ru-RU" w:eastAsia="en-US"/>
        </w:rPr>
        <w:t>неподаткових</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надходжень</w:t>
      </w:r>
      <w:r>
        <w:rPr>
          <w:rFonts w:ascii="Times New Roman" w:eastAsia="Calibri" w:hAnsi="Times New Roman" w:cs="Times New Roman"/>
          <w:color w:val="000000"/>
          <w:sz w:val="28"/>
          <w:szCs w:val="28"/>
          <w:lang w:val="ru-RU" w:eastAsia="en-US"/>
        </w:rPr>
        <w:t xml:space="preserve"> до </w:t>
      </w:r>
      <w:r>
        <w:rPr>
          <w:rFonts w:ascii="Times New Roman" w:eastAsia="Calibri" w:hAnsi="Times New Roman" w:cs="Times New Roman"/>
          <w:color w:val="000000"/>
          <w:sz w:val="28"/>
          <w:szCs w:val="28"/>
          <w:lang w:val="ru-RU" w:eastAsia="en-US"/>
        </w:rPr>
        <w:t>загального</w:t>
      </w:r>
      <w:r>
        <w:rPr>
          <w:rFonts w:ascii="Times New Roman" w:eastAsia="Calibri" w:hAnsi="Times New Roman" w:cs="Times New Roman"/>
          <w:color w:val="000000"/>
          <w:sz w:val="28"/>
          <w:szCs w:val="28"/>
          <w:lang w:val="ru-RU" w:eastAsia="en-US"/>
        </w:rPr>
        <w:t xml:space="preserve"> фонду та бюджету </w:t>
      </w:r>
      <w:r>
        <w:rPr>
          <w:rFonts w:ascii="Times New Roman" w:eastAsia="Calibri" w:hAnsi="Times New Roman" w:cs="Times New Roman"/>
          <w:color w:val="000000"/>
          <w:sz w:val="28"/>
          <w:szCs w:val="28"/>
          <w:lang w:val="ru-RU" w:eastAsia="en-US"/>
        </w:rPr>
        <w:t>розвитку</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спеціального</w:t>
      </w:r>
      <w:r>
        <w:rPr>
          <w:rFonts w:ascii="Times New Roman" w:eastAsia="Calibri" w:hAnsi="Times New Roman" w:cs="Times New Roman"/>
          <w:color w:val="000000"/>
          <w:sz w:val="28"/>
          <w:szCs w:val="28"/>
          <w:lang w:val="ru-RU" w:eastAsia="en-US"/>
        </w:rPr>
        <w:t xml:space="preserve"> фонду бюджету </w:t>
      </w:r>
      <w:r>
        <w:rPr>
          <w:rFonts w:ascii="Times New Roman" w:eastAsia="Calibri" w:hAnsi="Times New Roman" w:cs="Times New Roman"/>
          <w:color w:val="000000"/>
          <w:sz w:val="28"/>
          <w:szCs w:val="28"/>
          <w:lang w:val="ru-RU" w:eastAsia="en-US"/>
        </w:rPr>
        <w:t>громади</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виконання</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платежі</w:t>
      </w:r>
      <w:r>
        <w:rPr>
          <w:rFonts w:ascii="Times New Roman" w:eastAsia="Calibri" w:hAnsi="Times New Roman" w:cs="Times New Roman"/>
          <w:color w:val="000000"/>
          <w:sz w:val="28"/>
          <w:szCs w:val="28"/>
          <w:lang w:val="ru-RU" w:eastAsia="en-US"/>
        </w:rPr>
        <w:t>в</w:t>
      </w:r>
      <w:r>
        <w:rPr>
          <w:rFonts w:ascii="Times New Roman" w:eastAsia="Calibri" w:hAnsi="Times New Roman" w:cs="Times New Roman"/>
          <w:color w:val="000000"/>
          <w:sz w:val="28"/>
          <w:szCs w:val="28"/>
          <w:lang w:val="ru-RU" w:eastAsia="en-US"/>
        </w:rPr>
        <w:t xml:space="preserve"> за </w:t>
      </w:r>
      <w:r>
        <w:rPr>
          <w:rFonts w:ascii="Times New Roman" w:eastAsia="Calibri" w:hAnsi="Times New Roman" w:cs="Times New Roman"/>
          <w:color w:val="000000"/>
          <w:sz w:val="28"/>
          <w:szCs w:val="28"/>
          <w:lang w:val="ru-RU" w:eastAsia="en-US"/>
        </w:rPr>
        <w:t>місцевим</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боргом</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відповідно</w:t>
      </w:r>
      <w:r>
        <w:rPr>
          <w:rFonts w:ascii="Times New Roman" w:eastAsia="Calibri" w:hAnsi="Times New Roman" w:cs="Times New Roman"/>
          <w:color w:val="000000"/>
          <w:sz w:val="28"/>
          <w:szCs w:val="28"/>
          <w:lang w:val="ru-RU" w:eastAsia="en-US"/>
        </w:rPr>
        <w:t xml:space="preserve"> до умов </w:t>
      </w:r>
      <w:r>
        <w:rPr>
          <w:rFonts w:ascii="Times New Roman" w:eastAsia="Calibri" w:hAnsi="Times New Roman" w:cs="Times New Roman"/>
          <w:color w:val="000000"/>
          <w:sz w:val="28"/>
          <w:szCs w:val="28"/>
          <w:lang w:val="ru-RU" w:eastAsia="en-US"/>
        </w:rPr>
        <w:t>кредитних</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договорів</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недопущення</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заборгованості</w:t>
      </w:r>
      <w:r>
        <w:rPr>
          <w:rFonts w:ascii="Times New Roman" w:eastAsia="Calibri" w:hAnsi="Times New Roman" w:cs="Times New Roman"/>
          <w:color w:val="000000"/>
          <w:sz w:val="28"/>
          <w:szCs w:val="28"/>
          <w:lang w:val="ru-RU" w:eastAsia="en-US"/>
        </w:rPr>
        <w:t xml:space="preserve"> в </w:t>
      </w:r>
      <w:r>
        <w:rPr>
          <w:rFonts w:ascii="Times New Roman" w:eastAsia="Calibri" w:hAnsi="Times New Roman" w:cs="Times New Roman"/>
          <w:color w:val="000000"/>
          <w:sz w:val="28"/>
          <w:szCs w:val="28"/>
          <w:lang w:val="ru-RU" w:eastAsia="en-US"/>
        </w:rPr>
        <w:t>процесі</w:t>
      </w:r>
      <w:r>
        <w:rPr>
          <w:rFonts w:ascii="Times New Roman" w:eastAsia="Calibri" w:hAnsi="Times New Roman" w:cs="Times New Roman"/>
          <w:color w:val="000000"/>
          <w:sz w:val="28"/>
          <w:szCs w:val="28"/>
          <w:lang w:val="ru-RU" w:eastAsia="en-US"/>
        </w:rPr>
        <w:t xml:space="preserve"> </w:t>
      </w:r>
      <w:r>
        <w:rPr>
          <w:rFonts w:ascii="Times New Roman" w:eastAsia="Calibri" w:hAnsi="Times New Roman" w:cs="Times New Roman"/>
          <w:color w:val="000000"/>
          <w:sz w:val="28"/>
          <w:szCs w:val="28"/>
          <w:lang w:val="ru-RU" w:eastAsia="en-US"/>
        </w:rPr>
        <w:t>обслуговування</w:t>
      </w:r>
      <w:r>
        <w:rPr>
          <w:rFonts w:ascii="Times New Roman" w:eastAsia="Calibri" w:hAnsi="Times New Roman" w:cs="Times New Roman"/>
          <w:color w:val="000000"/>
          <w:sz w:val="28"/>
          <w:szCs w:val="28"/>
          <w:lang w:val="ru-RU" w:eastAsia="en-US"/>
        </w:rPr>
        <w:t xml:space="preserve"> боргу. </w:t>
      </w:r>
    </w:p>
    <w:p w:rsidR="00B33F96" w:rsidP="00B33F96" w14:paraId="6BAFB1C7"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Показники внутрішнього місцевого боргу перед Акціонерним товариством «Державний </w:t>
      </w:r>
      <w:r>
        <w:rPr>
          <w:rFonts w:ascii="Times New Roman" w:eastAsia="Calibri" w:hAnsi="Times New Roman" w:cs="Times New Roman"/>
          <w:color w:val="000000"/>
          <w:sz w:val="28"/>
          <w:szCs w:val="28"/>
          <w:lang w:eastAsia="en-US"/>
        </w:rPr>
        <w:t>експортно</w:t>
      </w:r>
      <w:r>
        <w:rPr>
          <w:rFonts w:ascii="Times New Roman" w:eastAsia="Calibri" w:hAnsi="Times New Roman" w:cs="Times New Roman"/>
          <w:color w:val="000000"/>
          <w:sz w:val="28"/>
          <w:szCs w:val="28"/>
          <w:lang w:eastAsia="en-US"/>
        </w:rPr>
        <w:t xml:space="preserve"> - імпортний банк України» на кінець року прогнозуються:</w:t>
      </w:r>
    </w:p>
    <w:p w:rsidR="00B33F96" w:rsidP="00B33F96" w14:paraId="4E4414EE"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у 2026 році – 1 477 175 євро, що в гривневому еквіваленті іноземної валюти становить 71 058 750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color w:val="000000"/>
          <w:sz w:val="28"/>
          <w:szCs w:val="28"/>
          <w:lang w:eastAsia="en-US"/>
        </w:rPr>
        <w:t>;</w:t>
      </w:r>
    </w:p>
    <w:p w:rsidR="00B33F96" w:rsidP="00B33F96" w14:paraId="24E3CF0C"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у 2027 році – 927 175 євро, що в гривневому еквіваленті іноземної валюти становить 40 758 750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color w:val="000000"/>
          <w:sz w:val="28"/>
          <w:szCs w:val="28"/>
          <w:lang w:eastAsia="en-US"/>
        </w:rPr>
        <w:t>;</w:t>
      </w:r>
    </w:p>
    <w:p w:rsidR="00B33F96" w:rsidP="00B33F96" w14:paraId="528AB801" w14:textId="77777777">
      <w:pPr>
        <w:spacing w:after="0" w:line="240" w:lineRule="auto"/>
        <w:ind w:firstLine="567"/>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у 2028 році – 377 175 євро, що в гривневому еквіваленті іноземної валюти становить 10 458 750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color w:val="000000"/>
          <w:sz w:val="28"/>
          <w:szCs w:val="28"/>
          <w:lang w:eastAsia="en-US"/>
        </w:rPr>
        <w:t>;</w:t>
      </w:r>
    </w:p>
    <w:p w:rsidR="00B33F96" w:rsidP="00B33F96" w14:paraId="2EC1E47E" w14:textId="77777777">
      <w:pPr>
        <w:spacing w:after="0" w:line="0" w:lineRule="atLeast"/>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Також враховано </w:t>
      </w:r>
      <w:r>
        <w:rPr>
          <w:rFonts w:ascii="Times New Roman" w:eastAsia="Calibri" w:hAnsi="Times New Roman" w:cs="Times New Roman"/>
          <w:color w:val="000000"/>
          <w:sz w:val="28"/>
          <w:szCs w:val="28"/>
          <w:lang w:eastAsia="en-US"/>
        </w:rPr>
        <w:t xml:space="preserve">внутрішній місцевий </w:t>
      </w:r>
      <w:r>
        <w:rPr>
          <w:rFonts w:ascii="Times New Roman" w:eastAsia="Calibri" w:hAnsi="Times New Roman" w:cs="Times New Roman"/>
          <w:sz w:val="28"/>
          <w:szCs w:val="28"/>
          <w:lang w:eastAsia="en-US"/>
        </w:rPr>
        <w:t xml:space="preserve">борг по середньостроковій позичці з єдиного казначейського рахунку на 2026 рік – 1 810 000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sz w:val="28"/>
          <w:szCs w:val="28"/>
          <w:lang w:eastAsia="en-US"/>
        </w:rPr>
        <w:t xml:space="preserve">,   на 2027 рік – 1 810 000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sz w:val="28"/>
          <w:szCs w:val="28"/>
          <w:lang w:eastAsia="en-US"/>
        </w:rPr>
        <w:t xml:space="preserve">,   на 2028 рік – 1 810 000 </w:t>
      </w:r>
      <w:r>
        <w:rPr>
          <w:rFonts w:ascii="Times New Roman" w:eastAsia="Times New Roman" w:hAnsi="Times New Roman" w:cs="Times New Roman"/>
          <w:sz w:val="28"/>
          <w:szCs w:val="28"/>
          <w:lang w:eastAsia="ru-RU"/>
        </w:rPr>
        <w:t>гривень</w:t>
      </w:r>
      <w:r>
        <w:rPr>
          <w:rFonts w:ascii="Times New Roman" w:eastAsia="Calibri" w:hAnsi="Times New Roman" w:cs="Times New Roman"/>
          <w:sz w:val="28"/>
          <w:szCs w:val="28"/>
          <w:lang w:eastAsia="en-US"/>
        </w:rPr>
        <w:t xml:space="preserve">  (відсутній механізм повернення).</w:t>
      </w:r>
    </w:p>
    <w:p w:rsidR="00B33F96" w:rsidP="00B33F96" w14:paraId="5F677F5A" w14:textId="77777777">
      <w:pPr>
        <w:spacing w:after="0" w:line="0" w:lineRule="atLeast"/>
        <w:ind w:firstLine="567"/>
        <w:jc w:val="both"/>
        <w:rPr>
          <w:rFonts w:ascii="Times New Roman" w:eastAsia="Calibri" w:hAnsi="Times New Roman" w:cs="Times New Roman"/>
          <w:sz w:val="16"/>
          <w:szCs w:val="16"/>
          <w:lang w:eastAsia="en-US"/>
        </w:rPr>
      </w:pPr>
    </w:p>
    <w:p w:rsidR="00B33F96" w:rsidP="00B33F96" w14:paraId="208D87C6"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 «Прогнозу бюджету Броварської міської територіальної громади на 2026-2028 роки» відсутній, у зв’язку з відсутністю інформації для відображення в зазначеному додатку до Прогнозу бюджету Броварської міської </w:t>
      </w:r>
      <w:r>
        <w:rPr>
          <w:rFonts w:ascii="Times New Roman" w:eastAsia="Times New Roman" w:hAnsi="Times New Roman" w:cs="Times New Roman"/>
          <w:color w:val="000000"/>
          <w:sz w:val="28"/>
          <w:szCs w:val="28"/>
          <w:lang w:eastAsia="ru-RU"/>
        </w:rPr>
        <w:t>територіальної громади на 2026-2028 роки.</w:t>
      </w:r>
    </w:p>
    <w:p w:rsidR="00B33F96" w:rsidP="00B33F96" w14:paraId="709E75DE" w14:textId="77777777">
      <w:pPr>
        <w:spacing w:after="0" w:line="240" w:lineRule="auto"/>
        <w:ind w:firstLine="709"/>
        <w:jc w:val="both"/>
        <w:rPr>
          <w:rFonts w:ascii="Times New Roman" w:eastAsia="Times New Roman" w:hAnsi="Times New Roman" w:cs="Times New Roman"/>
          <w:sz w:val="16"/>
          <w:szCs w:val="16"/>
          <w:lang w:eastAsia="ru-RU"/>
        </w:rPr>
      </w:pPr>
    </w:p>
    <w:p w:rsidR="00B33F96" w:rsidP="00B33F96" w14:paraId="0A1CB5AB"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Показники обсягу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Броварської міської територіальної громади на 2026 – 2028 роки  наведені у додатку 9 до «Прогнозу бюджету Броварської міської територіальної громади на 2026-2028 роки».</w:t>
      </w:r>
    </w:p>
    <w:p w:rsidR="00B33F96" w:rsidP="00B33F96" w14:paraId="0A7229E1"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Законом України від 16.01.2025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B33F96" w:rsidP="00B33F96" w14:paraId="58BD5E86"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Відповідно до статті 75.2 Бюджетного кодексу України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визначається прогнозом бюджету міської територіальної громади.</w:t>
      </w:r>
    </w:p>
    <w:p w:rsidR="00B33F96" w:rsidP="00B33F96" w14:paraId="73E026F3"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Напрями видатків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 визначені Стратегією розвитку Броварської міської територіальної громади до 2027 року, затвердженої рішенням Броварської міської ради. </w:t>
      </w:r>
    </w:p>
    <w:p w:rsidR="00B33F96" w:rsidP="00B33F96" w14:paraId="7943242C" w14:textId="77777777">
      <w:pPr>
        <w:widowControl w:val="0"/>
        <w:snapToGrid w:val="0"/>
        <w:spacing w:after="0" w:line="240" w:lineRule="auto"/>
        <w:ind w:firstLine="567"/>
        <w:jc w:val="both"/>
        <w:rPr>
          <w:rFonts w:ascii="Times New Roman" w:eastAsia="Times New Roman" w:hAnsi="Times New Roman" w:cs="Times New Roman"/>
          <w:color w:val="000000"/>
          <w:sz w:val="16"/>
          <w:szCs w:val="16"/>
          <w:lang w:eastAsia="ru-RU"/>
        </w:rPr>
      </w:pPr>
    </w:p>
    <w:p w:rsidR="00B33F96" w:rsidP="00B33F96" w14:paraId="1FCF9B68"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Середньостроковий план пріоритетних публічних інвестицій Броварської міської територіальної громади, схвалений Інвестиційною радою Броварської міської ради 13 серпня 2025 року  та визначає:</w:t>
      </w:r>
    </w:p>
    <w:p w:rsidR="00B33F96" w:rsidP="00B33F96" w14:paraId="7A899C26" w14:textId="77777777">
      <w:pPr>
        <w:widowControl w:val="0"/>
        <w:snapToGrid w:val="0"/>
        <w:spacing w:after="0" w:line="240" w:lineRule="auto"/>
        <w:ind w:firstLine="567"/>
        <w:jc w:val="both"/>
        <w:rPr>
          <w:rFonts w:ascii="Times New Roman" w:eastAsia="Times New Roman" w:hAnsi="Times New Roman" w:cs="Times New Roman"/>
          <w:color w:val="000000"/>
          <w:sz w:val="10"/>
          <w:szCs w:val="10"/>
          <w:lang w:eastAsia="ru-RU"/>
        </w:rPr>
      </w:pPr>
      <w:r>
        <w:rPr>
          <w:rFonts w:ascii="Times New Roman" w:eastAsia="Times New Roman" w:hAnsi="Times New Roman" w:cs="Times New Roman"/>
          <w:color w:val="000000"/>
          <w:sz w:val="28"/>
          <w:szCs w:val="28"/>
          <w:lang w:eastAsia="ru-RU"/>
        </w:rPr>
        <w:t xml:space="preserve">  </w:t>
      </w:r>
    </w:p>
    <w:p w:rsidR="00B33F96" w:rsidP="00B33F96" w14:paraId="0C3866ED"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Галузь (сектор) для публічного інвестування – Освіта і наука. </w:t>
      </w:r>
    </w:p>
    <w:p w:rsidR="00B33F96" w:rsidP="00B33F96" w14:paraId="6AD15502"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Головні розпорядники коштів бюджету Броварської міської територіальної громади:</w:t>
      </w:r>
    </w:p>
    <w:p w:rsidR="00B33F96" w:rsidP="00B33F96" w14:paraId="7BB70F6E"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Управління освіти і науки Броварської міської ради Броварського району Київської області. Граничний сукупний обсяг публічних інвестицій на середньостроковий період на 2026 рік  - 32 000 000 гривень, на 2027 рік – 68 987 000 гривень, на 2028 рік – 84 387 000 гривень;</w:t>
      </w:r>
    </w:p>
    <w:p w:rsidR="00B33F96" w:rsidP="00B33F96" w14:paraId="38D7E9C5"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2027 рік – 50 684 000 гривень.</w:t>
      </w:r>
    </w:p>
    <w:p w:rsidR="00B33F96" w:rsidP="00B33F96" w14:paraId="4E2FF951" w14:textId="77777777">
      <w:pPr>
        <w:spacing w:after="0" w:line="240" w:lineRule="auto"/>
        <w:ind w:firstLine="567"/>
        <w:jc w:val="center"/>
        <w:rPr>
          <w:rFonts w:ascii="Times New Roman" w:eastAsia="Calibri" w:hAnsi="Times New Roman" w:cs="Times New Roman"/>
          <w:color w:val="7030A0"/>
          <w:sz w:val="10"/>
          <w:szCs w:val="10"/>
          <w:lang w:eastAsia="en-US"/>
        </w:rPr>
      </w:pPr>
    </w:p>
    <w:p w:rsidR="00B33F96" w:rsidP="00B33F96" w14:paraId="217C6E98"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Галузь (сектор) для публічного інвестування – Охорона здоров</w:t>
      </w:r>
      <w:r>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eastAsia="ru-RU"/>
        </w:rPr>
        <w:t xml:space="preserve">я. </w:t>
      </w:r>
    </w:p>
    <w:p w:rsidR="00B33F96" w:rsidP="00B33F96" w14:paraId="3DAB92B6"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Головні розпорядники коштів бюджету Броварської міської територіальної громади:</w:t>
      </w:r>
    </w:p>
    <w:p w:rsidR="00B33F96" w:rsidP="00B33F96" w14:paraId="7A28339E"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Відділ охорони здоров'я Броварської міської ради Броварського району </w:t>
      </w:r>
      <w:r>
        <w:rPr>
          <w:rFonts w:ascii="Times New Roman" w:eastAsia="Times New Roman" w:hAnsi="Times New Roman" w:cs="Times New Roman"/>
          <w:color w:val="000000"/>
          <w:sz w:val="28"/>
          <w:szCs w:val="28"/>
          <w:lang w:eastAsia="ru-RU"/>
        </w:rPr>
        <w:t>Київської області. Граничний сукупний обсяг публічних інвестицій на середньостроковий період на 2026 рік  - 11 777 650 гривень;</w:t>
      </w:r>
    </w:p>
    <w:p w:rsidR="00B33F96" w:rsidP="00B33F96" w14:paraId="73513CFD"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Управління будівництва,</w:t>
      </w:r>
      <w:bookmarkStart w:id="2" w:name="_GoBack"/>
      <w:r>
        <w:rPr>
          <w:rFonts w:ascii="Times New Roman" w:eastAsia="Times New Roman" w:hAnsi="Times New Roman" w:cs="Times New Roman"/>
          <w:color w:val="000000"/>
          <w:sz w:val="28"/>
          <w:szCs w:val="28"/>
          <w:lang w:eastAsia="ru-RU"/>
        </w:rPr>
        <w:t xml:space="preserve"> </w:t>
      </w:r>
      <w:bookmarkEnd w:id="2"/>
      <w:r>
        <w:rPr>
          <w:rFonts w:ascii="Times New Roman" w:eastAsia="Times New Roman" w:hAnsi="Times New Roman" w:cs="Times New Roman"/>
          <w:color w:val="000000"/>
          <w:sz w:val="28"/>
          <w:szCs w:val="28"/>
          <w:lang w:eastAsia="ru-RU"/>
        </w:rPr>
        <w:t>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31 214 310 гривень.</w:t>
      </w:r>
    </w:p>
    <w:p w:rsidR="00B33F96" w:rsidP="00B33F96" w14:paraId="0E9DBB36" w14:textId="77777777">
      <w:pPr>
        <w:spacing w:after="0" w:line="240" w:lineRule="auto"/>
        <w:ind w:firstLine="567"/>
        <w:jc w:val="center"/>
        <w:rPr>
          <w:rFonts w:ascii="Times New Roman" w:eastAsia="Calibri" w:hAnsi="Times New Roman" w:cs="Times New Roman"/>
          <w:color w:val="7030A0"/>
          <w:sz w:val="10"/>
          <w:szCs w:val="10"/>
          <w:lang w:eastAsia="en-US"/>
        </w:rPr>
      </w:pPr>
    </w:p>
    <w:p w:rsidR="00B33F96" w:rsidP="00B33F96" w14:paraId="5423BF7D"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Галузь (сектор) для публічного інвестування – Соціальна сфера. </w:t>
      </w:r>
    </w:p>
    <w:p w:rsidR="00B33F96" w:rsidP="00B33F96" w14:paraId="7A75F313"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B33F96" w:rsidP="00B33F96" w14:paraId="19FB29D9"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2 000 000 гривень,  на 2027 рік – 19 000 000 гривень.</w:t>
      </w:r>
    </w:p>
    <w:p w:rsidR="00B33F96" w:rsidP="00B33F96" w14:paraId="53812CBE" w14:textId="77777777">
      <w:pPr>
        <w:widowControl w:val="0"/>
        <w:snapToGrid w:val="0"/>
        <w:spacing w:after="0" w:line="240" w:lineRule="auto"/>
        <w:ind w:firstLine="709"/>
        <w:jc w:val="both"/>
        <w:rPr>
          <w:rFonts w:ascii="Times New Roman" w:eastAsia="Times New Roman" w:hAnsi="Times New Roman" w:cs="Times New Roman"/>
          <w:color w:val="000000"/>
          <w:sz w:val="10"/>
          <w:szCs w:val="10"/>
          <w:lang w:eastAsia="ru-RU"/>
        </w:rPr>
      </w:pPr>
    </w:p>
    <w:p w:rsidR="00B33F96" w:rsidP="00B33F96" w14:paraId="1D9E56BB"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Галузь (сектор) для публічного інвестування – Культура та інформація. </w:t>
      </w:r>
    </w:p>
    <w:p w:rsidR="00B33F96" w:rsidP="00B33F96" w14:paraId="5E721860"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B33F96" w:rsidP="00B33F96" w14:paraId="5A1E0FE9"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2027 рік – 17 800 000 гривень,  на 2028 рік – 6 000 000 гривень.</w:t>
      </w:r>
    </w:p>
    <w:p w:rsidR="00B33F96" w:rsidP="00B33F96" w14:paraId="4E555335" w14:textId="77777777">
      <w:pPr>
        <w:spacing w:after="0" w:line="240" w:lineRule="auto"/>
        <w:ind w:firstLine="567"/>
        <w:jc w:val="center"/>
        <w:rPr>
          <w:rFonts w:ascii="Times New Roman" w:eastAsia="Calibri" w:hAnsi="Times New Roman" w:cs="Times New Roman"/>
          <w:color w:val="7030A0"/>
          <w:sz w:val="10"/>
          <w:szCs w:val="10"/>
          <w:lang w:eastAsia="en-US"/>
        </w:rPr>
      </w:pPr>
    </w:p>
    <w:p w:rsidR="00B33F96" w:rsidP="00B33F96" w14:paraId="3A65F1DE"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Галузь (сектор) для публічного інвестування – Спорт та фізичне виховання. </w:t>
      </w:r>
    </w:p>
    <w:p w:rsidR="00B33F96" w:rsidP="00B33F96" w14:paraId="73FCB4C7"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B33F96" w:rsidP="00B33F96" w14:paraId="40B01C0C"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Відділ фізичної культури та 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- 140 000 гривень;</w:t>
      </w:r>
    </w:p>
    <w:p w:rsidR="00B33F96" w:rsidP="00B33F96" w14:paraId="3F30C576" w14:textId="77777777">
      <w:pPr>
        <w:spacing w:after="0" w:line="240" w:lineRule="auto"/>
        <w:ind w:firstLine="567"/>
        <w:jc w:val="center"/>
        <w:rPr>
          <w:rFonts w:ascii="Times New Roman" w:eastAsia="Calibri" w:hAnsi="Times New Roman" w:cs="Times New Roman"/>
          <w:sz w:val="10"/>
          <w:szCs w:val="10"/>
          <w:lang w:eastAsia="en-US"/>
        </w:rPr>
      </w:pPr>
    </w:p>
    <w:p w:rsidR="00B33F96" w:rsidP="00B33F96" w14:paraId="4D14162F"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Галузь (сектор) для публічного інвестування – Муніципальна інфраструктура та послуги.</w:t>
      </w:r>
    </w:p>
    <w:p w:rsidR="00B33F96" w:rsidP="00B33F96" w14:paraId="16A3EC82"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Головні розпорядники коштів бюджету Броварської міської територіальної громади:</w:t>
      </w:r>
    </w:p>
    <w:p w:rsidR="00B33F96" w:rsidP="00B33F96" w14:paraId="29B4EC21"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Управління освіти і науки Броварської міської ради Броварського району Київської області. Граничний сукупний обсяг публічних інвестицій на середньостроковий період на 2026 рік  - 1 500 000 гривень, на 2027 рік –    4 000 000 гривень;</w:t>
      </w:r>
    </w:p>
    <w:p w:rsidR="00B33F96" w:rsidP="00B33F96" w14:paraId="1CD36A9C"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Відділ фізичної культури та 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- 55 000 гривень;</w:t>
      </w:r>
    </w:p>
    <w:p w:rsidR="00B33F96" w:rsidP="00B33F96" w14:paraId="75AD941F"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Управління будівництва, житлово-комунального господарства, інфраструктури та транспорту Броварської міської ради Броварського району </w:t>
      </w:r>
      <w:r>
        <w:rPr>
          <w:rFonts w:ascii="Times New Roman" w:eastAsia="Times New Roman" w:hAnsi="Times New Roman" w:cs="Times New Roman"/>
          <w:color w:val="000000"/>
          <w:sz w:val="28"/>
          <w:szCs w:val="28"/>
          <w:lang w:eastAsia="ru-RU"/>
        </w:rPr>
        <w:t>Київської області. Граничний сукупний обсяг публічних інвестицій на середньостроковий період на 2026 рік  - 104 095 810 гривень, на 2027 рік – 19 500 000 гривень;</w:t>
      </w:r>
    </w:p>
    <w:p w:rsidR="00B33F96" w:rsidP="00B33F96" w14:paraId="1F1864F8" w14:textId="77777777">
      <w:pPr>
        <w:widowControl w:val="0"/>
        <w:snapToGrid w:val="0"/>
        <w:spacing w:after="0" w:line="240" w:lineRule="auto"/>
        <w:ind w:firstLine="709"/>
        <w:jc w:val="both"/>
        <w:rPr>
          <w:rFonts w:ascii="Times New Roman" w:eastAsia="Times New Roman" w:hAnsi="Times New Roman" w:cs="Times New Roman"/>
          <w:color w:val="000000"/>
          <w:sz w:val="10"/>
          <w:szCs w:val="10"/>
          <w:lang w:eastAsia="ru-RU"/>
        </w:rPr>
      </w:pPr>
    </w:p>
    <w:p w:rsidR="00B33F96" w:rsidP="00B33F96" w14:paraId="05E653BE"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Галузь (сектор) для публічного інвестування – Житло. </w:t>
      </w:r>
    </w:p>
    <w:p w:rsidR="00B33F96" w:rsidP="00B33F96" w14:paraId="702744BC"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B33F96" w:rsidP="00B33F96" w14:paraId="2D84E0A7"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- 1 177 730 гривень, на 2027 рік –          5 000 000 гривень;</w:t>
      </w:r>
    </w:p>
    <w:p w:rsidR="00B33F96" w:rsidP="00B33F96" w14:paraId="5DAB1FFD" w14:textId="77777777">
      <w:pPr>
        <w:widowControl w:val="0"/>
        <w:snapToGrid w:val="0"/>
        <w:spacing w:after="0" w:line="240" w:lineRule="auto"/>
        <w:ind w:firstLine="709"/>
        <w:jc w:val="both"/>
        <w:rPr>
          <w:rFonts w:ascii="Times New Roman" w:eastAsia="Times New Roman" w:hAnsi="Times New Roman" w:cs="Times New Roman"/>
          <w:color w:val="000000"/>
          <w:sz w:val="16"/>
          <w:szCs w:val="16"/>
          <w:lang w:eastAsia="ru-RU"/>
        </w:rPr>
      </w:pPr>
    </w:p>
    <w:p w:rsidR="00B33F96" w:rsidP="00B33F96" w14:paraId="08F70508"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Галузь (сектор) для публічного інвестування – Транспорт. </w:t>
      </w:r>
    </w:p>
    <w:p w:rsidR="00B33F96" w:rsidP="00B33F96" w14:paraId="0788A866"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B33F96" w:rsidP="00B33F96" w14:paraId="20B11624"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16 039 500 гривень, на 2027 рік –        15 029 000 гривень, на 2028 рік – 109 613 000 грн. </w:t>
      </w:r>
    </w:p>
    <w:p w:rsidR="00B33F96" w:rsidP="00B33F96" w14:paraId="44AB28B0" w14:textId="77777777">
      <w:pPr>
        <w:spacing w:after="0" w:line="240" w:lineRule="auto"/>
        <w:ind w:left="927"/>
        <w:jc w:val="both"/>
        <w:rPr>
          <w:rFonts w:ascii="Times New Roman" w:eastAsia="Calibri" w:hAnsi="Times New Roman" w:cs="Times New Roman"/>
          <w:color w:val="FF0000"/>
          <w:sz w:val="16"/>
          <w:szCs w:val="16"/>
          <w:lang w:eastAsia="en-US"/>
        </w:rPr>
      </w:pPr>
    </w:p>
    <w:p w:rsidR="00B33F96" w:rsidP="00B33F96" w14:paraId="7544B7F5" w14:textId="77777777">
      <w:pPr>
        <w:spacing w:after="0" w:line="240" w:lineRule="auto"/>
        <w:ind w:firstLine="567"/>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val="ru-RU" w:eastAsia="en-US"/>
        </w:rPr>
        <w:t>V</w:t>
      </w:r>
      <w:r>
        <w:rPr>
          <w:rFonts w:ascii="Times New Roman" w:eastAsia="Calibri" w:hAnsi="Times New Roman" w:cs="Times New Roman"/>
          <w:b/>
          <w:sz w:val="28"/>
          <w:szCs w:val="28"/>
          <w:lang w:eastAsia="en-US"/>
        </w:rPr>
        <w:t>І . Показники видаткі</w:t>
      </w:r>
      <w:r>
        <w:rPr>
          <w:rFonts w:ascii="Times New Roman" w:eastAsia="Calibri" w:hAnsi="Times New Roman" w:cs="Times New Roman"/>
          <w:b/>
          <w:sz w:val="28"/>
          <w:szCs w:val="28"/>
          <w:lang w:eastAsia="en-US"/>
        </w:rPr>
        <w:t>в</w:t>
      </w:r>
      <w:r>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бюджету</w:t>
      </w:r>
      <w:r>
        <w:rPr>
          <w:rFonts w:ascii="Times New Roman" w:eastAsia="Calibri" w:hAnsi="Times New Roman" w:cs="Times New Roman"/>
          <w:b/>
          <w:sz w:val="28"/>
          <w:szCs w:val="28"/>
          <w:lang w:eastAsia="en-US"/>
        </w:rPr>
        <w:t xml:space="preserve"> та надання кредитів з бюджету</w:t>
      </w:r>
    </w:p>
    <w:p w:rsidR="00B33F96" w:rsidP="00B33F96" w14:paraId="685231E8" w14:textId="77777777">
      <w:pPr>
        <w:spacing w:after="0" w:line="240" w:lineRule="auto"/>
        <w:ind w:firstLine="567"/>
        <w:jc w:val="both"/>
        <w:rPr>
          <w:rFonts w:ascii="Times New Roman" w:eastAsia="Calibri" w:hAnsi="Times New Roman" w:cs="Times New Roman"/>
          <w:b/>
          <w:sz w:val="16"/>
          <w:szCs w:val="16"/>
          <w:lang w:eastAsia="en-US"/>
        </w:rPr>
      </w:pPr>
    </w:p>
    <w:p w:rsidR="00B33F96" w:rsidP="00B33F96" w14:paraId="34516D8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Перехід до середньострокового прогнозування є складовою частиною програмно-цільового методу, який використовується у бюджетному процесі, та передбачає узгодження стратегічних планів, проектів, програм з реальними можливостями бюджету громади. В основу формування обсягів видатків Прогнозу покладено вимоги положень Бюджетного кодексу України, інших законодавчих актів, що стосуються місцевих бюджетів та міжбюджетних відносин, основних макроекономічних показників економічного і соціального розвитку України, визначених Бюджетною декларацією на 2026–2028 роки, схваленою постановою Кабінету Міністрів України від 27 червня 2025 № 774. </w:t>
      </w:r>
    </w:p>
    <w:p w:rsidR="00B33F96" w:rsidP="00B33F96" w14:paraId="32E351C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Основним завданням бюджетної політики на місцевому рівні на середньостроковий період залишатиметься забезпечення стабільності, результативності, стійкості та збалансованості бюджету територіальної громади, ефективне використання бюджетних коштів в умовах обмеженості бюджетних ресурсів.</w:t>
      </w:r>
    </w:p>
    <w:p w:rsidR="00B33F96" w:rsidP="00B33F96" w14:paraId="55C5C7B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Середньострокове бюджетне планування здійснюватиметься з урахуванням стратегічних документів територіальної громади, показники яких є орієнтирами для досягнення цілей державної/регіональної/місцевої політик.</w:t>
      </w:r>
    </w:p>
    <w:p w:rsidR="00B33F96" w:rsidP="00B33F96" w14:paraId="1F8B91B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Прогноз витрат складено на основі поданих головними розпорядниками бюджетних коштів пропозицій до прогнозу бюджету. Під час складання прогнозних показників видаткової частини на 2026 - 2028 роки, в першочерговому порядку врахована потреба в коштах на оплату праці працівників бюджетних установ відповідно до умов оплати праці та розміру </w:t>
      </w:r>
      <w:r>
        <w:rPr>
          <w:rFonts w:ascii="Times New Roman" w:eastAsia="Times New Roman" w:hAnsi="Times New Roman" w:cs="Times New Roman"/>
          <w:sz w:val="28"/>
          <w:szCs w:val="28"/>
          <w:lang w:eastAsia="ru-RU"/>
        </w:rPr>
        <w:t xml:space="preserve">мінімальної заробітної плати, на проведення розрахунків за комунальні послуги та енергоносії, які споживаються бюджетними установами, з урахуванням пріоритетності видатків, обґрунтованості витрат, що передбачає детальні розрахунки в межах граничних показників з урахуванням кількісних та вартісних факторів, які впливають на обсяг видатків у плановому та наступних за плановим двох бюджетних періодах. </w:t>
      </w:r>
    </w:p>
    <w:p w:rsidR="00B33F96" w:rsidP="00B33F96" w14:paraId="486127D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визначення прогнозних показників видатків на оплату бюджетними установами та закладами комунальних послуг та енергоносіїв на 2026- 2028 роки до базових обсягів станом на 01.07.2025 враховано показник індексу цін виробників промислової продукції, який наведений в Основних прогнозних </w:t>
      </w:r>
      <w:r>
        <w:rPr>
          <w:rFonts w:ascii="Times New Roman" w:eastAsia="Times New Roman" w:hAnsi="Times New Roman" w:cs="Times New Roman"/>
          <w:sz w:val="28"/>
          <w:szCs w:val="28"/>
          <w:lang w:eastAsia="ru-RU"/>
        </w:rPr>
        <w:t>макропоказниках</w:t>
      </w:r>
      <w:r>
        <w:rPr>
          <w:rFonts w:ascii="Times New Roman" w:eastAsia="Times New Roman" w:hAnsi="Times New Roman" w:cs="Times New Roman"/>
          <w:sz w:val="28"/>
          <w:szCs w:val="28"/>
          <w:lang w:eastAsia="ru-RU"/>
        </w:rPr>
        <w:t xml:space="preserve"> економічного і соціального розвитку України, визначених Бюджетною декларацією на 2026–2028 роки, схваленою постановою Кабінету Міністрів України від 27 червня 2025 №774. При складані Прогнозу враховані обсяги видатків для забезпечення стабільної роботи установ та закладів соціально-культурної сфери, надання встановлених власних соціальних гарантій для </w:t>
      </w:r>
      <w:r>
        <w:rPr>
          <w:rFonts w:ascii="Times New Roman" w:eastAsia="Times New Roman" w:hAnsi="Times New Roman" w:cs="Times New Roman"/>
          <w:sz w:val="28"/>
          <w:szCs w:val="28"/>
          <w:lang w:eastAsia="ru-RU"/>
        </w:rPr>
        <w:t>малозахищених</w:t>
      </w:r>
      <w:r>
        <w:rPr>
          <w:rFonts w:ascii="Times New Roman" w:eastAsia="Times New Roman" w:hAnsi="Times New Roman" w:cs="Times New Roman"/>
          <w:sz w:val="28"/>
          <w:szCs w:val="28"/>
          <w:lang w:eastAsia="ru-RU"/>
        </w:rPr>
        <w:t xml:space="preserve"> верств населення, ветеранів війни та членів їх сімей, підтримку в належному стані об’єктів житлово-комунального господарства, впровадження заходів з енергозбереження, а також виконання в межах фінансових можливостей місцевих цільових програм.</w:t>
      </w:r>
    </w:p>
    <w:p w:rsidR="00B33F96" w:rsidP="00B33F96" w14:paraId="524141B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підвищення рівня та ефективності використання бюджетних коштів у 2026-2028 роках передбачається:</w:t>
      </w:r>
    </w:p>
    <w:p w:rsidR="00B33F96" w:rsidP="00B33F96" w14:paraId="2C82B33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удосконалення нормативно-правової та методологічної бази з урахуванням результатів запровадження програмно-цільового методу на рівні місцевих бюджетів;</w:t>
      </w:r>
    </w:p>
    <w:p w:rsidR="00B33F96" w:rsidP="00B33F96" w14:paraId="2D22257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моніторинг виконання бюджетних програм місцевих бюджетів, проведення оцінки ефективності та результативності їх виконання;</w:t>
      </w:r>
    </w:p>
    <w:p w:rsidR="00B33F96" w:rsidP="00B33F96" w14:paraId="1205047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внесення змін до програмного забезпечення в частині планування та обслуговування місцевих бюджетів за програмно-цільовим методом.</w:t>
      </w:r>
    </w:p>
    <w:p w:rsidR="00B33F96" w:rsidP="00B33F96" w14:paraId="65889A0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Розробка методологічних засад планування місцевих бюджетів на середньострокову перспективу полягатиме у оцінці ефективності виконання бюджетних програм за попередній бюджетний період, перегляді та оцінці законодавства, що надає підстави для здійснення витрат з місцевого бюджету, формуванні переліку бюджетних програм на плановий та наступні за плановим два бюджетні періоди.</w:t>
      </w:r>
    </w:p>
    <w:p w:rsidR="00B33F96" w:rsidP="00B33F96" w14:paraId="4489C7BF"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Під час формування видаткової частини бюджету Броварської міської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 </w:t>
      </w:r>
    </w:p>
    <w:p w:rsidR="00B33F96" w:rsidP="00B33F96" w14:paraId="74C0D5FB"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В процесі формування видаткової частини бюджету враховані прогнозні розміри мінімальної заробітної плати та посадового окладу працівника першого тарифного розряду Єдиної тарифної сітки на 2026-2028 роки</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відповідно до визначених у листі Міністерства фінансів України № 05120-08-</w:t>
      </w:r>
      <w:r>
        <w:rPr>
          <w:rFonts w:ascii="Times New Roman" w:eastAsia="Times New Roman" w:hAnsi="Times New Roman" w:cs="Times New Roman"/>
          <w:color w:val="000000"/>
          <w:sz w:val="28"/>
          <w:szCs w:val="28"/>
          <w:lang w:eastAsia="ru-RU"/>
        </w:rPr>
        <w:t>6/19235 від 09.07.2025 «Щодо особливостей середньострокового бюджетного планування та складання розрахунків до прогнозів місцевих бюджетів», а саме:</w:t>
      </w:r>
    </w:p>
    <w:p w:rsidR="00B33F96" w:rsidP="00B33F96" w14:paraId="24DDF818" w14:textId="22C5C6B8">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розмір мінімальної заробітної плати з 1 січня 2026 року – 8 688 гривень (темп приросту 8,6 відсотка), з 1 січня 2027 року – 9 374 гривень (темп приросту 7,9 відсотка), з 1 січня 2028 року – 10 059 гривень (темп приросту 7,3 відсотка);</w:t>
      </w:r>
    </w:p>
    <w:p w:rsidR="00B33F96" w:rsidP="00B33F96" w14:paraId="72837892" w14:textId="5ABB80A6">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розмір посадового окладу працівника І тарифного розряду Єдиної тарифної сітки з 1 січня 2026 року – 3 470 гривень (темп приросту 8,6 відсотка), з 1 січня 2027 року – 3 744 гривень (темп приросту 7,9 відсотка), </w:t>
      </w:r>
      <w:r w:rsidRPr="00F26253" w:rsidR="00F2625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 1 січня 2028 року - 4 018 гривень (темп приросту 7,3 відсотка). </w:t>
      </w:r>
    </w:p>
    <w:p w:rsidR="00B33F96" w:rsidP="00B33F96" w14:paraId="38B580A9"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некомерційними підприємствами охорони здоров’я. </w:t>
      </w:r>
    </w:p>
    <w:p w:rsidR="00B33F96" w:rsidP="00B33F96" w14:paraId="2615A465"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r>
        <w:rPr>
          <w:rFonts w:ascii="Times New Roman" w:eastAsia="Calibri" w:hAnsi="Times New Roman" w:cs="Times New Roman"/>
          <w:sz w:val="28"/>
          <w:szCs w:val="28"/>
          <w:lang w:eastAsia="en-US"/>
        </w:rPr>
        <w:t>малозахищених</w:t>
      </w:r>
      <w:r>
        <w:rPr>
          <w:rFonts w:ascii="Times New Roman" w:eastAsia="Calibri" w:hAnsi="Times New Roman" w:cs="Times New Roman"/>
          <w:sz w:val="28"/>
          <w:szCs w:val="28"/>
          <w:lang w:eastAsia="en-US"/>
        </w:rPr>
        <w:t xml:space="preserve"> категорій громадян, підтримки в належному стані об’єктів </w:t>
      </w:r>
      <w:r>
        <w:rPr>
          <w:rFonts w:ascii="Times New Roman" w:eastAsia="Calibri" w:hAnsi="Times New Roman" w:cs="Times New Roman"/>
          <w:sz w:val="28"/>
          <w:szCs w:val="28"/>
          <w:lang w:eastAsia="en-US"/>
        </w:rPr>
        <w:t>житлово</w:t>
      </w:r>
      <w:r>
        <w:rPr>
          <w:rFonts w:ascii="Times New Roman" w:eastAsia="Calibri" w:hAnsi="Times New Roman" w:cs="Times New Roman"/>
          <w:sz w:val="28"/>
          <w:szCs w:val="28"/>
          <w:lang w:eastAsia="en-US"/>
        </w:rPr>
        <w:t xml:space="preserve"> – комунального господарства, інших об’єктів інфраструктури міста, впровадження заходів з енергозбереження (енергоефективності), виконання в межах фінансових можливостей міських цільових (комплексних) програм.</w:t>
      </w:r>
    </w:p>
    <w:p w:rsidR="00B33F96" w:rsidP="00B33F96" w14:paraId="275077BB"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eastAsia="en-US"/>
        </w:rPr>
        <w:t xml:space="preserve">Фінансування видатків бюджету Броварської міської територіальної громади, міських цільових програм на період до 2028 року здійснюватиметься в рамках жорсткої економії бюджетних коштів. </w:t>
      </w:r>
      <w:r>
        <w:rPr>
          <w:rFonts w:ascii="Times New Roman" w:eastAsia="Calibri" w:hAnsi="Times New Roman" w:cs="Times New Roman"/>
          <w:sz w:val="28"/>
          <w:szCs w:val="28"/>
          <w:lang w:val="ru-RU" w:eastAsia="en-US"/>
        </w:rPr>
        <w:t xml:space="preserve">В </w:t>
      </w:r>
      <w:r>
        <w:rPr>
          <w:rFonts w:ascii="Times New Roman" w:eastAsia="Calibri" w:hAnsi="Times New Roman" w:cs="Times New Roman"/>
          <w:sz w:val="28"/>
          <w:szCs w:val="28"/>
          <w:lang w:val="ru-RU" w:eastAsia="en-US"/>
        </w:rPr>
        <w:t>цих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умовах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визначальним</w:t>
      </w:r>
      <w:r>
        <w:rPr>
          <w:rFonts w:ascii="Times New Roman" w:eastAsia="Calibri" w:hAnsi="Times New Roman" w:cs="Times New Roman"/>
          <w:sz w:val="28"/>
          <w:szCs w:val="28"/>
          <w:lang w:val="ru-RU" w:eastAsia="en-US"/>
        </w:rPr>
        <w:t xml:space="preserve"> стане </w:t>
      </w:r>
      <w:r>
        <w:rPr>
          <w:rFonts w:ascii="Times New Roman" w:eastAsia="Calibri" w:hAnsi="Times New Roman" w:cs="Times New Roman"/>
          <w:sz w:val="28"/>
          <w:szCs w:val="28"/>
          <w:lang w:val="ru-RU" w:eastAsia="en-US"/>
        </w:rPr>
        <w:t>п</w:t>
      </w:r>
      <w:r>
        <w:rPr>
          <w:rFonts w:ascii="Times New Roman" w:eastAsia="Calibri" w:hAnsi="Times New Roman" w:cs="Times New Roman"/>
          <w:sz w:val="28"/>
          <w:szCs w:val="28"/>
          <w:lang w:val="ru-RU" w:eastAsia="en-US"/>
        </w:rPr>
        <w:t>ідвищення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ефективності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видатків</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що</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відбуватиметься</w:t>
      </w:r>
      <w:r>
        <w:rPr>
          <w:rFonts w:ascii="Times New Roman" w:eastAsia="Calibri" w:hAnsi="Times New Roman" w:cs="Times New Roman"/>
          <w:sz w:val="28"/>
          <w:szCs w:val="28"/>
          <w:lang w:val="ru-RU" w:eastAsia="en-US"/>
        </w:rPr>
        <w:t xml:space="preserve"> на </w:t>
      </w:r>
      <w:r>
        <w:rPr>
          <w:rFonts w:ascii="Times New Roman" w:eastAsia="Calibri" w:hAnsi="Times New Roman" w:cs="Times New Roman"/>
          <w:sz w:val="28"/>
          <w:szCs w:val="28"/>
          <w:lang w:val="ru-RU" w:eastAsia="en-US"/>
        </w:rPr>
        <w:t>основі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їх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пріоритетності</w:t>
      </w:r>
      <w:r>
        <w:rPr>
          <w:rFonts w:ascii="Times New Roman" w:eastAsia="Calibri" w:hAnsi="Times New Roman" w:cs="Times New Roman"/>
          <w:sz w:val="28"/>
          <w:szCs w:val="28"/>
          <w:lang w:val="ru-RU" w:eastAsia="en-US"/>
        </w:rPr>
        <w:t xml:space="preserve"> та </w:t>
      </w:r>
      <w:r>
        <w:rPr>
          <w:rFonts w:ascii="Times New Roman" w:eastAsia="Calibri" w:hAnsi="Times New Roman" w:cs="Times New Roman"/>
          <w:sz w:val="28"/>
          <w:szCs w:val="28"/>
          <w:lang w:val="ru-RU" w:eastAsia="en-US"/>
        </w:rPr>
        <w:t>оцінки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ступеня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досягнення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очікуваних</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результатів</w:t>
      </w:r>
      <w:r>
        <w:rPr>
          <w:rFonts w:ascii="Times New Roman" w:eastAsia="Calibri" w:hAnsi="Times New Roman" w:cs="Times New Roman"/>
          <w:sz w:val="28"/>
          <w:szCs w:val="28"/>
          <w:lang w:val="ru-RU" w:eastAsia="en-US"/>
        </w:rPr>
        <w:t xml:space="preserve">. </w:t>
      </w:r>
    </w:p>
    <w:p w:rsidR="00B33F96" w:rsidP="00B33F96" w14:paraId="550E0DE2" w14:textId="77777777">
      <w:pPr>
        <w:spacing w:after="0" w:line="240" w:lineRule="auto"/>
        <w:ind w:firstLine="567"/>
        <w:jc w:val="both"/>
        <w:rPr>
          <w:rFonts w:ascii="Times New Roman" w:eastAsia="Calibri" w:hAnsi="Times New Roman" w:cs="Times New Roman"/>
          <w:sz w:val="16"/>
          <w:szCs w:val="16"/>
          <w:lang w:eastAsia="en-US"/>
        </w:rPr>
      </w:pPr>
    </w:p>
    <w:p w:rsidR="00B33F96" w:rsidP="00B33F96" w14:paraId="173785D9"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Прогнозні показники видатків та кредитування бюджету Броварської міської територіальної громади на 2026 – 2028 роки відображені на підставі поданих головними розпорядниками коштів пропозицій до Прогнозу, а саме:</w:t>
      </w:r>
    </w:p>
    <w:p w:rsidR="00B33F96" w:rsidP="00B33F96" w14:paraId="48169B24"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граничні показники видатків бюджету та надання кредитів з бюджету головним розпорядникам коштів – додаток 6; </w:t>
      </w:r>
    </w:p>
    <w:p w:rsidR="00B33F96" w:rsidP="00B33F96" w14:paraId="264A8E98"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граничні показники видатків бюджету за Типовою програмною класифікацією видатків та кредитування місцевого бюджету – додаток 7. </w:t>
      </w:r>
    </w:p>
    <w:p w:rsidR="00B33F96" w:rsidP="00B33F96" w14:paraId="154D20E2" w14:textId="77777777">
      <w:pPr>
        <w:spacing w:after="0" w:line="240" w:lineRule="auto"/>
        <w:ind w:firstLine="567"/>
        <w:jc w:val="both"/>
        <w:rPr>
          <w:rFonts w:ascii="Times New Roman" w:eastAsia="Calibri" w:hAnsi="Times New Roman" w:cs="Times New Roman"/>
          <w:sz w:val="16"/>
          <w:szCs w:val="16"/>
          <w:lang w:eastAsia="en-US"/>
        </w:rPr>
      </w:pPr>
    </w:p>
    <w:p w:rsidR="00B33F96" w:rsidP="00B33F96" w14:paraId="4AF33267" w14:textId="3686DA09">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Загальний обсяг видатків Прогнозу бюджету Броварської міської територіальної громади на середньостроковий період (з урахуванням обсягів </w:t>
      </w:r>
      <w:r w:rsidR="00F26253">
        <w:rPr>
          <w:rFonts w:ascii="Times New Roman" w:eastAsia="Times New Roman" w:hAnsi="Times New Roman" w:cs="Times New Roman"/>
          <w:sz w:val="28"/>
          <w:szCs w:val="28"/>
          <w:lang w:eastAsia="ru-RU"/>
        </w:rPr>
        <w:t>міжбюджетних трансфертів</w:t>
      </w:r>
      <w:r>
        <w:rPr>
          <w:rFonts w:ascii="Times New Roman" w:eastAsia="Times New Roman" w:hAnsi="Times New Roman" w:cs="Times New Roman"/>
          <w:sz w:val="28"/>
          <w:szCs w:val="28"/>
          <w:lang w:eastAsia="ru-RU"/>
        </w:rPr>
        <w:t>) складає:</w:t>
      </w:r>
    </w:p>
    <w:p w:rsidR="00B33F96" w:rsidP="00B33F96" w14:paraId="6EE16B03" w14:textId="77777777">
      <w:pPr>
        <w:widowControl w:val="0"/>
        <w:snapToGrid w:val="0"/>
        <w:spacing w:after="0" w:line="240" w:lineRule="auto"/>
        <w:ind w:firstLine="567"/>
        <w:jc w:val="both"/>
        <w:rPr>
          <w:rFonts w:ascii="Times New Roman" w:eastAsia="Times New Roman" w:hAnsi="Times New Roman" w:cs="Times New Roman"/>
          <w:sz w:val="16"/>
          <w:szCs w:val="16"/>
          <w:lang w:eastAsia="ru-RU"/>
        </w:rPr>
      </w:pPr>
    </w:p>
    <w:p w:rsidR="00B33F96" w:rsidP="00B33F96" w14:paraId="58D34AE0" w14:textId="77777777">
      <w:pPr>
        <w:widowControl w:val="0"/>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загальним фондом:</w:t>
      </w:r>
    </w:p>
    <w:p w:rsidR="00B33F96" w:rsidP="00B33F96" w14:paraId="3CEC45B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2026 рік – 2 379 968 704 гривні; </w:t>
      </w:r>
    </w:p>
    <w:p w:rsidR="00B33F96" w:rsidP="00B33F96" w14:paraId="4F3B959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2027 рік – 2 496 140 983 гривні;</w:t>
      </w:r>
    </w:p>
    <w:p w:rsidR="00B33F96" w:rsidP="00B33F96" w14:paraId="3BE66AF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2028 рік – 2 617 741 258 гривень;</w:t>
      </w:r>
    </w:p>
    <w:p w:rsidR="00B33F96" w:rsidP="00B33F96" w14:paraId="11A36167" w14:textId="77777777">
      <w:pPr>
        <w:widowControl w:val="0"/>
        <w:snapToGrid w:val="0"/>
        <w:spacing w:after="0" w:line="240" w:lineRule="auto"/>
        <w:ind w:firstLine="567"/>
        <w:jc w:val="both"/>
        <w:rPr>
          <w:rFonts w:ascii="Times New Roman" w:eastAsia="Times New Roman" w:hAnsi="Times New Roman" w:cs="Times New Roman"/>
          <w:sz w:val="16"/>
          <w:szCs w:val="16"/>
          <w:lang w:eastAsia="ru-RU"/>
        </w:rPr>
      </w:pPr>
    </w:p>
    <w:p w:rsidR="00B33F96" w:rsidP="00B33F96" w14:paraId="43DC58B3" w14:textId="77777777">
      <w:pPr>
        <w:widowControl w:val="0"/>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спеціальним фондом:</w:t>
      </w:r>
    </w:p>
    <w:p w:rsidR="00B33F96" w:rsidP="00B33F96" w14:paraId="7743B24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2026 рік – 120 327 657 гривень;</w:t>
      </w:r>
    </w:p>
    <w:p w:rsidR="00B33F96" w:rsidP="00B33F96" w14:paraId="7B1B332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2027 рік  – 121 659 423 гривні;</w:t>
      </w:r>
    </w:p>
    <w:p w:rsidR="00B33F96" w:rsidP="00B33F96" w14:paraId="5D86EFA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2028 рік – 128 795 169 гривень.</w:t>
      </w:r>
    </w:p>
    <w:p w:rsidR="00B33F96" w:rsidP="00B33F96" w14:paraId="1CA5D82E" w14:textId="77777777">
      <w:pPr>
        <w:spacing w:after="0" w:line="240" w:lineRule="auto"/>
        <w:ind w:firstLine="567"/>
        <w:jc w:val="both"/>
        <w:rPr>
          <w:rFonts w:ascii="Times New Roman" w:eastAsia="Calibri" w:hAnsi="Times New Roman" w:cs="Times New Roman"/>
          <w:sz w:val="16"/>
          <w:szCs w:val="16"/>
          <w:lang w:eastAsia="en-US"/>
        </w:rPr>
      </w:pPr>
    </w:p>
    <w:p w:rsidR="00B33F96" w:rsidP="00B33F96" w14:paraId="16EAEB2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Напрями розвитку в основних сферах (галузях) діяльності та їх фінансове забезпечення, характеризується наступними показниками.</w:t>
      </w:r>
    </w:p>
    <w:p w:rsidR="00B33F96" w:rsidP="00B33F96" w14:paraId="4D4ADC9B" w14:textId="77777777">
      <w:pPr>
        <w:widowControl w:val="0"/>
        <w:snapToGrid w:val="0"/>
        <w:spacing w:after="0" w:line="240" w:lineRule="auto"/>
        <w:ind w:firstLine="709"/>
        <w:jc w:val="both"/>
        <w:rPr>
          <w:rFonts w:ascii="Times New Roman" w:eastAsia="Times New Roman" w:hAnsi="Times New Roman" w:cs="Times New Roman"/>
          <w:sz w:val="28"/>
          <w:szCs w:val="28"/>
          <w:lang w:eastAsia="ru-RU"/>
        </w:rPr>
      </w:pPr>
    </w:p>
    <w:p w:rsidR="00B33F96" w:rsidP="00B33F96" w14:paraId="4BFDF6B5"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Органи місцевого самоврядування</w:t>
      </w:r>
    </w:p>
    <w:p w:rsidR="00B33F96" w:rsidP="00B33F96" w14:paraId="68EE53C5" w14:textId="77777777">
      <w:pPr>
        <w:spacing w:after="0" w:line="240" w:lineRule="auto"/>
        <w:ind w:firstLine="567"/>
        <w:jc w:val="center"/>
        <w:rPr>
          <w:rFonts w:ascii="Times New Roman" w:eastAsia="Calibri" w:hAnsi="Times New Roman" w:cs="Times New Roman"/>
          <w:b/>
          <w:sz w:val="28"/>
          <w:szCs w:val="28"/>
          <w:lang w:eastAsia="en-US"/>
        </w:rPr>
      </w:pPr>
    </w:p>
    <w:p w:rsidR="00B33F96" w:rsidP="00B33F96" w14:paraId="1A109A7D"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ru-RU" w:eastAsia="en-US"/>
        </w:rPr>
        <w:t>Надані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законодавством</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повноваження</w:t>
      </w:r>
      <w:r>
        <w:rPr>
          <w:rFonts w:ascii="Times New Roman" w:eastAsia="Calibri" w:hAnsi="Times New Roman" w:cs="Times New Roman"/>
          <w:sz w:val="28"/>
          <w:szCs w:val="28"/>
          <w:lang w:val="ru-RU" w:eastAsia="en-US"/>
        </w:rPr>
        <w:t xml:space="preserve"> у </w:t>
      </w:r>
      <w:r>
        <w:rPr>
          <w:rFonts w:ascii="Times New Roman" w:eastAsia="Calibri" w:hAnsi="Times New Roman" w:cs="Times New Roman"/>
          <w:sz w:val="28"/>
          <w:szCs w:val="28"/>
          <w:lang w:val="ru-RU" w:eastAsia="en-US"/>
        </w:rPr>
        <w:t>сфері</w:t>
      </w:r>
      <w:r>
        <w:rPr>
          <w:rFonts w:ascii="Times New Roman" w:eastAsia="Calibri" w:hAnsi="Times New Roman" w:cs="Times New Roman"/>
          <w:sz w:val="28"/>
          <w:szCs w:val="28"/>
          <w:lang w:val="ru-RU" w:eastAsia="en-US"/>
        </w:rPr>
        <w:t xml:space="preserve"> державного </w:t>
      </w:r>
      <w:r>
        <w:rPr>
          <w:rFonts w:ascii="Times New Roman" w:eastAsia="Calibri" w:hAnsi="Times New Roman" w:cs="Times New Roman"/>
          <w:sz w:val="28"/>
          <w:szCs w:val="28"/>
          <w:lang w:val="ru-RU" w:eastAsia="en-US"/>
        </w:rPr>
        <w:t>управління</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реалізовуються</w:t>
      </w:r>
      <w:r>
        <w:rPr>
          <w:rFonts w:ascii="Times New Roman" w:eastAsia="Calibri" w:hAnsi="Times New Roman" w:cs="Times New Roman"/>
          <w:sz w:val="28"/>
          <w:szCs w:val="28"/>
          <w:lang w:val="ru-RU" w:eastAsia="en-US"/>
        </w:rPr>
        <w:t xml:space="preserve"> через </w:t>
      </w:r>
      <w:r>
        <w:rPr>
          <w:rFonts w:ascii="Times New Roman" w:eastAsia="Calibri" w:hAnsi="Times New Roman" w:cs="Times New Roman"/>
          <w:sz w:val="28"/>
          <w:szCs w:val="28"/>
          <w:lang w:eastAsia="en-US"/>
        </w:rPr>
        <w:t>Броварську міську раду Броварського району Київської області,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представлені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 xml:space="preserve">дванадцятьма </w:t>
      </w:r>
      <w:r>
        <w:rPr>
          <w:rFonts w:ascii="Times New Roman" w:eastAsia="Calibri" w:hAnsi="Times New Roman" w:cs="Times New Roman"/>
          <w:sz w:val="28"/>
          <w:szCs w:val="28"/>
          <w:lang w:val="ru-RU" w:eastAsia="en-US"/>
        </w:rPr>
        <w:t>виконавчими</w:t>
      </w:r>
      <w:r>
        <w:rPr>
          <w:rFonts w:ascii="Times New Roman" w:eastAsia="Calibri" w:hAnsi="Times New Roman" w:cs="Times New Roman"/>
          <w:sz w:val="28"/>
          <w:szCs w:val="28"/>
          <w:lang w:val="ru-RU" w:eastAsia="en-US"/>
        </w:rPr>
        <w:t xml:space="preserve"> органами. </w:t>
      </w:r>
    </w:p>
    <w:p w:rsidR="00B33F96" w:rsidP="00B33F96" w14:paraId="0A0372C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Розрахунок видатків на утримання органів місцевого самоврядування проводився виходячи із штатної чисельності та мережі виконавчих органів ради.</w:t>
      </w:r>
    </w:p>
    <w:p w:rsidR="00B33F96" w:rsidP="00B33F96" w14:paraId="4157B73A"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r>
        <w:rPr>
          <w:rFonts w:ascii="Times New Roman" w:eastAsia="Times New Roman" w:hAnsi="Times New Roman" w:cs="Times New Roman"/>
          <w:sz w:val="28"/>
          <w:szCs w:val="28"/>
          <w:lang w:eastAsia="ru-RU"/>
        </w:rPr>
        <w:t xml:space="preserve"> </w:t>
      </w:r>
    </w:p>
    <w:p w:rsidR="00B33F96" w:rsidP="00B33F96" w14:paraId="5D1D11F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Пріоритетні завдання виконавчих органів Броварської міської ради:</w:t>
      </w:r>
    </w:p>
    <w:p w:rsidR="00B33F96" w:rsidP="00B33F96" w14:paraId="3F47587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повноцінне забезпечення функціонування органів місцевого самоврядування  та їх самостійних управлінь та відділів;</w:t>
      </w:r>
    </w:p>
    <w:p w:rsidR="00B33F96" w:rsidP="00B33F96" w14:paraId="2F1ACE3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якісне виконання повноважень, визначених Конституцією України та іншими законодавчими актами;</w:t>
      </w:r>
    </w:p>
    <w:p w:rsidR="00B33F96" w:rsidP="00B33F96" w14:paraId="3265D1C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забезпечення якісного контролю за використанням коштів у реалізації заходів програми соціально-економічного розвитку;</w:t>
      </w:r>
    </w:p>
    <w:p w:rsidR="00B33F96" w:rsidP="00B33F96" w14:paraId="072E535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забезпечення доступності та якості управлінських та адміністративних послуг;</w:t>
      </w:r>
    </w:p>
    <w:p w:rsidR="00B33F96" w:rsidP="00B33F96" w14:paraId="173F9DA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підвищення іміджу Броварської міської ради. </w:t>
      </w:r>
    </w:p>
    <w:p w:rsidR="00B33F96" w:rsidP="00B33F96" w14:paraId="7E8FC4DD"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6C80512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2026 - 2028 роках передбачається здійснити такі заходи:</w:t>
      </w:r>
    </w:p>
    <w:p w:rsidR="00B33F96" w:rsidP="00B33F96" w14:paraId="11B5997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організація та забезпечення ефективної роботи органів місцевого самоврядування;</w:t>
      </w:r>
    </w:p>
    <w:p w:rsidR="00B33F96" w:rsidP="00B33F96" w14:paraId="7ECE07E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принципу прозорості у діяльності міської ради;</w:t>
      </w:r>
    </w:p>
    <w:p w:rsidR="00B33F96" w:rsidP="00B33F96" w14:paraId="4113262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повноцінного виконання повноважень виконавчих органів міської ради згідно чинного законодавства;</w:t>
      </w:r>
    </w:p>
    <w:p w:rsidR="00B33F96" w:rsidP="00B33F96" w14:paraId="16AB873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професійного рівня посадових осіб органів місцевого самоврядування та депутатів міської ради.</w:t>
      </w:r>
    </w:p>
    <w:p w:rsidR="00B33F96" w:rsidP="00B33F96" w14:paraId="4D6E91FC"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25E33DF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Основними результатами, які планується досягти є:</w:t>
      </w:r>
    </w:p>
    <w:p w:rsidR="00B33F96" w:rsidP="00B33F96" w14:paraId="19CC5F1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якісного та повноцінного виконання функцій і повноважень виконавчих органів міської ради згідно з чинним законодавством;</w:t>
      </w:r>
    </w:p>
    <w:p w:rsidR="00B33F96" w:rsidP="00B33F96" w14:paraId="506961C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прозорої системи прийняття управлінських рішень виконавчими органами міської ради;</w:t>
      </w:r>
    </w:p>
    <w:p w:rsidR="00B33F96" w:rsidP="00B33F96" w14:paraId="75D805D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рівня довіри до виконавчих органів міської ради.</w:t>
      </w:r>
    </w:p>
    <w:p w:rsidR="00B33F96" w:rsidP="00B33F96" w14:paraId="7B66374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p>
    <w:p w:rsidR="00B33F96" w:rsidP="00B33F96" w14:paraId="1B632444"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Освіта</w:t>
      </w:r>
    </w:p>
    <w:p w:rsidR="00B33F96" w:rsidP="00B33F96" w14:paraId="45730238" w14:textId="77777777">
      <w:pPr>
        <w:spacing w:after="0" w:line="240" w:lineRule="auto"/>
        <w:ind w:firstLine="567"/>
        <w:jc w:val="center"/>
        <w:rPr>
          <w:rFonts w:ascii="Times New Roman" w:eastAsia="Calibri" w:hAnsi="Times New Roman" w:cs="Times New Roman"/>
          <w:b/>
          <w:sz w:val="28"/>
          <w:szCs w:val="28"/>
          <w:lang w:eastAsia="en-US"/>
        </w:rPr>
      </w:pPr>
    </w:p>
    <w:p w:rsidR="00B33F96" w:rsidP="00B33F96" w14:paraId="6828FD0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Пріоритетом розвитку галузі освіти є забезпечення доступності високоякісної освіти, забезпечення модернізації освітніх послуг та підвищення доступності якісних освітніх послуг.</w:t>
      </w:r>
    </w:p>
    <w:p w:rsidR="00B33F96" w:rsidP="00B33F96" w14:paraId="0780CC5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сфері забезпечення освіти діяльність органів місцевого самоврядування направлена на всебічний розвиток людини як особистості, її талантів, інтелектуальних, творчих і фізичних здібностей, формування цінностей, необхідних для успішної самореалізації, виховання відповідальних громадян, які здатні до свідомого суспільного вибору та спрямування своєї діяльності на користь іншим людям і суспільству, підвищення освітнього рівня громадян за для забезпечення сталого розвитку України та її європейського вибору.</w:t>
      </w:r>
    </w:p>
    <w:p w:rsidR="00B33F96" w:rsidP="00B33F96" w14:paraId="732BFFA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Громада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 </w:t>
      </w:r>
    </w:p>
    <w:p w:rsidR="00B33F96" w:rsidP="00B33F96" w14:paraId="79FC29B2"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59D8852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Цілі державної регіональної та місцевої політики, реалізація яких здійснюватиметься у середньостроковий період:</w:t>
      </w:r>
    </w:p>
    <w:p w:rsidR="00B33F96" w:rsidP="00B33F96" w14:paraId="6278196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створення належних умов для надання якісної дошкільної освіти та виховання дітей; </w:t>
      </w:r>
    </w:p>
    <w:p w:rsidR="00B33F96" w:rsidP="00B33F96" w14:paraId="347288A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повноцінного надання загальної середньої освіти у закладах загальної середньої освіти; </w:t>
      </w:r>
    </w:p>
    <w:p w:rsidR="00B33F96" w:rsidP="00B33F96" w14:paraId="28F0AC5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доступності спеціальної освіти мистецькими школами. </w:t>
      </w:r>
    </w:p>
    <w:p w:rsidR="00B33F96" w:rsidP="00B33F96" w14:paraId="3411026A"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0B9670C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Показниками досягнення цілей є: </w:t>
      </w:r>
    </w:p>
    <w:p w:rsidR="00B33F96" w:rsidP="00B33F96" w14:paraId="25724F9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якісної, сучасної та доступної загальної середньої освіти; </w:t>
      </w:r>
    </w:p>
    <w:p w:rsidR="00B33F96" w:rsidP="00B33F96" w14:paraId="2D6391D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стійкого розвитку системи освіти, всебічного розвитку особистості, стабільного функціонування закладів та установ освіти для задоволення освітніх потреб населення;</w:t>
      </w:r>
    </w:p>
    <w:p w:rsidR="00B33F96" w:rsidP="00B33F96" w14:paraId="5FDEE45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налагодження енергоефективності будівель та приміщень, покращення матеріально-технічної та навчально-методичної бази навчальних закладів, благоустрій територій; </w:t>
      </w:r>
    </w:p>
    <w:p w:rsidR="00B33F96" w:rsidP="00B33F96" w14:paraId="04EA7B0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участь обдарованих дітей в інтелектуальних, творчих та спортивних заходах, що проводяться за межами громади, обмін досвідом, а також стимулювання учнів, педагогів навчальних закладів до участі в інтелектуальних, творчих та спортивних заходах; </w:t>
      </w:r>
    </w:p>
    <w:p w:rsidR="00B33F96" w:rsidP="00B33F96" w14:paraId="327F8A5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більш ефективної та комфортної системи навчання, виховання та самовдосконалення обдарованих дітей, заохочення учнів до більш якісної та результативної роботи внаслідок оновлення бази музичних інструментів у мистецьких закладах.</w:t>
      </w:r>
    </w:p>
    <w:p w:rsidR="00B33F96" w:rsidP="00B33F96" w14:paraId="61EA5B81"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76C55D6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цією метою у 2026 - 2028 роках планується здійснити наступні заходи: забезпечення належного функціонування закладів загальної середньої освіти </w:t>
      </w:r>
      <w:r>
        <w:rPr>
          <w:rFonts w:ascii="Times New Roman" w:eastAsia="Times New Roman" w:hAnsi="Times New Roman" w:cs="Times New Roman"/>
          <w:sz w:val="28"/>
          <w:szCs w:val="28"/>
          <w:lang w:eastAsia="ru-RU"/>
        </w:rPr>
        <w:t>та закладів дошкільної освіти територіальної громади;</w:t>
      </w:r>
    </w:p>
    <w:p w:rsidR="00B33F96" w:rsidP="00B33F96" w14:paraId="0C9CDD5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зміцнення матеріально-технічної бази закладів загальної освіти територіальної громади; </w:t>
      </w:r>
    </w:p>
    <w:p w:rsidR="00B33F96" w:rsidP="00B33F96" w14:paraId="78E4DB0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навчальних закладів сучасними засобами навчання і виховання, оснащення комп’ютерною технікою; </w:t>
      </w:r>
    </w:p>
    <w:p w:rsidR="00B33F96" w:rsidP="00B33F96" w14:paraId="7EB375C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належного теплового режиму, зменшення показників споживання енергоносіїв, у тому числі природного газу.</w:t>
      </w:r>
    </w:p>
    <w:p w:rsidR="00B33F96" w:rsidP="00B33F96" w14:paraId="45B961A0" w14:textId="77777777">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  рахунок   коштів  передбачених на галузь «Освіта» буде  утримуватися 13 ліцеїв, початкова школа, всеукраїнський центр ДНЗ «Ялинка» ім. В.О.Сухомлинського, інклюзивно-ресурсний центр, 22 дитячих  дошкільних  закладів, 3 заклади  позашкільної  роботи з дітьми, центр професійного розвитку педагогічних працівників, централізована бухгалтерія, господарська  група, школа  естетичного  виховання  дітей  та  музична  школа.</w:t>
      </w:r>
    </w:p>
    <w:p w:rsidR="00B33F96" w:rsidP="00B33F96" w14:paraId="73E32258" w14:textId="77777777">
      <w:pPr>
        <w:spacing w:after="0" w:line="240" w:lineRule="auto"/>
        <w:ind w:firstLine="567"/>
        <w:jc w:val="both"/>
        <w:rPr>
          <w:rFonts w:ascii="Times New Roman" w:eastAsia="Calibri" w:hAnsi="Times New Roman" w:cs="Times New Roman"/>
          <w:color w:val="FF0000"/>
          <w:sz w:val="28"/>
          <w:szCs w:val="28"/>
          <w:lang w:eastAsia="en-US"/>
        </w:rPr>
      </w:pPr>
    </w:p>
    <w:p w:rsidR="00B33F96" w:rsidP="00B33F96" w14:paraId="6BA98765" w14:textId="77777777">
      <w:pPr>
        <w:spacing w:after="0" w:line="240" w:lineRule="auto"/>
        <w:ind w:firstLine="567"/>
        <w:jc w:val="center"/>
        <w:rPr>
          <w:rFonts w:ascii="Times New Roman" w:eastAsia="Calibri" w:hAnsi="Times New Roman" w:cs="Times New Roman"/>
          <w:b/>
          <w:sz w:val="28"/>
          <w:szCs w:val="28"/>
          <w:lang w:val="ru-RU" w:eastAsia="en-US"/>
        </w:rPr>
      </w:pPr>
      <w:r>
        <w:rPr>
          <w:rFonts w:ascii="Times New Roman" w:eastAsia="Calibri" w:hAnsi="Times New Roman" w:cs="Times New Roman"/>
          <w:b/>
          <w:sz w:val="28"/>
          <w:szCs w:val="28"/>
          <w:lang w:val="ru-RU" w:eastAsia="en-US"/>
        </w:rPr>
        <w:t>Охорона</w:t>
      </w:r>
      <w:r>
        <w:rPr>
          <w:rFonts w:ascii="Times New Roman" w:eastAsia="Calibri" w:hAnsi="Times New Roman" w:cs="Times New Roman"/>
          <w:b/>
          <w:sz w:val="28"/>
          <w:szCs w:val="28"/>
          <w:lang w:val="ru-RU" w:eastAsia="en-US"/>
        </w:rPr>
        <w:t xml:space="preserve"> </w:t>
      </w:r>
      <w:r>
        <w:rPr>
          <w:rFonts w:ascii="Times New Roman" w:eastAsia="Calibri" w:hAnsi="Times New Roman" w:cs="Times New Roman"/>
          <w:b/>
          <w:sz w:val="28"/>
          <w:szCs w:val="28"/>
          <w:lang w:val="ru-RU" w:eastAsia="en-US"/>
        </w:rPr>
        <w:t>здоров’я</w:t>
      </w:r>
    </w:p>
    <w:p w:rsidR="00B33F96" w:rsidP="00B33F96" w14:paraId="61BC3071" w14:textId="77777777">
      <w:pPr>
        <w:spacing w:after="0" w:line="240" w:lineRule="auto"/>
        <w:ind w:firstLine="567"/>
        <w:jc w:val="center"/>
        <w:rPr>
          <w:rFonts w:ascii="Times New Roman" w:eastAsia="Calibri" w:hAnsi="Times New Roman" w:cs="Times New Roman"/>
          <w:b/>
          <w:sz w:val="28"/>
          <w:szCs w:val="28"/>
          <w:lang w:eastAsia="en-US"/>
        </w:rPr>
      </w:pPr>
    </w:p>
    <w:p w:rsidR="00B33F96" w:rsidP="00B33F96" w14:paraId="0B9B378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Пріоритетами розвитку галузі є забезпечення населення територіальної громади високоякісними і доступними медичними послугами та створення сприятливих умов життєдіяльності людини. </w:t>
      </w:r>
    </w:p>
    <w:p w:rsidR="00B33F96" w:rsidP="00B33F96" w14:paraId="5CAE96D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 місцевого самоврядування реалізують державну політику у сфері охорони здоров'я в межах своїх повноважень, передбачених чинним законодавством України. </w:t>
      </w:r>
    </w:p>
    <w:p w:rsidR="00B33F96" w:rsidP="00B33F96" w14:paraId="30DD19DC"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2D35D46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цією метою у 2026-2028 роках планується здійснити наступні заходи:</w:t>
      </w:r>
    </w:p>
    <w:p w:rsidR="00B33F96" w:rsidP="00B33F96" w14:paraId="0522583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підвищення рівня медичного обслуговування населення, розширення можливостей щодо його доступності та якості; </w:t>
      </w:r>
    </w:p>
    <w:p w:rsidR="00B33F96" w:rsidP="00B33F96" w14:paraId="119E5BC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впровадження нових підходів до організації роботи закладів охорони здоров’я громади та їх фінансового забезпечення;</w:t>
      </w:r>
    </w:p>
    <w:p w:rsidR="00B33F96" w:rsidP="00B33F96" w14:paraId="033353B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покращення матеріально-технічної бази закладів охорони здоров'я територіальної громади; </w:t>
      </w:r>
    </w:p>
    <w:p w:rsidR="00B33F96" w:rsidP="00B33F96" w14:paraId="63200B7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оплати енергоносіїв та комунальних послуг закладів охорони здоров'я територіальної громади. </w:t>
      </w:r>
    </w:p>
    <w:p w:rsidR="00B33F96" w:rsidP="00B33F96" w14:paraId="5F65C374"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5E08327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Цілі державної регіональної та місцевої політики, реалізація яких здійснюватиметься у середньостроковий період направлена на: </w:t>
      </w:r>
    </w:p>
    <w:p w:rsidR="00B33F96" w:rsidP="00B33F96" w14:paraId="7B84428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в межах наданих повноважень доступності медичного обслуговування населення Броварської міської територіальної громади; </w:t>
      </w:r>
    </w:p>
    <w:p w:rsidR="00B33F96" w:rsidP="00B33F96" w14:paraId="1BF97D0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відповідно до чинного законодавства України пільгових категорій населення лікарськими засобами та виробами медичного призначення;</w:t>
      </w:r>
    </w:p>
    <w:p w:rsidR="00B33F96" w:rsidP="00B33F96" w14:paraId="4D3E47B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покращення кадрового потенціалу медичних установ, шляхом надання медичних стимулів медичним працівникам за кошти бюджету Броварської міської територіальної громади.</w:t>
      </w:r>
    </w:p>
    <w:p w:rsidR="00B33F96" w:rsidP="00B33F96" w14:paraId="69530176"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306C09F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Показниками досягнення цілей є:</w:t>
      </w:r>
    </w:p>
    <w:p w:rsidR="00B33F96" w:rsidP="00B33F96" w14:paraId="3BC763D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сприяння укладанню нових договорів з Національною службою здоров’я </w:t>
      </w:r>
      <w:r>
        <w:rPr>
          <w:rFonts w:ascii="Times New Roman" w:eastAsia="Times New Roman" w:hAnsi="Times New Roman" w:cs="Times New Roman"/>
          <w:sz w:val="28"/>
          <w:szCs w:val="28"/>
          <w:lang w:eastAsia="ru-RU"/>
        </w:rPr>
        <w:t>України;</w:t>
      </w:r>
    </w:p>
    <w:p w:rsidR="00B33F96" w:rsidP="00B33F96" w14:paraId="6B4DBC1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відповідно до потреби лікарськими засобами та виробами медичного призначення пільгових категорій населення;</w:t>
      </w:r>
    </w:p>
    <w:p w:rsidR="00B33F96" w:rsidP="00B33F96" w14:paraId="2034C247"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зниження рівнів загальної захворюваності населення.</w:t>
      </w:r>
    </w:p>
    <w:p w:rsidR="00B33F96" w:rsidP="00B33F96" w14:paraId="230DD910" w14:textId="77777777">
      <w:pPr>
        <w:spacing w:after="0" w:line="240" w:lineRule="auto"/>
        <w:ind w:firstLine="567"/>
        <w:jc w:val="both"/>
        <w:rPr>
          <w:rFonts w:ascii="Times New Roman" w:eastAsia="Calibri" w:hAnsi="Times New Roman" w:cs="Times New Roman"/>
          <w:b/>
          <w:sz w:val="16"/>
          <w:szCs w:val="16"/>
          <w:lang w:eastAsia="en-US"/>
        </w:rPr>
      </w:pPr>
    </w:p>
    <w:p w:rsidR="00B33F96" w:rsidP="00B33F96" w14:paraId="654D0849" w14:textId="7777777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8"/>
          <w:szCs w:val="28"/>
          <w:lang w:eastAsia="en-US"/>
        </w:rPr>
        <w:t xml:space="preserve">Граничний обсяг видатків головним розпорядникам бюджетних коштів направлено на реалізацію бюджетних програм, </w:t>
      </w:r>
      <w:r>
        <w:rPr>
          <w:rFonts w:ascii="Times New Roman" w:eastAsia="Calibri" w:hAnsi="Times New Roman" w:cs="Times New Roman"/>
          <w:sz w:val="28"/>
          <w:lang w:eastAsia="en-US"/>
        </w:rPr>
        <w:t xml:space="preserve">для фінансування </w:t>
      </w:r>
      <w:r>
        <w:rPr>
          <w:rFonts w:ascii="Times New Roman" w:eastAsia="Times New Roman" w:hAnsi="Times New Roman" w:cs="Times New Roman"/>
          <w:sz w:val="28"/>
          <w:szCs w:val="28"/>
        </w:rPr>
        <w:t xml:space="preserve">Комунального некомерційне підприємство «Броварська багатопрофільна клінічна лікарня» територіальних громад Броварського району Київської області, Комунального  некомерційне підприємства </w:t>
      </w:r>
      <w:r>
        <w:rPr>
          <w:rFonts w:ascii="Times New Roman" w:eastAsia="Times New Roman" w:hAnsi="Times New Roman" w:cs="Times New Roman"/>
          <w:sz w:val="28"/>
          <w:szCs w:val="28"/>
          <w:shd w:val="clear" w:color="auto" w:fill="FFFFFF"/>
        </w:rPr>
        <w:t>Броварської міської ради Броварського району Київської області</w:t>
      </w:r>
      <w:r>
        <w:rPr>
          <w:rFonts w:ascii="Times New Roman" w:eastAsia="Times New Roman" w:hAnsi="Times New Roman" w:cs="Times New Roman"/>
          <w:shd w:val="clear" w:color="auto" w:fill="FFFFFF"/>
        </w:rPr>
        <w:t> </w:t>
      </w:r>
      <w:r>
        <w:rPr>
          <w:rFonts w:ascii="Times New Roman" w:eastAsia="Times New Roman" w:hAnsi="Times New Roman" w:cs="Times New Roman"/>
          <w:sz w:val="28"/>
          <w:szCs w:val="28"/>
        </w:rPr>
        <w:t>«Броварський міський центр первинної медико-санітарної допомоги» та Комунального некомерційного підприємства Броварської міської ради Броварського району Київської області «Броварська стоматологічна поліклініка». </w:t>
      </w:r>
    </w:p>
    <w:p w:rsidR="00B33F96" w:rsidP="00B33F96" w14:paraId="5743D1AD" w14:textId="77777777">
      <w:pPr>
        <w:spacing w:after="0" w:line="240" w:lineRule="auto"/>
        <w:ind w:left="142"/>
        <w:jc w:val="both"/>
        <w:rPr>
          <w:rFonts w:ascii="Times New Roman" w:eastAsia="Calibri" w:hAnsi="Times New Roman" w:cs="Times New Roman"/>
          <w:color w:val="FF0000"/>
          <w:sz w:val="28"/>
          <w:szCs w:val="28"/>
          <w:lang w:eastAsia="en-US"/>
        </w:rPr>
      </w:pPr>
    </w:p>
    <w:p w:rsidR="00B33F96" w:rsidP="00B33F96" w14:paraId="5FCFCF09"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Соціальний захист та соціальне забезпечення</w:t>
      </w:r>
    </w:p>
    <w:p w:rsidR="00B33F96" w:rsidP="00B33F96" w14:paraId="42466968" w14:textId="77777777">
      <w:pPr>
        <w:spacing w:after="0" w:line="240" w:lineRule="auto"/>
        <w:ind w:firstLine="567"/>
        <w:jc w:val="center"/>
        <w:rPr>
          <w:rFonts w:ascii="Times New Roman" w:eastAsia="Calibri" w:hAnsi="Times New Roman" w:cs="Times New Roman"/>
          <w:b/>
          <w:sz w:val="28"/>
          <w:szCs w:val="28"/>
          <w:lang w:eastAsia="en-US"/>
        </w:rPr>
      </w:pPr>
    </w:p>
    <w:p w:rsidR="00B33F96" w:rsidP="00B33F96" w14:paraId="22468C2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Пріоритетними завданнями у сфері соціального захисту та соціального забезпечення є забезпечення на території громади реалізації державної політики у сфері надання соціальних послуг, соціального захисту та соціального обслуговування населення, підвищення ефективності управління бюджетними коштами, забезпечення адресного характеру надання соціальної підтримки, підвищення рівня охоплення соціальною підтримкою незахищених верств населення, ветеранів війни, членів їх сімей, при раціональному використанні бюджетних коштів, подальше реформування сфери надання соціальних послуг та соціального захисту. </w:t>
      </w:r>
    </w:p>
    <w:p w:rsidR="00B33F96" w:rsidP="00B33F96" w14:paraId="077B980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умовах військового стану в Україні існує необхідність надання додаткових соціальних гарантій ветеранам війни, членам їх сімей, пораненим військовослужбовцям, а також родинам у разі загибелі воїнів, які захищали незалежність, суверенітет та територіальну цілісність України, зокрема у частині поліпшення фінансово-матеріального стану зазначених категорій осіб.</w:t>
      </w:r>
    </w:p>
    <w:p w:rsidR="00B33F96" w:rsidP="00B33F96" w14:paraId="2B84E31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Враховуючи аналітичні дані звернень громадян, з кожним роком збільшуються показники кількості заяв мешканців громади, які гостро потребують певних видів соціальних послуг, передусім адресної матеріальної грошової допомоги. Більшість таких звернень надходять від осіб похилого віку, ветеранів війни та членів сімей загиблих (померлих) воїнів, осіб з інвалідністю, багатодітних сімей та одиноких громадян як найбільш вразливої категорії населення, які найгостріше відчувають негативні наслідки погіршення економічної ситуації.</w:t>
      </w:r>
    </w:p>
    <w:p w:rsidR="00B33F96" w:rsidP="00B33F96" w14:paraId="2407F3CC"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60208CC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Цілі державної, регіональної та місцевої політики, реалізація яких здійснюватиметься у середньостроковий період:</w:t>
      </w:r>
    </w:p>
    <w:p w:rsidR="00B33F96" w:rsidP="00B33F96" w14:paraId="5BC6C7C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підвищення рівня життя вразливих категорій громадян, надання їм необхідних соціальних послуг; </w:t>
      </w:r>
    </w:p>
    <w:p w:rsidR="00B33F96" w:rsidP="00B33F96" w14:paraId="73EAEA5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підтримкою дітей-сиріт та дітей, позбавлених батьківського </w:t>
      </w:r>
      <w:r>
        <w:rPr>
          <w:rFonts w:ascii="Times New Roman" w:eastAsia="Times New Roman" w:hAnsi="Times New Roman" w:cs="Times New Roman"/>
          <w:sz w:val="28"/>
          <w:szCs w:val="28"/>
          <w:lang w:eastAsia="ru-RU"/>
        </w:rPr>
        <w:t>піклування, які перебувають під опікою чи піклуванням;</w:t>
      </w:r>
    </w:p>
    <w:p w:rsidR="00B33F96" w:rsidP="00B33F96" w14:paraId="162C1B24"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оздоровлення дітей, які потребують особливої соціальної уваги та підтримки. </w:t>
      </w:r>
    </w:p>
    <w:p w:rsidR="00B33F96" w:rsidP="00B33F96" w14:paraId="3519F55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сприятливих умов життєдіяльності осіб з інвалідністю, їх соціальної реабілітації та вільного доступу до об’єктів соціального, громадського і житлового призначення на території громади;</w:t>
      </w:r>
    </w:p>
    <w:p w:rsidR="00B33F96" w:rsidP="00B33F96" w14:paraId="3FE5EC7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попередження домашнього насильства у всіх його проявах.</w:t>
      </w:r>
    </w:p>
    <w:p w:rsidR="00B33F96" w:rsidP="00B33F96" w14:paraId="72AD4D3F"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7D7956A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Показниками досягнення цілей є: </w:t>
      </w:r>
    </w:p>
    <w:p w:rsidR="00B33F96" w:rsidP="00B33F96" w14:paraId="32FF478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надання допомоги соціально незахищеним верствам населення, які зареєстровані та фактично проживають на території громади та внутрішньо переміщеним особам;</w:t>
      </w:r>
    </w:p>
    <w:p w:rsidR="00B33F96" w:rsidP="00B33F96" w14:paraId="0667B25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надання фінансової підтримки ветеранам війни, членам сімей загиблих (померлих) воїнів, які захищали незалежність, суверенітет та територіальну цілісність України; </w:t>
      </w:r>
    </w:p>
    <w:p w:rsidR="00B33F96" w:rsidP="00B33F96" w14:paraId="5331016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безперешкодного доступу осіб з інвалідністю до об’єктів соціального, громадського та житлового призначення.</w:t>
      </w:r>
    </w:p>
    <w:p w:rsidR="00B33F96" w:rsidP="00B33F96" w14:paraId="1A0FB1CC"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6724AFB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2026 - 2028 роках плануються наступні заходи: </w:t>
      </w:r>
    </w:p>
    <w:p w:rsidR="00B33F96" w:rsidP="00B33F96" w14:paraId="057683D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реалізація програм, спрямованих на соціальний захист населення Броварської міської територіальної громади;</w:t>
      </w:r>
    </w:p>
    <w:p w:rsidR="00B33F96" w:rsidP="00B33F96" w14:paraId="2EAD4A1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поліпшення надання соціальних послуг особам з інвалідністю;</w:t>
      </w:r>
    </w:p>
    <w:p w:rsidR="00B33F96" w:rsidP="00B33F96" w14:paraId="4901276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рівня соціального захисту дітей-сиріт та дітей, позбавлених батьківського піклування, які перебувають під опікою чи піклуванням;</w:t>
      </w:r>
    </w:p>
    <w:p w:rsidR="00B33F96" w:rsidP="00B33F96" w14:paraId="4C5197B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ефективності використання бюджетних коштів соціального спрямування.</w:t>
      </w:r>
    </w:p>
    <w:p w:rsidR="00B33F96" w:rsidP="00B33F96" w14:paraId="71357C79"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2BF534FB"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 рахунок коштів бюджету Броварської міської територіальної громади у середньостроковому періоді планується утримувати Центр соціальних служб, Броварський міський територіальний  центр  соціального обслуговування, міський Центр комплексної реабілітації дітей з інвалідністю, Броварський міський ветеранський центр «ВЕТЕРАН ПРО».</w:t>
      </w:r>
    </w:p>
    <w:p w:rsidR="00B33F96" w:rsidP="00B33F96" w14:paraId="78FE40CB"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Крім того, на 2026 – 2028 роки передбачаються видатки на реалізацію міських програм соціального захисту та соціальної підтримки окремих категорій населення міста. </w:t>
      </w:r>
    </w:p>
    <w:p w:rsidR="00B33F96" w:rsidP="00B33F96" w14:paraId="4D08B41D" w14:textId="77777777">
      <w:pPr>
        <w:spacing w:after="0" w:line="240" w:lineRule="auto"/>
        <w:ind w:left="142"/>
        <w:jc w:val="both"/>
        <w:rPr>
          <w:rFonts w:ascii="Times New Roman" w:eastAsia="Calibri" w:hAnsi="Times New Roman" w:cs="Times New Roman"/>
          <w:color w:val="FF0000"/>
          <w:sz w:val="28"/>
          <w:szCs w:val="28"/>
          <w:lang w:eastAsia="en-US"/>
        </w:rPr>
      </w:pPr>
    </w:p>
    <w:p w:rsidR="00B33F96" w:rsidP="00B33F96" w14:paraId="61F2ACDA"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Культура і мистецтво</w:t>
      </w:r>
    </w:p>
    <w:p w:rsidR="00B33F96" w:rsidP="00B33F96" w14:paraId="35DE0BC0" w14:textId="77777777">
      <w:pPr>
        <w:spacing w:after="0" w:line="240" w:lineRule="auto"/>
        <w:ind w:firstLine="567"/>
        <w:jc w:val="center"/>
        <w:rPr>
          <w:rFonts w:ascii="Times New Roman" w:eastAsia="Calibri" w:hAnsi="Times New Roman" w:cs="Times New Roman"/>
          <w:sz w:val="28"/>
          <w:szCs w:val="28"/>
          <w:lang w:eastAsia="en-US"/>
        </w:rPr>
      </w:pPr>
    </w:p>
    <w:p w:rsidR="00B33F96" w:rsidP="00B33F96" w14:paraId="2275957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Пріоритетами розвитку галузі є: </w:t>
      </w:r>
    </w:p>
    <w:p w:rsidR="00B33F96" w:rsidP="00B33F96" w14:paraId="13F3284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вдосконалення реалізації державної політики у сфері культури;</w:t>
      </w:r>
    </w:p>
    <w:p w:rsidR="00B33F96" w:rsidP="00B33F96" w14:paraId="725E15C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збереження та подальший розвиток культурного потенціалу територіальної громади;</w:t>
      </w:r>
    </w:p>
    <w:p w:rsidR="00B33F96" w:rsidP="00B33F96" w14:paraId="1E7613D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розвиток культурних традицій, збереження історичних цінностей, забезпечення доступності закладів культури для всіх верств населення;</w:t>
      </w:r>
    </w:p>
    <w:p w:rsidR="00B33F96" w:rsidP="00B33F96" w14:paraId="32E2E5F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створення максимально сприятливих умов для творчого  формування особистості, розкриття її здібностей, задоволення духовних і естетичних </w:t>
      </w:r>
      <w:r>
        <w:rPr>
          <w:rFonts w:ascii="Times New Roman" w:eastAsia="Times New Roman" w:hAnsi="Times New Roman" w:cs="Times New Roman"/>
          <w:sz w:val="28"/>
          <w:szCs w:val="28"/>
          <w:lang w:eastAsia="ru-RU"/>
        </w:rPr>
        <w:t xml:space="preserve">проблем, відродження народної творчості та популяризації національних звичаїв та обрядів, організацію змістовного дозвілля, масового відпочинку та культурного обслуговування населення. </w:t>
      </w:r>
    </w:p>
    <w:p w:rsidR="00B33F96" w:rsidP="00B33F96" w14:paraId="459CC836"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2AB9A22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Основні заходи для досягнення визначених завдань:</w:t>
      </w:r>
    </w:p>
    <w:p w:rsidR="00B33F96" w:rsidP="00B33F96" w14:paraId="2E8E602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проведення заходів, фестивалів, конкурсів, оглядів самодіяльної народної творчості;</w:t>
      </w:r>
    </w:p>
    <w:p w:rsidR="00B33F96" w:rsidP="00B33F96" w14:paraId="270C660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організація та проведення інформаційних заходів шляхом участі молоді у </w:t>
      </w:r>
      <w:r>
        <w:rPr>
          <w:rFonts w:ascii="Times New Roman" w:eastAsia="Times New Roman" w:hAnsi="Times New Roman" w:cs="Times New Roman"/>
          <w:sz w:val="28"/>
          <w:szCs w:val="28"/>
          <w:lang w:eastAsia="ru-RU"/>
        </w:rPr>
        <w:t>тренінгових</w:t>
      </w:r>
      <w:r>
        <w:rPr>
          <w:rFonts w:ascii="Times New Roman" w:eastAsia="Times New Roman" w:hAnsi="Times New Roman" w:cs="Times New Roman"/>
          <w:sz w:val="28"/>
          <w:szCs w:val="28"/>
          <w:lang w:eastAsia="ru-RU"/>
        </w:rPr>
        <w:t xml:space="preserve"> програмах, акціях, семінарах, конкурсах;</w:t>
      </w:r>
    </w:p>
    <w:p w:rsidR="00B33F96" w:rsidP="00B33F96" w14:paraId="21B3FA6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підтримка та розвиток творчої, інтелектуально обдарованої молоді, забезпечення змістовного дозвілля молоді;</w:t>
      </w:r>
    </w:p>
    <w:p w:rsidR="00B33F96" w:rsidP="00B33F96" w14:paraId="109A410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якості бібліотечно-інформаційного обслуговування користувачів, формування фондів бібліотек літературою, створення максимально комфортних умов з метою ефективного обслуговування користувачів бібліотек.</w:t>
      </w:r>
    </w:p>
    <w:p w:rsidR="00B33F96" w:rsidP="00B33F96" w14:paraId="08BD4379"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5FD2269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Результати, яких планується досягти від реалізації заходів:</w:t>
      </w:r>
    </w:p>
    <w:p w:rsidR="00B33F96" w:rsidP="00B33F96" w14:paraId="1C1F3A1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популяризація кращих досягнень, обмін досвідом, розвиток творчої  майстерності; </w:t>
      </w:r>
    </w:p>
    <w:p w:rsidR="00B33F96" w:rsidP="00B33F96" w14:paraId="75041F8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рівня виконавської майстерності, піднесення іміджу Броварської громади на українській та світовій культурній ниві;</w:t>
      </w:r>
    </w:p>
    <w:p w:rsidR="00B33F96" w:rsidP="00B33F96" w14:paraId="3A3B61F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покращення якості бібліотечного обслуговування, охоплення ним населення територіальної громади різних вікових і соціальних груп;</w:t>
      </w:r>
    </w:p>
    <w:p w:rsidR="00B33F96" w:rsidP="00B33F96" w14:paraId="13299F8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збереження українських національних традицій, підтримка обдарованої молоді та урізноманітнення проведення культурно-масових заходів.</w:t>
      </w:r>
    </w:p>
    <w:p w:rsidR="00B33F96" w:rsidP="00B33F96" w14:paraId="3EDA3910"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54CC0309" w14:textId="77777777">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Calibri" w:hAnsi="Times New Roman" w:cs="Times New Roman"/>
          <w:sz w:val="28"/>
          <w:szCs w:val="28"/>
          <w:lang w:eastAsia="en-US"/>
        </w:rPr>
        <w:t>За рахунок коштів бюджету міської територіальної громади у середньостроковому періоді планується утримувати</w:t>
      </w:r>
      <w:r>
        <w:rPr>
          <w:rFonts w:ascii="Times New Roman" w:eastAsia="Calibri" w:hAnsi="Times New Roman" w:cs="Times New Roman"/>
          <w:sz w:val="28"/>
          <w:lang w:eastAsia="en-US"/>
        </w:rPr>
        <w:t xml:space="preserve"> </w:t>
      </w:r>
      <w:r>
        <w:rPr>
          <w:rFonts w:ascii="Times New Roman" w:eastAsia="Times New Roman" w:hAnsi="Times New Roman" w:cs="Times New Roman"/>
          <w:sz w:val="28"/>
          <w:szCs w:val="20"/>
          <w:lang w:eastAsia="ru-RU"/>
        </w:rPr>
        <w:t xml:space="preserve">5 бібліотек, </w:t>
      </w:r>
      <w:r>
        <w:rPr>
          <w:rFonts w:ascii="Times New Roman" w:eastAsia="Times New Roman" w:hAnsi="Times New Roman" w:cs="Times New Roman"/>
          <w:bCs/>
          <w:sz w:val="28"/>
          <w:szCs w:val="28"/>
          <w:shd w:val="clear" w:color="auto" w:fill="FFFFFF"/>
          <w:lang w:eastAsia="ru-RU"/>
        </w:rPr>
        <w:t>Комунальний заклад клубного типу «Культурно-інноваційна платформа «</w:t>
      </w:r>
      <w:r>
        <w:rPr>
          <w:rFonts w:ascii="Times New Roman" w:eastAsia="Times New Roman" w:hAnsi="Times New Roman" w:cs="Times New Roman"/>
          <w:bCs/>
          <w:sz w:val="28"/>
          <w:szCs w:val="28"/>
          <w:shd w:val="clear" w:color="auto" w:fill="FFFFFF"/>
          <w:lang w:eastAsia="ru-RU"/>
        </w:rPr>
        <w:t>ТепЛиця</w:t>
      </w:r>
      <w:r>
        <w:rPr>
          <w:rFonts w:ascii="Times New Roman" w:eastAsia="Times New Roman" w:hAnsi="Times New Roman" w:cs="Times New Roman"/>
          <w:bCs/>
          <w:sz w:val="28"/>
          <w:szCs w:val="28"/>
          <w:shd w:val="clear" w:color="auto" w:fill="FFFFFF"/>
          <w:lang w:eastAsia="ru-RU"/>
        </w:rPr>
        <w:t>»,</w:t>
      </w:r>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bCs/>
          <w:sz w:val="28"/>
          <w:szCs w:val="28"/>
          <w:shd w:val="clear" w:color="auto" w:fill="FFFFFF"/>
          <w:lang w:eastAsia="ru-RU"/>
        </w:rPr>
        <w:t>Комунальний заклад «М</w:t>
      </w:r>
      <w:r>
        <w:rPr>
          <w:rFonts w:ascii="Times New Roman" w:eastAsia="Times New Roman" w:hAnsi="Times New Roman" w:cs="Times New Roman"/>
          <w:sz w:val="28"/>
          <w:szCs w:val="20"/>
          <w:lang w:eastAsia="ru-RU"/>
        </w:rPr>
        <w:t>іський  культурний  центр»</w:t>
      </w:r>
      <w:r>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0"/>
          <w:lang w:eastAsia="ru-RU"/>
        </w:rPr>
        <w:t xml:space="preserve"> міський клуб, будинок культури с. Княжичі, будинок культури с. </w:t>
      </w:r>
      <w:r>
        <w:rPr>
          <w:rFonts w:ascii="Times New Roman" w:eastAsia="Times New Roman" w:hAnsi="Times New Roman" w:cs="Times New Roman"/>
          <w:sz w:val="28"/>
          <w:szCs w:val="20"/>
          <w:lang w:eastAsia="ru-RU"/>
        </w:rPr>
        <w:t>Требухів</w:t>
      </w:r>
      <w:r>
        <w:rPr>
          <w:rFonts w:ascii="Times New Roman" w:eastAsia="Times New Roman" w:hAnsi="Times New Roman" w:cs="Times New Roman"/>
          <w:sz w:val="28"/>
          <w:szCs w:val="20"/>
          <w:lang w:eastAsia="ru-RU"/>
        </w:rPr>
        <w:t xml:space="preserve">, сільський клуб с. </w:t>
      </w:r>
      <w:r>
        <w:rPr>
          <w:rFonts w:ascii="Times New Roman" w:eastAsia="Times New Roman" w:hAnsi="Times New Roman" w:cs="Times New Roman"/>
          <w:sz w:val="28"/>
          <w:szCs w:val="20"/>
          <w:lang w:eastAsia="ru-RU"/>
        </w:rPr>
        <w:t>Сотницьке</w:t>
      </w:r>
      <w:r>
        <w:rPr>
          <w:rFonts w:ascii="Times New Roman" w:eastAsia="Times New Roman" w:hAnsi="Times New Roman" w:cs="Times New Roman"/>
          <w:sz w:val="28"/>
          <w:szCs w:val="20"/>
          <w:lang w:eastAsia="ru-RU"/>
        </w:rPr>
        <w:t>, краєзнавчий  музей, централізована  бухгалтерія.</w:t>
      </w:r>
    </w:p>
    <w:p w:rsidR="00B33F96" w:rsidP="00B33F96" w14:paraId="319D6383" w14:textId="77777777">
      <w:pPr>
        <w:spacing w:after="0" w:line="240" w:lineRule="auto"/>
        <w:ind w:firstLine="567"/>
        <w:jc w:val="both"/>
        <w:rPr>
          <w:rFonts w:ascii="Times New Roman" w:eastAsia="Times New Roman" w:hAnsi="Times New Roman" w:cs="Times New Roman"/>
          <w:sz w:val="28"/>
          <w:szCs w:val="28"/>
          <w:lang w:eastAsia="ru-RU"/>
        </w:rPr>
      </w:pPr>
    </w:p>
    <w:p w:rsidR="00B33F96" w:rsidP="00B33F96" w14:paraId="7DFF5A00"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Фізична культура і спорт</w:t>
      </w:r>
    </w:p>
    <w:p w:rsidR="00B33F96" w:rsidP="00B33F96" w14:paraId="482CA1CB" w14:textId="77777777">
      <w:pPr>
        <w:spacing w:after="0" w:line="240" w:lineRule="auto"/>
        <w:ind w:firstLine="567"/>
        <w:jc w:val="center"/>
        <w:rPr>
          <w:rFonts w:ascii="Times New Roman" w:eastAsia="Calibri" w:hAnsi="Times New Roman" w:cs="Times New Roman"/>
          <w:sz w:val="28"/>
          <w:szCs w:val="28"/>
          <w:lang w:eastAsia="en-US"/>
        </w:rPr>
      </w:pPr>
    </w:p>
    <w:p w:rsidR="00B33F96" w:rsidP="00B33F96" w14:paraId="7347C2E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Метою діяльності галузі «Фізична культура і спорт» є створення умов для залучення широких верств населення до масового спорту, популяризації здорового способу життя, максимальної реалізації здібностей обдарованої молоді у спорті.</w:t>
      </w:r>
    </w:p>
    <w:p w:rsidR="00B33F96" w:rsidP="00B33F96" w14:paraId="230C45A6"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28D8BA3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Пріоритетами розвитку галузі є:</w:t>
      </w:r>
    </w:p>
    <w:p w:rsidR="00B33F96" w:rsidP="00B33F96" w14:paraId="1D6C795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у населення традицій щодо занять фізичною культурою і спортом, як важливих складових забезпечення здорового способу життя;</w:t>
      </w:r>
    </w:p>
    <w:p w:rsidR="00B33F96" w:rsidP="00B33F96" w14:paraId="6577E2A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удосконалення системи дитячо-юнацького спорту, створення умов для розвитку індивідуальних здібностей спортсменів на етапах багаторічної підготовки; </w:t>
      </w:r>
    </w:p>
    <w:p w:rsidR="00B33F96" w:rsidP="00B33F96" w14:paraId="433E4D7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створення сучасних спортивних об’єктів для занять фізичною культурою та спортом за місцем проживання і в зонах масового відпочинку населення; </w:t>
      </w:r>
    </w:p>
    <w:p w:rsidR="00B33F96" w:rsidP="00B33F96" w14:paraId="482FE98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охоплення школярів заняттями в спортивних школах та секціях;</w:t>
      </w:r>
    </w:p>
    <w:p w:rsidR="00B33F96" w:rsidP="00B33F96" w14:paraId="711E216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підтримка та розвиток олімпійських та </w:t>
      </w:r>
      <w:r>
        <w:rPr>
          <w:rFonts w:ascii="Times New Roman" w:eastAsia="Times New Roman" w:hAnsi="Times New Roman" w:cs="Times New Roman"/>
          <w:sz w:val="28"/>
          <w:szCs w:val="28"/>
          <w:lang w:eastAsia="ru-RU"/>
        </w:rPr>
        <w:t>неолімпійських</w:t>
      </w:r>
      <w:r>
        <w:rPr>
          <w:rFonts w:ascii="Times New Roman" w:eastAsia="Times New Roman" w:hAnsi="Times New Roman" w:cs="Times New Roman"/>
          <w:sz w:val="28"/>
          <w:szCs w:val="28"/>
          <w:lang w:eastAsia="ru-RU"/>
        </w:rPr>
        <w:t xml:space="preserve"> видів спорту. </w:t>
      </w:r>
    </w:p>
    <w:p w:rsidR="00B33F96" w:rsidP="00B33F96" w14:paraId="2BF44BF4"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561299E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Основні заходи для досягнення визначених завдань:</w:t>
      </w:r>
    </w:p>
    <w:p w:rsidR="00B33F96" w:rsidP="00B33F96" w14:paraId="22A6C04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збереження та розвиток мережі фізкультурно-спортивних установ;</w:t>
      </w:r>
    </w:p>
    <w:p w:rsidR="00B33F96" w:rsidP="00B33F96" w14:paraId="722A643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проведення навчально-тренувальних зборів та змагань для вихованців ДЮСШ; </w:t>
      </w:r>
    </w:p>
    <w:p w:rsidR="00B33F96" w:rsidP="00B33F96" w14:paraId="5F5278D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організація фізкультурно-спортивних заходів з олімпійських та </w:t>
      </w:r>
      <w:r>
        <w:rPr>
          <w:rFonts w:ascii="Times New Roman" w:eastAsia="Times New Roman" w:hAnsi="Times New Roman" w:cs="Times New Roman"/>
          <w:sz w:val="28"/>
          <w:szCs w:val="28"/>
          <w:lang w:eastAsia="ru-RU"/>
        </w:rPr>
        <w:t>неолімпійських</w:t>
      </w:r>
      <w:r>
        <w:rPr>
          <w:rFonts w:ascii="Times New Roman" w:eastAsia="Times New Roman" w:hAnsi="Times New Roman" w:cs="Times New Roman"/>
          <w:sz w:val="28"/>
          <w:szCs w:val="28"/>
          <w:lang w:eastAsia="ru-RU"/>
        </w:rPr>
        <w:t xml:space="preserve"> видів спорту з метою пропаганди здорового способу життя;</w:t>
      </w:r>
    </w:p>
    <w:p w:rsidR="00B33F96" w:rsidP="00B33F96" w14:paraId="79F22C5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організація та проведення загальноміських фізкультурно-оздоровчих та спортивно-масових заходів;</w:t>
      </w:r>
    </w:p>
    <w:p w:rsidR="00B33F96" w:rsidP="00B33F96" w14:paraId="5A9CD35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участі провідних спортсменів громади  у змаганнях різних рівнів з олімпійських та </w:t>
      </w:r>
      <w:r>
        <w:rPr>
          <w:rFonts w:ascii="Times New Roman" w:eastAsia="Times New Roman" w:hAnsi="Times New Roman" w:cs="Times New Roman"/>
          <w:sz w:val="28"/>
          <w:szCs w:val="28"/>
          <w:lang w:eastAsia="ru-RU"/>
        </w:rPr>
        <w:t>неолімпійських</w:t>
      </w:r>
      <w:r>
        <w:rPr>
          <w:rFonts w:ascii="Times New Roman" w:eastAsia="Times New Roman" w:hAnsi="Times New Roman" w:cs="Times New Roman"/>
          <w:sz w:val="28"/>
          <w:szCs w:val="28"/>
          <w:lang w:eastAsia="ru-RU"/>
        </w:rPr>
        <w:t xml:space="preserve"> видів спорту;</w:t>
      </w:r>
    </w:p>
    <w:p w:rsidR="00B33F96" w:rsidP="00B33F96" w14:paraId="4D64652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умов для занять фізичною культурою і спортом шляхом зміцнення матеріально-технічної бази закладів фізкультури, реконструкція спортивних споруд громади.</w:t>
      </w:r>
    </w:p>
    <w:p w:rsidR="00B33F96" w:rsidP="00B33F96" w14:paraId="1F88897E"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540F6CD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Результати, яких планується досягти від реалізації заходів:</w:t>
      </w:r>
    </w:p>
    <w:p w:rsidR="00B33F96" w:rsidP="00B33F96" w14:paraId="6ECEFAD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збільшення кількості населення, яке займається фізичною культурою і спортом під час проведення загальноміських спортивно-оздоровчих заходів;</w:t>
      </w:r>
    </w:p>
    <w:p w:rsidR="00B33F96" w:rsidP="00B33F96" w14:paraId="157A3E0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залучення дітей та молоді до занять у дитячо-юнацькій спортивній школі, створити умови для розвитку резервного спорту та ефективного поповнення складу збірних команд громади, області та України;</w:t>
      </w:r>
    </w:p>
    <w:p w:rsidR="00B33F96" w:rsidP="00B33F96" w14:paraId="0DA9B13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розвиток та популяризація нових олімпійських та </w:t>
      </w:r>
      <w:r>
        <w:rPr>
          <w:rFonts w:ascii="Times New Roman" w:eastAsia="Times New Roman" w:hAnsi="Times New Roman" w:cs="Times New Roman"/>
          <w:sz w:val="28"/>
          <w:szCs w:val="28"/>
          <w:lang w:eastAsia="ru-RU"/>
        </w:rPr>
        <w:t>неолімпійських</w:t>
      </w:r>
      <w:r>
        <w:rPr>
          <w:rFonts w:ascii="Times New Roman" w:eastAsia="Times New Roman" w:hAnsi="Times New Roman" w:cs="Times New Roman"/>
          <w:sz w:val="28"/>
          <w:szCs w:val="28"/>
          <w:lang w:eastAsia="ru-RU"/>
        </w:rPr>
        <w:t xml:space="preserve"> видів спорту, загальне збільшення кількості молодих людей, які систематично займаються спортом;</w:t>
      </w:r>
    </w:p>
    <w:p w:rsidR="00B33F96" w:rsidP="00B33F96" w14:paraId="4200405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збільшення відсотка дітей, які систематично займаються спортом, від загальної кількості мешканців територіальної громади, покращення рівня пропаганди здорового способу життя, покращення спортивних результатів мешканців громади на міжнародних та всеукраїнських змаганнях;</w:t>
      </w:r>
    </w:p>
    <w:p w:rsidR="00B33F96" w:rsidP="00B33F96" w14:paraId="1EB0BCF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належної підготовки та успішної участі спортсменів у змаганнях різних рівнів для збереження передових позицій та підвищення авторитету громади у всеукраїнському та світовому спортивному співтоваристві;</w:t>
      </w:r>
    </w:p>
    <w:p w:rsidR="00B33F96" w:rsidP="00B33F96" w14:paraId="7D4D4F0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поступове оновлення спортивної матеріально-технічної бази закладів фізичної культури і спорту, зокрема дитячо-юнацької спортивної школи.</w:t>
      </w:r>
    </w:p>
    <w:p w:rsidR="00B33F96" w:rsidP="00B33F96" w14:paraId="19DCB0F5"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427D6784" w14:textId="77777777">
      <w:pPr>
        <w:spacing w:after="0" w:line="240" w:lineRule="auto"/>
        <w:ind w:firstLine="567"/>
        <w:jc w:val="both"/>
        <w:rPr>
          <w:rFonts w:ascii="Times New Roman" w:eastAsia="Calibri" w:hAnsi="Times New Roman" w:cs="Times New Roman"/>
          <w:sz w:val="28"/>
          <w:lang w:eastAsia="en-US"/>
        </w:rPr>
      </w:pPr>
      <w:r>
        <w:rPr>
          <w:rFonts w:ascii="Times New Roman" w:eastAsia="Calibri" w:hAnsi="Times New Roman" w:cs="Times New Roman"/>
          <w:sz w:val="28"/>
          <w:szCs w:val="28"/>
          <w:lang w:eastAsia="en-US"/>
        </w:rPr>
        <w:t>За рахунок коштів бюджету громади у середньостроковому періоді планується утримувати</w:t>
      </w:r>
      <w:r>
        <w:rPr>
          <w:rFonts w:ascii="Times New Roman" w:eastAsia="Calibri" w:hAnsi="Times New Roman" w:cs="Times New Roman"/>
          <w:sz w:val="28"/>
          <w:lang w:eastAsia="en-US"/>
        </w:rPr>
        <w:t xml:space="preserve"> 3 дитячо-юнацькі спортивні школи, спорткомплекс «Світлотехніка», плавальний басейн «Купава», надавати</w:t>
      </w:r>
      <w:r>
        <w:rPr>
          <w:rFonts w:ascii="Times New Roman" w:eastAsia="Calibri" w:hAnsi="Times New Roman" w:cs="Times New Roman"/>
          <w:sz w:val="28"/>
          <w:szCs w:val="28"/>
          <w:lang w:eastAsia="en-US"/>
        </w:rPr>
        <w:t xml:space="preserve"> фінансову підтримку комунальним підприємствам Броварської міської ради «</w:t>
      </w:r>
      <w:r>
        <w:rPr>
          <w:rFonts w:ascii="Times New Roman" w:eastAsia="Calibri" w:hAnsi="Times New Roman" w:cs="Times New Roman"/>
          <w:sz w:val="28"/>
          <w:szCs w:val="28"/>
          <w:lang w:eastAsia="en-US"/>
        </w:rPr>
        <w:t>Оздоровчо</w:t>
      </w:r>
      <w:r>
        <w:rPr>
          <w:rFonts w:ascii="Times New Roman" w:eastAsia="Calibri" w:hAnsi="Times New Roman" w:cs="Times New Roman"/>
          <w:sz w:val="28"/>
          <w:szCs w:val="28"/>
          <w:lang w:eastAsia="en-US"/>
        </w:rPr>
        <w:t xml:space="preserve"> - реабілітаційний центр»</w:t>
      </w:r>
      <w:r>
        <w:rPr>
          <w:rFonts w:ascii="Times New Roman" w:eastAsia="Calibri" w:hAnsi="Times New Roman" w:cs="Times New Roman"/>
          <w:sz w:val="28"/>
          <w:lang w:eastAsia="en-US"/>
        </w:rPr>
        <w:t xml:space="preserve"> та «Міський футбольний клуб «Бровари»,  проводити навчально-тренувальні збори і змагання.</w:t>
      </w:r>
      <w:r>
        <w:rPr>
          <w:rFonts w:ascii="Times New Roman" w:eastAsia="Calibri" w:hAnsi="Times New Roman" w:cs="Times New Roman"/>
          <w:sz w:val="28"/>
          <w:szCs w:val="28"/>
          <w:lang w:eastAsia="en-US"/>
        </w:rPr>
        <w:t xml:space="preserve"> </w:t>
      </w:r>
    </w:p>
    <w:p w:rsidR="00B33F96" w:rsidP="00B33F96" w14:paraId="5FF91BDA" w14:textId="77777777">
      <w:pPr>
        <w:spacing w:after="0" w:line="240" w:lineRule="auto"/>
        <w:jc w:val="both"/>
        <w:rPr>
          <w:rFonts w:ascii="Times New Roman" w:eastAsia="Calibri" w:hAnsi="Times New Roman" w:cs="Times New Roman"/>
          <w:sz w:val="28"/>
          <w:szCs w:val="28"/>
          <w:lang w:eastAsia="en-US"/>
        </w:rPr>
      </w:pPr>
    </w:p>
    <w:p w:rsidR="00B33F96" w:rsidP="00B33F96" w14:paraId="72AE5F6C"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Житлово-комунальне господарство</w:t>
      </w:r>
    </w:p>
    <w:p w:rsidR="00B33F96" w:rsidP="00B33F96" w14:paraId="268F9B49" w14:textId="77777777">
      <w:pPr>
        <w:spacing w:after="0" w:line="240" w:lineRule="auto"/>
        <w:ind w:firstLine="567"/>
        <w:jc w:val="center"/>
        <w:rPr>
          <w:rFonts w:ascii="Times New Roman" w:eastAsia="Calibri" w:hAnsi="Times New Roman" w:cs="Times New Roman"/>
          <w:b/>
          <w:sz w:val="28"/>
          <w:szCs w:val="28"/>
          <w:lang w:eastAsia="en-US"/>
        </w:rPr>
      </w:pPr>
    </w:p>
    <w:p w:rsidR="00B33F96" w:rsidP="00B33F96" w14:paraId="6E450C5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Пріоритетними напрямками розвитку житлово-комунального господарства є:</w:t>
      </w:r>
    </w:p>
    <w:p w:rsidR="00B33F96" w:rsidP="00B33F96" w14:paraId="69F6869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задоволення потреб мешканців в усіх видах житлово-комунальних послуг;</w:t>
      </w:r>
    </w:p>
    <w:p w:rsidR="00B33F96" w:rsidP="00B33F96" w14:paraId="3196692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комфортних умов для проживання та надання їм якісних житлово-комунальних послуг;</w:t>
      </w:r>
    </w:p>
    <w:p w:rsidR="00B33F96" w:rsidP="00B33F96" w14:paraId="724C171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належне утримання об’єктів комунальної власності;</w:t>
      </w:r>
    </w:p>
    <w:p w:rsidR="00B33F96" w:rsidP="00B33F96" w14:paraId="6C1FA49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реконструкція системи теплопостачання міста;</w:t>
      </w:r>
    </w:p>
    <w:p w:rsidR="00B33F96" w:rsidP="00B33F96" w14:paraId="14FA858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збільшення обсягів робіт капітального ремонту житлового фонду, ліфтів та об’єктів благоустрою;</w:t>
      </w:r>
    </w:p>
    <w:p w:rsidR="00B33F96" w:rsidP="00B33F96" w14:paraId="69E1874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реконструкція мережі водопровідно-каналізаційної мережі.</w:t>
      </w:r>
    </w:p>
    <w:p w:rsidR="00B33F96" w:rsidP="00B33F96" w14:paraId="0C106719"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6C4FE08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сфері дорожнього господарства у прогнозному періоді передбачається здійснити заходи із поліпшення транспортно-експлуатаційного стану існуючих автомобільних доріг, проведення робіт з реконструкції і ремонту доріг територіальної громади, капітального ремонту тротуарів, підвищення безпеки дорожнього руху. </w:t>
      </w:r>
    </w:p>
    <w:p w:rsidR="00B33F96" w:rsidP="00B33F96" w14:paraId="4F668373"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B33F96" w:rsidP="00B33F96" w14:paraId="2ACDA0C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Основними завданнями та напрямами, за якими буде продовжено роботу в галузі житлово-комунального та дорожнього господарства, є: </w:t>
      </w:r>
    </w:p>
    <w:p w:rsidR="00B33F96" w:rsidP="00B33F96" w14:paraId="2D9DCF81" w14:textId="77777777">
      <w:pPr>
        <w:tabs>
          <w:tab w:val="left" w:pos="567"/>
        </w:tabs>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благоустрій міста;</w:t>
      </w:r>
    </w:p>
    <w:p w:rsidR="00B33F96" w:rsidP="00B33F96" w14:paraId="1A2E603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покращення стану будинків та умов проживання у них; </w:t>
      </w:r>
    </w:p>
    <w:p w:rsidR="00B33F96" w:rsidP="00B33F96" w14:paraId="002D8AA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освітлення території громади із застосуванням енергоощадних світильників; </w:t>
      </w:r>
    </w:p>
    <w:p w:rsidR="00B33F96" w:rsidP="00B33F96" w14:paraId="6E2CE16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модернізація системи теплопостачання та оптимізації потужностей джерел теплової енергії;</w:t>
      </w:r>
    </w:p>
    <w:p w:rsidR="00B33F96" w:rsidP="00B33F96" w14:paraId="4ACF801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покращення стану вулиць, автомобільних доріг та мостів комунальної власності ;</w:t>
      </w:r>
    </w:p>
    <w:p w:rsidR="00B33F96" w:rsidP="00B33F96" w14:paraId="1570B9A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покращення технічного стану водопровідно-каналізаційної мережі, систем центрального теплопостачання.</w:t>
      </w:r>
    </w:p>
    <w:p w:rsidR="00B33F96" w:rsidP="00B33F96" w14:paraId="208F45B0"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відновлення та створення нових зелених зон культурно-масового відпочинку;</w:t>
      </w:r>
    </w:p>
    <w:p w:rsidR="00B33F96" w:rsidP="00B33F96" w14:paraId="33713ABE"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збереження та утримання на належному рівні кладовищ, світлофорних об’єктів, </w:t>
      </w:r>
      <w:r>
        <w:rPr>
          <w:rFonts w:ascii="Times New Roman" w:eastAsia="Calibri" w:hAnsi="Times New Roman" w:cs="Times New Roman"/>
          <w:sz w:val="28"/>
          <w:szCs w:val="28"/>
          <w:lang w:eastAsia="en-US"/>
        </w:rPr>
        <w:t>бюветів</w:t>
      </w:r>
      <w:r>
        <w:rPr>
          <w:rFonts w:ascii="Times New Roman" w:eastAsia="Calibri" w:hAnsi="Times New Roman" w:cs="Times New Roman"/>
          <w:sz w:val="28"/>
          <w:szCs w:val="28"/>
          <w:lang w:eastAsia="en-US"/>
        </w:rPr>
        <w:t xml:space="preserve"> та фонтанів;</w:t>
      </w:r>
    </w:p>
    <w:p w:rsidR="00B33F96" w:rsidP="00B33F96" w14:paraId="19E761A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Надання кредитів на 2026- 2028 роки не прогнозується. Додаток 8 до «Прогнозу бюджету Броварської міської територіальної громади на 2026-2028 роки» не подається у зв’язку з відсутністю показників.</w:t>
      </w:r>
    </w:p>
    <w:p w:rsidR="00B33F96" w:rsidP="00B33F96" w14:paraId="5C99A984" w14:textId="77777777">
      <w:pPr>
        <w:spacing w:after="0" w:line="240" w:lineRule="auto"/>
        <w:ind w:firstLine="709"/>
        <w:jc w:val="both"/>
        <w:rPr>
          <w:rFonts w:ascii="Times New Roman" w:eastAsia="Times New Roman" w:hAnsi="Times New Roman" w:cs="Times New Roman"/>
          <w:color w:val="7030A0"/>
          <w:sz w:val="28"/>
          <w:szCs w:val="28"/>
          <w:lang w:val="en-US" w:eastAsia="ru-RU"/>
        </w:rPr>
      </w:pPr>
    </w:p>
    <w:p w:rsidR="00F26253" w:rsidP="00B33F96" w14:paraId="66434AB3" w14:textId="77777777">
      <w:pPr>
        <w:spacing w:after="0" w:line="240" w:lineRule="auto"/>
        <w:ind w:firstLine="709"/>
        <w:jc w:val="both"/>
        <w:rPr>
          <w:rFonts w:ascii="Times New Roman" w:eastAsia="Times New Roman" w:hAnsi="Times New Roman" w:cs="Times New Roman"/>
          <w:color w:val="7030A0"/>
          <w:sz w:val="28"/>
          <w:szCs w:val="28"/>
          <w:lang w:val="en-US" w:eastAsia="ru-RU"/>
        </w:rPr>
      </w:pPr>
    </w:p>
    <w:p w:rsidR="00F26253" w:rsidRPr="00F26253" w:rsidP="00B33F96" w14:paraId="3E95B288" w14:textId="77777777">
      <w:pPr>
        <w:spacing w:after="0" w:line="240" w:lineRule="auto"/>
        <w:ind w:firstLine="709"/>
        <w:jc w:val="both"/>
        <w:rPr>
          <w:rFonts w:ascii="Times New Roman" w:eastAsia="Times New Roman" w:hAnsi="Times New Roman" w:cs="Times New Roman"/>
          <w:color w:val="7030A0"/>
          <w:sz w:val="28"/>
          <w:szCs w:val="28"/>
          <w:lang w:val="en-US" w:eastAsia="ru-RU"/>
        </w:rPr>
      </w:pPr>
    </w:p>
    <w:p w:rsidR="00B33F96" w:rsidP="00B33F96" w14:paraId="0E091E19" w14:textId="77777777">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Економічна та інша діяльність</w:t>
      </w:r>
    </w:p>
    <w:p w:rsidR="00B33F96" w:rsidP="00B33F96" w14:paraId="0ED46333" w14:textId="77777777">
      <w:pPr>
        <w:spacing w:after="0" w:line="240" w:lineRule="auto"/>
        <w:ind w:firstLine="709"/>
        <w:jc w:val="center"/>
        <w:rPr>
          <w:rFonts w:ascii="Times New Roman" w:eastAsia="Times New Roman" w:hAnsi="Times New Roman" w:cs="Times New Roman"/>
          <w:b/>
          <w:sz w:val="28"/>
          <w:szCs w:val="28"/>
          <w:lang w:eastAsia="ru-RU"/>
        </w:rPr>
      </w:pPr>
    </w:p>
    <w:p w:rsidR="00B33F96" w:rsidP="00B33F96" w14:paraId="04EE654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Пріоритетами у розвитку економічної діяльності є організація сприятливого і комфортного життєвого простору шляхом створення умов для розвитку соціальної інфраструктури громади, забезпечення ефективного та надійного функціонування інженерних мереж і комунікацій, сприяння підвищенню комфортного проживання громадян на території громади. </w:t>
      </w:r>
    </w:p>
    <w:p w:rsidR="00B33F96" w:rsidP="00B33F96" w14:paraId="48AF64A0" w14:textId="77777777">
      <w:pPr>
        <w:spacing w:after="0" w:line="240" w:lineRule="auto"/>
        <w:ind w:firstLine="567"/>
        <w:jc w:val="both"/>
        <w:rPr>
          <w:rFonts w:ascii="Times New Roman" w:eastAsia="Times New Roman" w:hAnsi="Times New Roman" w:cs="Times New Roman"/>
          <w:sz w:val="10"/>
          <w:szCs w:val="10"/>
          <w:lang w:eastAsia="ru-RU"/>
        </w:rPr>
      </w:pPr>
    </w:p>
    <w:p w:rsidR="00B33F96" w:rsidP="00B33F96" w14:paraId="0BB42B3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Цілі державної, регіональної та місцевої політики, реалізація яких здійснюватиметься в середньостроковому періоді: </w:t>
      </w:r>
    </w:p>
    <w:p w:rsidR="00B33F96" w:rsidP="00B33F96" w14:paraId="19E99AD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сприятливого інвестиційного клімату, позитивного інвестиційного іміджу та просування на зовнішній ринок інвестиційних можливостей регіону;</w:t>
      </w:r>
    </w:p>
    <w:p w:rsidR="00B33F96" w:rsidP="00B33F96" w14:paraId="31E6121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створення сприятливих умов для проведення підприємницької діяльності; </w:t>
      </w:r>
    </w:p>
    <w:p w:rsidR="00B33F96" w:rsidP="00B33F96" w14:paraId="6251742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здійснення заходів із землеустрою;</w:t>
      </w:r>
    </w:p>
    <w:p w:rsidR="00B33F96" w:rsidP="00B33F96" w14:paraId="69E17D3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розвиток дорожньо-транспортної інфраструктури громади;</w:t>
      </w:r>
    </w:p>
    <w:p w:rsidR="00B33F96" w:rsidP="00B33F96" w14:paraId="0A8D95A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організація ефективного управління у громаді при виникненні надзвичайної ситуації, а також в умовах військового стану в Україні; </w:t>
      </w:r>
    </w:p>
    <w:p w:rsidR="00B33F96" w:rsidP="00B33F96" w14:paraId="74B2E60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необхідного запасу матеріального резерву, товарів першої необхідності.</w:t>
      </w:r>
    </w:p>
    <w:p w:rsidR="00B33F96" w:rsidP="00B33F96" w14:paraId="0E2EB95D" w14:textId="77777777">
      <w:pPr>
        <w:spacing w:after="0" w:line="240" w:lineRule="auto"/>
        <w:ind w:firstLine="567"/>
        <w:jc w:val="both"/>
        <w:rPr>
          <w:rFonts w:ascii="Times New Roman" w:eastAsia="Times New Roman" w:hAnsi="Times New Roman" w:cs="Times New Roman"/>
          <w:sz w:val="10"/>
          <w:szCs w:val="10"/>
          <w:lang w:eastAsia="ru-RU"/>
        </w:rPr>
      </w:pPr>
    </w:p>
    <w:p w:rsidR="00B33F96" w:rsidP="00B33F96" w14:paraId="3189E82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Показниками досягнення цілей є: </w:t>
      </w:r>
    </w:p>
    <w:p w:rsidR="00B33F96" w:rsidP="00B33F96" w14:paraId="129BB89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популяризація інвестиційного потенціалу Броварської міської територіальної громади; </w:t>
      </w:r>
    </w:p>
    <w:p w:rsidR="00B33F96" w:rsidP="00B33F96" w14:paraId="7B05814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сприяння залученню фінансування міжнародних фінансових інститутів;</w:t>
      </w:r>
    </w:p>
    <w:p w:rsidR="00B33F96" w:rsidP="00B33F96" w14:paraId="1D3E37E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поліпшення стану покриття вулично-шляхової мережі на території громади;</w:t>
      </w:r>
    </w:p>
    <w:p w:rsidR="00B33F96" w:rsidP="00B33F96" w14:paraId="76F32C9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площа </w:t>
      </w:r>
      <w:r>
        <w:rPr>
          <w:rFonts w:ascii="Times New Roman" w:eastAsia="Times New Roman" w:hAnsi="Times New Roman" w:cs="Times New Roman"/>
          <w:sz w:val="28"/>
          <w:szCs w:val="28"/>
          <w:lang w:eastAsia="ru-RU"/>
        </w:rPr>
        <w:t>облаштованих</w:t>
      </w:r>
      <w:r>
        <w:rPr>
          <w:rFonts w:ascii="Times New Roman" w:eastAsia="Times New Roman" w:hAnsi="Times New Roman" w:cs="Times New Roman"/>
          <w:sz w:val="28"/>
          <w:szCs w:val="28"/>
          <w:lang w:eastAsia="ru-RU"/>
        </w:rPr>
        <w:t xml:space="preserve"> спеціальних приміщень та захисних споруд на території громади;</w:t>
      </w:r>
    </w:p>
    <w:p w:rsidR="00B33F96" w:rsidP="00B33F96" w14:paraId="6A03C73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своєчасність та повнота проведення закупівель матеріального резерву.</w:t>
      </w:r>
    </w:p>
    <w:p w:rsidR="00B33F96" w:rsidP="00B33F96" w14:paraId="2DFDB789" w14:textId="77777777">
      <w:pPr>
        <w:spacing w:after="0" w:line="240" w:lineRule="auto"/>
        <w:ind w:firstLine="567"/>
        <w:jc w:val="both"/>
        <w:rPr>
          <w:rFonts w:ascii="Times New Roman" w:eastAsia="Times New Roman" w:hAnsi="Times New Roman" w:cs="Times New Roman"/>
          <w:sz w:val="10"/>
          <w:szCs w:val="10"/>
          <w:lang w:eastAsia="ru-RU"/>
        </w:rPr>
      </w:pPr>
    </w:p>
    <w:p w:rsidR="00B33F96" w:rsidP="00B33F96" w14:paraId="7976CB9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2026 – 2028 роках буде продовжено реалізацію впровадженої системи фінансування заходів з розвитку дорожньо-транспортної інфраструктури, зокрема, за рахунок бюджету Броварської міської територіальної громади фінансовий ресурс буде спрямовано на покращення якості дорожнього покриття та дорожньої мережі громади, оскільки якісна та розвинена дорожня інфраструктура стимулює розвиток економіки регіону.</w:t>
      </w:r>
    </w:p>
    <w:p w:rsidR="00B33F96" w:rsidP="00B33F96" w14:paraId="5D6D9BB3" w14:textId="77777777">
      <w:pPr>
        <w:spacing w:after="0" w:line="240" w:lineRule="auto"/>
        <w:ind w:firstLine="567"/>
        <w:jc w:val="both"/>
        <w:rPr>
          <w:rFonts w:ascii="Times New Roman" w:eastAsia="Times New Roman" w:hAnsi="Times New Roman" w:cs="Times New Roman"/>
          <w:sz w:val="28"/>
          <w:szCs w:val="28"/>
          <w:lang w:eastAsia="ru-RU"/>
        </w:rPr>
      </w:pPr>
    </w:p>
    <w:p w:rsidR="00B33F96" w:rsidP="00B33F96" w14:paraId="50FB0A40" w14:textId="77777777">
      <w:pPr>
        <w:spacing w:after="0" w:line="240" w:lineRule="auto"/>
        <w:ind w:firstLine="56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val="ru-RU" w:eastAsia="en-US"/>
        </w:rPr>
        <w:t>V</w:t>
      </w:r>
      <w:r>
        <w:rPr>
          <w:rFonts w:ascii="Times New Roman" w:eastAsia="Calibri" w:hAnsi="Times New Roman" w:cs="Times New Roman"/>
          <w:b/>
          <w:sz w:val="28"/>
          <w:szCs w:val="28"/>
          <w:lang w:eastAsia="en-US"/>
        </w:rPr>
        <w:t>ІІ. Взаємовідносини бюджету з іншими бюджетами</w:t>
      </w:r>
    </w:p>
    <w:p w:rsidR="00B33F96" w:rsidP="00B33F96" w14:paraId="49C52C7D" w14:textId="77777777">
      <w:pPr>
        <w:spacing w:after="0" w:line="240" w:lineRule="auto"/>
        <w:jc w:val="center"/>
        <w:rPr>
          <w:rFonts w:ascii="Times New Roman" w:eastAsia="Times New Roman" w:hAnsi="Times New Roman" w:cs="Times New Roman"/>
          <w:b/>
          <w:color w:val="7030A0"/>
          <w:sz w:val="28"/>
          <w:szCs w:val="28"/>
          <w:lang w:eastAsia="ru-RU"/>
        </w:rPr>
      </w:pPr>
    </w:p>
    <w:p w:rsidR="00B33F96" w:rsidP="00B33F96" w14:paraId="2C489F30" w14:textId="248CE68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Обсяги міжбюджетних трансфертів з державного бюджету для бюджету Броварської міської територіальної громади на 2026-2028 роки передбачаються на підставі постанови Кабінету Міністрів України від 27 червня 2025 року № 774 «Про схвалення Бюджетної декларації на 2026-2028 роки», які відображені у додатку 10 до «Прогнозу бюджету Броварської міської територіальної громади на 2026-2028 роки».</w:t>
      </w:r>
    </w:p>
    <w:p w:rsidR="00B33F96" w:rsidP="00B33F96" w14:paraId="790FBDDD" w14:textId="77777777">
      <w:pPr>
        <w:spacing w:after="0" w:line="240" w:lineRule="auto"/>
        <w:ind w:firstLine="567"/>
        <w:jc w:val="both"/>
        <w:rPr>
          <w:rFonts w:ascii="Times New Roman" w:eastAsia="Times New Roman" w:hAnsi="Times New Roman" w:cs="Times New Roman"/>
          <w:sz w:val="16"/>
          <w:szCs w:val="16"/>
          <w:lang w:eastAsia="ru-RU"/>
        </w:rPr>
      </w:pPr>
    </w:p>
    <w:p w:rsidR="00B33F96" w:rsidP="00B33F96" w14:paraId="6BF3C7C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Міжбюджетні трансферти мають цільове спрямування і використовуються відповідно до порядків їх використання.</w:t>
      </w:r>
    </w:p>
    <w:p w:rsidR="00B33F96" w:rsidP="00B33F96" w14:paraId="024457A5" w14:textId="77777777">
      <w:pPr>
        <w:spacing w:after="0" w:line="240" w:lineRule="auto"/>
        <w:ind w:firstLine="567"/>
        <w:jc w:val="both"/>
        <w:rPr>
          <w:rFonts w:ascii="Times New Roman" w:eastAsia="Times New Roman" w:hAnsi="Times New Roman" w:cs="Times New Roman"/>
          <w:sz w:val="16"/>
          <w:szCs w:val="16"/>
          <w:lang w:eastAsia="ru-RU"/>
        </w:rPr>
      </w:pPr>
    </w:p>
    <w:p w:rsidR="00B33F96" w:rsidP="00B33F96" w14:paraId="12E2FE8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Найбільшу питому вагу у обсязі міжбюджетних трансфертів займає освітня субвенція з державного бюджету. </w:t>
      </w:r>
    </w:p>
    <w:p w:rsidR="00B33F96" w:rsidP="00B33F96" w14:paraId="294B539E"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Темпи зростання освітньої субвенції  з державного бюджету:</w:t>
      </w:r>
    </w:p>
    <w:p w:rsidR="00B33F96" w:rsidP="00B33F96" w14:paraId="49D3A55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2026 рік до плану  2025 року збільшаться на 64,1 відсотка; </w:t>
      </w:r>
    </w:p>
    <w:p w:rsidR="00B33F96" w:rsidP="00B33F96" w14:paraId="577A1B38" w14:textId="52B9B79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2027 рік до </w:t>
      </w:r>
      <w:r w:rsidR="00F26253">
        <w:rPr>
          <w:rFonts w:ascii="Times New Roman" w:eastAsia="Times New Roman" w:hAnsi="Times New Roman" w:cs="Times New Roman"/>
          <w:sz w:val="28"/>
          <w:szCs w:val="28"/>
          <w:lang w:eastAsia="ru-RU"/>
        </w:rPr>
        <w:t>плану</w:t>
      </w:r>
      <w:r>
        <w:rPr>
          <w:rFonts w:ascii="Times New Roman" w:eastAsia="Times New Roman" w:hAnsi="Times New Roman" w:cs="Times New Roman"/>
          <w:sz w:val="28"/>
          <w:szCs w:val="28"/>
          <w:lang w:eastAsia="ru-RU"/>
        </w:rPr>
        <w:t xml:space="preserve"> 2026 року збільшаться на 7,9 відсотка; </w:t>
      </w:r>
    </w:p>
    <w:p w:rsidR="00B33F96" w:rsidP="00B33F96" w14:paraId="02732AC9" w14:textId="6EB3195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2028 рік до </w:t>
      </w:r>
      <w:r w:rsidR="00F26253">
        <w:rPr>
          <w:rFonts w:ascii="Times New Roman" w:eastAsia="Times New Roman" w:hAnsi="Times New Roman" w:cs="Times New Roman"/>
          <w:sz w:val="28"/>
          <w:szCs w:val="28"/>
          <w:lang w:eastAsia="ru-RU"/>
        </w:rPr>
        <w:t xml:space="preserve">плану </w:t>
      </w:r>
      <w:r>
        <w:rPr>
          <w:rFonts w:ascii="Times New Roman" w:eastAsia="Times New Roman" w:hAnsi="Times New Roman" w:cs="Times New Roman"/>
          <w:sz w:val="28"/>
          <w:szCs w:val="28"/>
          <w:lang w:eastAsia="ru-RU"/>
        </w:rPr>
        <w:t>2027 року збільшаться 7,3 відсотка.</w:t>
      </w:r>
    </w:p>
    <w:p w:rsidR="00B33F96" w:rsidP="00B33F96" w14:paraId="173D02AA" w14:textId="77777777">
      <w:pPr>
        <w:spacing w:after="0" w:line="240" w:lineRule="auto"/>
        <w:ind w:firstLine="567"/>
        <w:jc w:val="both"/>
        <w:rPr>
          <w:rFonts w:ascii="Times New Roman" w:eastAsia="Times New Roman" w:hAnsi="Times New Roman" w:cs="Times New Roman"/>
          <w:sz w:val="16"/>
          <w:szCs w:val="16"/>
          <w:lang w:eastAsia="ru-RU"/>
        </w:rPr>
      </w:pPr>
    </w:p>
    <w:p w:rsidR="00B33F96" w:rsidP="00B33F96" w14:paraId="1A9BFC9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Показники міжбюджетних трансфертів з інших бюджетів, відображені у додатку 10 до «Прогнозу бюджету Броварської міської територіальної громади на 2026-2028 роки».</w:t>
      </w:r>
    </w:p>
    <w:p w:rsidR="00B33F96" w:rsidP="00B33F96" w14:paraId="6D360C9D" w14:textId="77777777">
      <w:pPr>
        <w:spacing w:after="0" w:line="240" w:lineRule="auto"/>
        <w:ind w:firstLine="708"/>
        <w:jc w:val="both"/>
        <w:rPr>
          <w:rFonts w:ascii="Times New Roman" w:eastAsia="Times New Roman" w:hAnsi="Times New Roman" w:cs="Times New Roman"/>
          <w:color w:val="7030A0"/>
          <w:sz w:val="16"/>
          <w:szCs w:val="16"/>
          <w:lang w:eastAsia="ru-RU"/>
        </w:rPr>
      </w:pPr>
    </w:p>
    <w:p w:rsidR="00B33F96" w:rsidP="00B33F96" w14:paraId="4D8EC21E" w14:textId="77777777">
      <w:pPr>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(грн.)</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3"/>
        <w:gridCol w:w="1659"/>
        <w:gridCol w:w="1863"/>
        <w:gridCol w:w="1832"/>
      </w:tblGrid>
      <w:tr w14:paraId="100C7334" w14:textId="77777777" w:rsidTr="00B33F96">
        <w:tblPrEx>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6"/>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78B9E611"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Прогнозні показники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0EBC0CF8"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2026 рік</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5F4A440F"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2027 рік</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3F21D59B"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2028 рік</w:t>
            </w:r>
          </w:p>
        </w:tc>
      </w:tr>
      <w:tr w14:paraId="144CD48E" w14:textId="77777777" w:rsidTr="00B33F96">
        <w:tblPrEx>
          <w:tblW w:w="0" w:type="auto"/>
          <w:tblInd w:w="-310" w:type="dxa"/>
          <w:tblLook w:val="04A0"/>
        </w:tblPrEx>
        <w:trPr>
          <w:trHeight w:val="435"/>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B33F96" w14:paraId="48AC47D7"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Міжбюджетні трансферти з державного бюджету</w:t>
            </w:r>
          </w:p>
        </w:tc>
      </w:tr>
      <w:tr w14:paraId="0C84F387" w14:textId="77777777" w:rsidTr="00B33F96">
        <w:tblPrEx>
          <w:tblW w:w="0" w:type="auto"/>
          <w:tblInd w:w="-310" w:type="dxa"/>
          <w:tblLook w:val="04A0"/>
        </w:tblPrEx>
        <w:trPr>
          <w:trHeight w:val="959"/>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62831012"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Освітня субвенція державного бюджету місцевим бюджетам </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590C5D20"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365 164 400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4A5D859E"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393 998 700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00DBD4F2"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422 833 100</w:t>
            </w:r>
          </w:p>
        </w:tc>
      </w:tr>
      <w:tr w14:paraId="20915F60" w14:textId="77777777" w:rsidTr="00B33F96">
        <w:tblPrEx>
          <w:tblW w:w="0" w:type="auto"/>
          <w:tblInd w:w="-310" w:type="dxa"/>
          <w:tblLook w:val="04A0"/>
        </w:tblPrEx>
        <w:trPr>
          <w:trHeight w:val="546"/>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B33F96" w14:paraId="637F2A94"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Міжбюджетні трансферти з обласного бюджету Київської області</w:t>
            </w:r>
          </w:p>
        </w:tc>
      </w:tr>
      <w:tr w14:paraId="43A04582" w14:textId="77777777" w:rsidTr="00B33F96">
        <w:tblPrEx>
          <w:tblW w:w="0" w:type="auto"/>
          <w:tblInd w:w="-310" w:type="dxa"/>
          <w:tblLook w:val="04A0"/>
        </w:tblPrEx>
        <w:trPr>
          <w:trHeight w:val="2269"/>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04049B74" w14:textId="77777777">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en-US"/>
              </w:rPr>
              <w:t>Дотація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3FCC5FBF"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5 692 480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1E81FB7B"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5 692 480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7B995008"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5 838 980</w:t>
            </w:r>
          </w:p>
        </w:tc>
      </w:tr>
      <w:tr w14:paraId="7673DA4C" w14:textId="77777777" w:rsidTr="00B33F96">
        <w:tblPrEx>
          <w:tblW w:w="0" w:type="auto"/>
          <w:tblInd w:w="-310" w:type="dxa"/>
          <w:tblLook w:val="04A0"/>
        </w:tblPrEx>
        <w:trPr>
          <w:trHeight w:val="156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769756C7"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Субвенція з місцевого бюджету на здійснення переданих видатків у сфері освіти за рахунок коштів освітньої субвенції</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26E9063B"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21 447 424</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54A0DB86"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23 173 503</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3A129892"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24 809 578</w:t>
            </w:r>
          </w:p>
        </w:tc>
      </w:tr>
      <w:tr w14:paraId="1FF951FF" w14:textId="77777777" w:rsidTr="00B33F96">
        <w:tblPrEx>
          <w:tblW w:w="0" w:type="auto"/>
          <w:tblInd w:w="-310" w:type="dxa"/>
          <w:tblLook w:val="04A0"/>
        </w:tblPrEx>
        <w:trPr>
          <w:trHeight w:val="2115"/>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B33F96" w14:paraId="558A9DD4" w14:textId="77777777">
            <w:pPr>
              <w:spacing w:after="0" w:line="240" w:lineRule="auto"/>
              <w:jc w:val="center"/>
              <w:rPr>
                <w:rFonts w:ascii="Times New Roman" w:eastAsia="Calibri" w:hAnsi="Times New Roman" w:cs="Times New Roman"/>
                <w:sz w:val="28"/>
                <w:lang w:eastAsia="en-US"/>
              </w:rPr>
            </w:pPr>
            <w:r>
              <w:rPr>
                <w:rFonts w:ascii="Times New Roman" w:eastAsia="Times New Roman" w:hAnsi="Times New Roman" w:cs="Times New Roman"/>
                <w:b/>
                <w:sz w:val="28"/>
                <w:szCs w:val="28"/>
                <w:lang w:eastAsia="ru-RU"/>
              </w:rPr>
              <w:t>Субвенції з місцевого бюджету на утримання об`єктів спільного користування чи ліквідацію негативних наслідків діяльності об`єктів спільного користування</w:t>
            </w:r>
            <w:r>
              <w:rPr>
                <w:rFonts w:ascii="Times New Roman" w:eastAsia="Calibri" w:hAnsi="Times New Roman" w:cs="Times New Roman"/>
                <w:sz w:val="28"/>
                <w:lang w:eastAsia="en-US"/>
              </w:rPr>
              <w:t xml:space="preserve"> </w:t>
            </w:r>
          </w:p>
          <w:p w:rsidR="00B33F96" w14:paraId="41D5B066" w14:textId="77777777">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 xml:space="preserve">для фінансування </w:t>
            </w:r>
            <w:r>
              <w:rPr>
                <w:rFonts w:ascii="Times New Roman" w:eastAsia="Times New Roman" w:hAnsi="Times New Roman" w:cs="Times New Roman"/>
                <w:sz w:val="24"/>
                <w:szCs w:val="24"/>
              </w:rPr>
              <w:t xml:space="preserve">Комунального некомерційного підприємства </w:t>
            </w:r>
          </w:p>
          <w:p w:rsidR="00B33F96" w14:paraId="3DDCFF7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«Броварська багатопрофільна клінічна лікарня» </w:t>
            </w:r>
          </w:p>
          <w:p w:rsidR="00B33F96" w14:paraId="62422E5B"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rPr>
              <w:t>територіальних громад Броварського району Київської області</w:t>
            </w:r>
          </w:p>
        </w:tc>
      </w:tr>
      <w:tr w14:paraId="57445D2C" w14:textId="77777777" w:rsidTr="00B33F96">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3ACB5D8F"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 </w:t>
            </w:r>
            <w:r>
              <w:rPr>
                <w:rFonts w:ascii="Times New Roman" w:eastAsia="Times New Roman" w:hAnsi="Times New Roman" w:cs="Times New Roman"/>
                <w:sz w:val="28"/>
                <w:szCs w:val="28"/>
                <w:lang w:eastAsia="ru-RU"/>
              </w:rPr>
              <w:t>Калитянської</w:t>
            </w:r>
            <w:r>
              <w:rPr>
                <w:rFonts w:ascii="Times New Roman" w:eastAsia="Times New Roman" w:hAnsi="Times New Roman" w:cs="Times New Roman"/>
                <w:sz w:val="28"/>
                <w:szCs w:val="28"/>
                <w:lang w:eastAsia="ru-RU"/>
              </w:rPr>
              <w:t xml:space="preserve">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tcPr>
          <w:p w:rsidR="00B33F96" w14:paraId="26D0FA16" w14:textId="77777777">
            <w:pPr>
              <w:jc w:val="center"/>
              <w:rPr>
                <w:rFonts w:ascii="Times New Roman" w:eastAsia="Calibri" w:hAnsi="Times New Roman" w:cs="Times New Roman"/>
                <w:color w:val="000000"/>
                <w:sz w:val="16"/>
                <w:szCs w:val="16"/>
                <w:lang w:eastAsia="en-US"/>
              </w:rPr>
            </w:pPr>
          </w:p>
          <w:p w:rsidR="00B33F96" w14:paraId="3A16EE3E" w14:textId="77777777">
            <w:pPr>
              <w:jc w:val="center"/>
              <w:rPr>
                <w:rFonts w:ascii="Times New Roman" w:eastAsia="Calibri" w:hAnsi="Times New Roman" w:cs="Times New Roman"/>
                <w:color w:val="000000"/>
                <w:sz w:val="28"/>
                <w:szCs w:val="28"/>
                <w:lang w:val="ru-RU" w:eastAsia="en-US"/>
              </w:rPr>
            </w:pPr>
            <w:r>
              <w:rPr>
                <w:rFonts w:ascii="Times New Roman" w:eastAsia="Calibri" w:hAnsi="Times New Roman" w:cs="Times New Roman"/>
                <w:color w:val="000000"/>
                <w:sz w:val="28"/>
                <w:szCs w:val="28"/>
                <w:lang w:val="ru-RU" w:eastAsia="en-US"/>
              </w:rPr>
              <w:t>500 000</w:t>
            </w:r>
          </w:p>
        </w:tc>
        <w:tc>
          <w:tcPr>
            <w:tcW w:w="1863" w:type="dxa"/>
            <w:tcBorders>
              <w:top w:val="single" w:sz="4" w:space="0" w:color="auto"/>
              <w:left w:val="single" w:sz="4" w:space="0" w:color="auto"/>
              <w:bottom w:val="single" w:sz="4" w:space="0" w:color="auto"/>
              <w:right w:val="single" w:sz="4" w:space="0" w:color="auto"/>
            </w:tcBorders>
          </w:tcPr>
          <w:p w:rsidR="00B33F96" w14:paraId="1CBE889B" w14:textId="77777777">
            <w:pPr>
              <w:jc w:val="center"/>
              <w:rPr>
                <w:rFonts w:ascii="Times New Roman" w:eastAsia="Calibri" w:hAnsi="Times New Roman" w:cs="Times New Roman"/>
                <w:color w:val="000000"/>
                <w:sz w:val="16"/>
                <w:szCs w:val="16"/>
                <w:lang w:eastAsia="en-US"/>
              </w:rPr>
            </w:pPr>
          </w:p>
          <w:p w:rsidR="00B33F96" w14:paraId="548B721B" w14:textId="77777777">
            <w:pPr>
              <w:jc w:val="center"/>
              <w:rPr>
                <w:rFonts w:ascii="Times New Roman" w:eastAsia="Calibri" w:hAnsi="Times New Roman" w:cs="Times New Roman"/>
                <w:color w:val="000000"/>
                <w:sz w:val="28"/>
                <w:szCs w:val="28"/>
                <w:lang w:val="ru-RU" w:eastAsia="en-US"/>
              </w:rPr>
            </w:pPr>
            <w:r>
              <w:rPr>
                <w:rFonts w:ascii="Times New Roman" w:eastAsia="Calibri" w:hAnsi="Times New Roman" w:cs="Times New Roman"/>
                <w:color w:val="000000"/>
                <w:sz w:val="28"/>
                <w:szCs w:val="28"/>
                <w:lang w:val="ru-RU" w:eastAsia="en-US"/>
              </w:rPr>
              <w:t>500 000</w:t>
            </w:r>
          </w:p>
        </w:tc>
        <w:tc>
          <w:tcPr>
            <w:tcW w:w="1832" w:type="dxa"/>
            <w:tcBorders>
              <w:top w:val="single" w:sz="4" w:space="0" w:color="auto"/>
              <w:left w:val="single" w:sz="4" w:space="0" w:color="auto"/>
              <w:bottom w:val="single" w:sz="4" w:space="0" w:color="auto"/>
              <w:right w:val="single" w:sz="4" w:space="0" w:color="auto"/>
            </w:tcBorders>
          </w:tcPr>
          <w:p w:rsidR="00B33F96" w14:paraId="04A560CF" w14:textId="77777777">
            <w:pPr>
              <w:jc w:val="center"/>
              <w:rPr>
                <w:rFonts w:ascii="Times New Roman" w:eastAsia="Calibri" w:hAnsi="Times New Roman" w:cs="Times New Roman"/>
                <w:color w:val="000000"/>
                <w:sz w:val="16"/>
                <w:szCs w:val="16"/>
                <w:lang w:eastAsia="en-US"/>
              </w:rPr>
            </w:pPr>
          </w:p>
          <w:p w:rsidR="00B33F96" w14:paraId="577FA75C" w14:textId="77777777">
            <w:pPr>
              <w:jc w:val="center"/>
              <w:rPr>
                <w:rFonts w:ascii="Times New Roman" w:eastAsia="Calibri" w:hAnsi="Times New Roman" w:cs="Times New Roman"/>
                <w:color w:val="000000"/>
                <w:sz w:val="28"/>
                <w:szCs w:val="28"/>
                <w:lang w:val="ru-RU" w:eastAsia="en-US"/>
              </w:rPr>
            </w:pPr>
            <w:r>
              <w:rPr>
                <w:rFonts w:ascii="Times New Roman" w:eastAsia="Calibri" w:hAnsi="Times New Roman" w:cs="Times New Roman"/>
                <w:color w:val="000000"/>
                <w:sz w:val="28"/>
                <w:szCs w:val="28"/>
                <w:lang w:val="ru-RU" w:eastAsia="en-US"/>
              </w:rPr>
              <w:t>500 000</w:t>
            </w:r>
          </w:p>
        </w:tc>
      </w:tr>
      <w:tr w14:paraId="4D199F6A" w14:textId="77777777" w:rsidTr="00B33F96">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74B73846"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 </w:t>
            </w:r>
            <w:r>
              <w:rPr>
                <w:rFonts w:ascii="Times New Roman" w:eastAsia="Times New Roman" w:hAnsi="Times New Roman" w:cs="Times New Roman"/>
                <w:sz w:val="28"/>
                <w:szCs w:val="28"/>
                <w:lang w:eastAsia="ru-RU"/>
              </w:rPr>
              <w:t>Великодимерської</w:t>
            </w:r>
            <w:r>
              <w:rPr>
                <w:rFonts w:ascii="Times New Roman" w:eastAsia="Times New Roman" w:hAnsi="Times New Roman" w:cs="Times New Roman"/>
                <w:sz w:val="28"/>
                <w:szCs w:val="28"/>
                <w:lang w:eastAsia="ru-RU"/>
              </w:rPr>
              <w:t xml:space="preserve">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33F6C6B9"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7 000 000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1D327343"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8 000 000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337C92D4"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9 000 000</w:t>
            </w:r>
          </w:p>
        </w:tc>
      </w:tr>
      <w:tr w14:paraId="41E9976E" w14:textId="77777777" w:rsidTr="00B33F96">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6B057B86"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 </w:t>
            </w:r>
            <w:r>
              <w:rPr>
                <w:rFonts w:ascii="Times New Roman" w:eastAsia="Times New Roman" w:hAnsi="Times New Roman" w:cs="Times New Roman"/>
                <w:sz w:val="28"/>
                <w:szCs w:val="28"/>
                <w:lang w:eastAsia="ru-RU"/>
              </w:rPr>
              <w:t>Зазимської</w:t>
            </w:r>
            <w:r>
              <w:rPr>
                <w:rFonts w:ascii="Times New Roman" w:eastAsia="Times New Roman" w:hAnsi="Times New Roman" w:cs="Times New Roman"/>
                <w:sz w:val="28"/>
                <w:szCs w:val="28"/>
                <w:lang w:eastAsia="ru-RU"/>
              </w:rPr>
              <w:t xml:space="preserve"> сільської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4C60B199"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3 500 000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348A2668"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3 600 000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32F025DE"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3 700 000</w:t>
            </w:r>
          </w:p>
        </w:tc>
      </w:tr>
      <w:tr w14:paraId="26434BD0" w14:textId="77777777" w:rsidTr="00B33F96">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39633260"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 </w:t>
            </w:r>
            <w:r>
              <w:rPr>
                <w:rFonts w:ascii="Times New Roman" w:eastAsia="Times New Roman" w:hAnsi="Times New Roman" w:cs="Times New Roman"/>
                <w:sz w:val="28"/>
                <w:szCs w:val="28"/>
                <w:lang w:eastAsia="ru-RU"/>
              </w:rPr>
              <w:t>Калинівської</w:t>
            </w:r>
            <w:r>
              <w:rPr>
                <w:rFonts w:ascii="Times New Roman" w:eastAsia="Times New Roman" w:hAnsi="Times New Roman" w:cs="Times New Roman"/>
                <w:sz w:val="28"/>
                <w:szCs w:val="28"/>
                <w:lang w:eastAsia="ru-RU"/>
              </w:rPr>
              <w:t xml:space="preserve">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2D90576E"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1576E68A"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0D76EBDE"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1 000 000</w:t>
            </w:r>
          </w:p>
        </w:tc>
      </w:tr>
      <w:tr w14:paraId="007D471C" w14:textId="77777777" w:rsidTr="00B33F96">
        <w:tblPrEx>
          <w:tblW w:w="0" w:type="auto"/>
          <w:tblInd w:w="-310" w:type="dxa"/>
          <w:tblLook w:val="04A0"/>
        </w:tblPrEx>
        <w:trPr>
          <w:trHeight w:val="1058"/>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B33F96" w14:paraId="7EC02BD2"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Інші субвенції з місцевого бюджету</w:t>
            </w:r>
          </w:p>
          <w:p w:rsidR="00B33F96" w14:paraId="2D5E1F83" w14:textId="7777777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 відшкодування за реабілітаційні послуги дітей - інвалідів </w:t>
            </w:r>
          </w:p>
          <w:p w:rsidR="00B33F96" w14:paraId="0EEBA09C"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Calibri" w:hAnsi="Times New Roman" w:cs="Times New Roman"/>
                <w:sz w:val="24"/>
                <w:szCs w:val="24"/>
                <w:lang w:eastAsia="en-US"/>
              </w:rPr>
              <w:t>в Міському Центрі комплексної реабілітації дітей з інвалідністю</w:t>
            </w:r>
          </w:p>
        </w:tc>
      </w:tr>
      <w:tr w14:paraId="508A8CC9" w14:textId="77777777" w:rsidTr="00B33F96">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611DA6C1"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 </w:t>
            </w:r>
            <w:r>
              <w:rPr>
                <w:rFonts w:ascii="Times New Roman" w:eastAsia="Times New Roman" w:hAnsi="Times New Roman" w:cs="Times New Roman"/>
                <w:sz w:val="28"/>
                <w:szCs w:val="28"/>
                <w:lang w:eastAsia="ru-RU"/>
              </w:rPr>
              <w:t>Великодимерської</w:t>
            </w:r>
            <w:r>
              <w:rPr>
                <w:rFonts w:ascii="Times New Roman" w:eastAsia="Times New Roman" w:hAnsi="Times New Roman" w:cs="Times New Roman"/>
                <w:sz w:val="28"/>
                <w:szCs w:val="28"/>
                <w:lang w:eastAsia="ru-RU"/>
              </w:rPr>
              <w:t xml:space="preserve">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4993330C"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425 000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2F1A3F1C"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471 000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1CF3D04B"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522 000</w:t>
            </w:r>
          </w:p>
        </w:tc>
      </w:tr>
      <w:tr w14:paraId="232B1037" w14:textId="77777777" w:rsidTr="00B33F96">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6E47D60E"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 </w:t>
            </w:r>
            <w:r>
              <w:rPr>
                <w:rFonts w:ascii="Times New Roman" w:eastAsia="Times New Roman" w:hAnsi="Times New Roman" w:cs="Times New Roman"/>
                <w:sz w:val="28"/>
                <w:szCs w:val="28"/>
                <w:lang w:eastAsia="ru-RU"/>
              </w:rPr>
              <w:t>Зазимської</w:t>
            </w:r>
            <w:r>
              <w:rPr>
                <w:rFonts w:ascii="Times New Roman" w:eastAsia="Times New Roman" w:hAnsi="Times New Roman" w:cs="Times New Roman"/>
                <w:sz w:val="28"/>
                <w:szCs w:val="28"/>
                <w:lang w:eastAsia="ru-RU"/>
              </w:rPr>
              <w:t xml:space="preserve"> сільської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54EBCB86"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74EBB7DB"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11F94725"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450 000</w:t>
            </w:r>
          </w:p>
        </w:tc>
      </w:tr>
      <w:tr w14:paraId="31C4ABC8" w14:textId="77777777" w:rsidTr="00B33F96">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4619C32E"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 </w:t>
            </w:r>
            <w:r>
              <w:rPr>
                <w:rFonts w:ascii="Times New Roman" w:eastAsia="Times New Roman" w:hAnsi="Times New Roman" w:cs="Times New Roman"/>
                <w:sz w:val="28"/>
                <w:szCs w:val="28"/>
                <w:lang w:eastAsia="ru-RU"/>
              </w:rPr>
              <w:t>Калинівської</w:t>
            </w:r>
            <w:r>
              <w:rPr>
                <w:rFonts w:ascii="Times New Roman" w:eastAsia="Times New Roman" w:hAnsi="Times New Roman" w:cs="Times New Roman"/>
                <w:sz w:val="28"/>
                <w:szCs w:val="28"/>
                <w:lang w:eastAsia="ru-RU"/>
              </w:rPr>
              <w:t xml:space="preserve">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65619433"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889 800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6B7F5638"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987 300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0F1B9F8D"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1 093 800</w:t>
            </w:r>
          </w:p>
        </w:tc>
      </w:tr>
    </w:tbl>
    <w:p w:rsidR="00B33F96" w:rsidP="00B33F96" w14:paraId="60FEDD0A" w14:textId="77777777">
      <w:pPr>
        <w:spacing w:after="0" w:line="240" w:lineRule="auto"/>
        <w:ind w:firstLine="567"/>
        <w:jc w:val="both"/>
        <w:rPr>
          <w:rFonts w:ascii="Times New Roman" w:eastAsia="Times New Roman" w:hAnsi="Times New Roman" w:cs="Times New Roman"/>
          <w:color w:val="FF0000"/>
          <w:sz w:val="28"/>
          <w:szCs w:val="28"/>
          <w:lang w:eastAsia="ru-RU"/>
        </w:rPr>
      </w:pPr>
    </w:p>
    <w:p w:rsidR="00B33F96" w:rsidP="00B33F96" w14:paraId="2C72AA1E"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Показники міжбюджетних трансфертів іншим бюджетам у розрізі бюджетів, відображені у додатку 11 до «Прогнозу бюджету Броварської міської територіальної громади на 2026-2028 роки».</w:t>
      </w:r>
    </w:p>
    <w:p w:rsidR="00B33F96" w:rsidP="00B33F96" w14:paraId="45F50070" w14:textId="77777777">
      <w:pPr>
        <w:spacing w:after="0" w:line="240" w:lineRule="auto"/>
        <w:ind w:firstLine="709"/>
        <w:jc w:val="both"/>
        <w:rPr>
          <w:rFonts w:ascii="Times New Roman" w:eastAsia="Times New Roman" w:hAnsi="Times New Roman" w:cs="Times New Roman"/>
          <w:sz w:val="16"/>
          <w:szCs w:val="16"/>
          <w:lang w:eastAsia="ru-RU"/>
        </w:rPr>
      </w:pPr>
    </w:p>
    <w:p w:rsidR="00B33F96" w:rsidP="00B33F96" w14:paraId="631EA3B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en-US"/>
        </w:rPr>
        <w:t>Реверсна дотація запланована Міністерством фінансів України відповідно до діючого механізму горизонтального вирівнювання податкоспроможності бюджетів місцевого самоврядування, визначеного статтею 99 Бюджетного кодексу України і</w:t>
      </w:r>
      <w:r>
        <w:rPr>
          <w:rFonts w:ascii="Times New Roman" w:eastAsia="Times New Roman" w:hAnsi="Times New Roman" w:cs="Times New Roman"/>
          <w:sz w:val="28"/>
          <w:szCs w:val="28"/>
          <w:lang w:eastAsia="ru-RU"/>
        </w:rPr>
        <w:t xml:space="preserve"> має найбільшу питому вагу у обсязі міжбюджетних трансфертів. </w:t>
      </w:r>
    </w:p>
    <w:p w:rsidR="00B33F96" w:rsidP="00B33F96" w14:paraId="297BE4A6" w14:textId="77777777">
      <w:pPr>
        <w:spacing w:after="0" w:line="240" w:lineRule="auto"/>
        <w:ind w:firstLine="567"/>
        <w:jc w:val="both"/>
        <w:rPr>
          <w:rFonts w:ascii="Times New Roman" w:eastAsia="Times New Roman" w:hAnsi="Times New Roman" w:cs="Times New Roman"/>
          <w:sz w:val="16"/>
          <w:szCs w:val="16"/>
          <w:lang w:eastAsia="ru-RU"/>
        </w:rPr>
      </w:pPr>
    </w:p>
    <w:p w:rsidR="00B33F96" w:rsidP="00B33F96" w14:paraId="10FF722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Темпи зростання обсягів реверсної дотації: </w:t>
      </w:r>
    </w:p>
    <w:p w:rsidR="00B33F96" w:rsidP="00B33F96" w14:paraId="32C9E37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2026 рік до плану 2025 року зменшаться на 3,2 відсотка; </w:t>
      </w:r>
    </w:p>
    <w:p w:rsidR="00B33F96" w:rsidP="00B33F96" w14:paraId="0628C5D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2027 рік до плану 2026 року збільшаться на 52,5 відсотка; </w:t>
      </w:r>
    </w:p>
    <w:p w:rsidR="00B33F96" w:rsidP="00B33F96" w14:paraId="6539BE7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2028 рік до плану 2027 року збільшаться на 3,5 відсотка. </w:t>
      </w:r>
    </w:p>
    <w:p w:rsidR="00B33F96" w:rsidP="00B33F96" w14:paraId="734D99E6" w14:textId="77777777">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color w:val="7030A0"/>
          <w:sz w:val="28"/>
          <w:szCs w:val="28"/>
          <w:lang w:eastAsia="ru-RU"/>
        </w:rPr>
        <w:t xml:space="preserve">                                                                                                              </w:t>
      </w:r>
      <w:r>
        <w:rPr>
          <w:rFonts w:ascii="Times New Roman" w:eastAsia="Times New Roman" w:hAnsi="Times New Roman" w:cs="Times New Roman"/>
          <w:sz w:val="28"/>
          <w:szCs w:val="28"/>
          <w:lang w:eastAsia="ru-RU"/>
        </w:rPr>
        <w:t>(грн.)</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3"/>
        <w:gridCol w:w="1659"/>
        <w:gridCol w:w="1863"/>
        <w:gridCol w:w="1832"/>
      </w:tblGrid>
      <w:tr w14:paraId="4BF69371" w14:textId="77777777" w:rsidTr="00B33F96">
        <w:tblPrEx>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2"/>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0315FA41"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Найменування трансферту/найменування бюджету отримувача</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7D2E4017"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2026 рік</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725DA033"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2027 рік</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0CD7C03D"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2028 рік</w:t>
            </w:r>
          </w:p>
        </w:tc>
      </w:tr>
      <w:tr w14:paraId="3A9AC8FA" w14:textId="77777777" w:rsidTr="00B33F96">
        <w:tblPrEx>
          <w:tblW w:w="0" w:type="auto"/>
          <w:tblInd w:w="-310" w:type="dxa"/>
          <w:tblLook w:val="04A0"/>
        </w:tblPrEx>
        <w:trPr>
          <w:trHeight w:val="519"/>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B33F96" w14:paraId="4D832121" w14:textId="77777777">
            <w:pPr>
              <w:spacing w:after="0" w:line="240" w:lineRule="auto"/>
              <w:jc w:val="center"/>
              <w:rPr>
                <w:rFonts w:ascii="Times New Roman" w:eastAsia="Times New Roman" w:hAnsi="Times New Roman" w:cs="Times New Roman"/>
                <w:b/>
                <w:color w:val="7030A0"/>
                <w:sz w:val="28"/>
                <w:szCs w:val="28"/>
                <w:lang w:eastAsia="ru-RU"/>
              </w:rPr>
            </w:pPr>
            <w:r>
              <w:rPr>
                <w:rFonts w:ascii="Times New Roman" w:eastAsia="Times New Roman" w:hAnsi="Times New Roman" w:cs="Times New Roman"/>
                <w:b/>
                <w:sz w:val="28"/>
                <w:szCs w:val="28"/>
                <w:lang w:eastAsia="ru-RU"/>
              </w:rPr>
              <w:t>Міжбюджетні трансферти державному бюджету</w:t>
            </w:r>
          </w:p>
        </w:tc>
      </w:tr>
      <w:tr w14:paraId="2F081716" w14:textId="77777777" w:rsidTr="00B33F96">
        <w:tblPrEx>
          <w:tblW w:w="0" w:type="auto"/>
          <w:tblInd w:w="-310" w:type="dxa"/>
          <w:tblLook w:val="04A0"/>
        </w:tblPrEx>
        <w:trPr>
          <w:trHeight w:val="500"/>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5F1CFE6D"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Реверсна дотація</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7659931B"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155 059 100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656D6825"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236 432 700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31413E84"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244 717 200</w:t>
            </w:r>
          </w:p>
        </w:tc>
      </w:tr>
      <w:tr w14:paraId="60BB6CA4" w14:textId="77777777" w:rsidTr="00B33F96">
        <w:tblPrEx>
          <w:tblW w:w="0" w:type="auto"/>
          <w:tblInd w:w="-310" w:type="dxa"/>
          <w:tblLook w:val="04A0"/>
        </w:tblPrEx>
        <w:trPr>
          <w:trHeight w:val="888"/>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B33F96" w14:paraId="646A6541"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Міжбюджетні трансферти, які передаються з бюджету Броварської міської територіальної громади іншим бюджетам</w:t>
            </w:r>
          </w:p>
        </w:tc>
      </w:tr>
      <w:tr w14:paraId="3FBE5427" w14:textId="77777777" w:rsidTr="00B33F96">
        <w:tblPrEx>
          <w:tblW w:w="0" w:type="auto"/>
          <w:tblInd w:w="-310" w:type="dxa"/>
          <w:tblLook w:val="04A0"/>
        </w:tblPrEx>
        <w:trPr>
          <w:trHeight w:val="1324"/>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1143BD5A"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Субвенція з місцевого бюджету державному бюджету на виконання програм соціально-економічного розвитку регіонів</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6EC3DD24"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34 500 000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6B0797CD"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35 901 758</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1D5778B4"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42 141 177</w:t>
            </w:r>
          </w:p>
        </w:tc>
      </w:tr>
      <w:tr w14:paraId="79760F70" w14:textId="77777777" w:rsidTr="00B33F96">
        <w:tblPrEx>
          <w:tblW w:w="0" w:type="auto"/>
          <w:tblInd w:w="-310" w:type="dxa"/>
          <w:tblLook w:val="04A0"/>
        </w:tblPrEx>
        <w:trPr>
          <w:trHeight w:val="1324"/>
        </w:trPr>
        <w:tc>
          <w:tcPr>
            <w:tcW w:w="4523" w:type="dxa"/>
            <w:tcBorders>
              <w:top w:val="single" w:sz="4" w:space="0" w:color="auto"/>
              <w:left w:val="single" w:sz="4" w:space="0" w:color="auto"/>
              <w:bottom w:val="single" w:sz="4" w:space="0" w:color="auto"/>
              <w:right w:val="single" w:sz="4" w:space="0" w:color="auto"/>
            </w:tcBorders>
            <w:vAlign w:val="center"/>
            <w:hideMark/>
          </w:tcPr>
          <w:p w:rsidR="00B33F96" w14:paraId="03AF2FF1" w14:textId="777777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Інші субвенції з місцевого бюджету/Бюджет </w:t>
            </w:r>
            <w:r>
              <w:rPr>
                <w:rFonts w:ascii="Times New Roman" w:eastAsia="Times New Roman" w:hAnsi="Times New Roman" w:cs="Times New Roman"/>
                <w:sz w:val="28"/>
                <w:szCs w:val="28"/>
                <w:lang w:eastAsia="ru-RU"/>
              </w:rPr>
              <w:t>Великодимерської</w:t>
            </w:r>
            <w:r>
              <w:rPr>
                <w:rFonts w:ascii="Times New Roman" w:eastAsia="Times New Roman" w:hAnsi="Times New Roman" w:cs="Times New Roman"/>
                <w:sz w:val="28"/>
                <w:szCs w:val="28"/>
                <w:lang w:eastAsia="ru-RU"/>
              </w:rPr>
              <w:t xml:space="preserve">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B33F96" w14:paraId="72CEE6DF"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227 856</w:t>
            </w:r>
          </w:p>
        </w:tc>
        <w:tc>
          <w:tcPr>
            <w:tcW w:w="1863" w:type="dxa"/>
            <w:tcBorders>
              <w:top w:val="single" w:sz="4" w:space="0" w:color="auto"/>
              <w:left w:val="single" w:sz="4" w:space="0" w:color="auto"/>
              <w:bottom w:val="single" w:sz="4" w:space="0" w:color="auto"/>
              <w:right w:val="single" w:sz="4" w:space="0" w:color="auto"/>
            </w:tcBorders>
            <w:vAlign w:val="center"/>
            <w:hideMark/>
          </w:tcPr>
          <w:p w:rsidR="00B33F96" w14:paraId="067BED4E"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250 642</w:t>
            </w:r>
          </w:p>
        </w:tc>
        <w:tc>
          <w:tcPr>
            <w:tcW w:w="1832" w:type="dxa"/>
            <w:tcBorders>
              <w:top w:val="single" w:sz="4" w:space="0" w:color="auto"/>
              <w:left w:val="single" w:sz="4" w:space="0" w:color="auto"/>
              <w:bottom w:val="single" w:sz="4" w:space="0" w:color="auto"/>
              <w:right w:val="single" w:sz="4" w:space="0" w:color="auto"/>
            </w:tcBorders>
            <w:vAlign w:val="center"/>
            <w:hideMark/>
          </w:tcPr>
          <w:p w:rsidR="00B33F96" w14:paraId="5B4B7937" w14:textId="7777777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275 706</w:t>
            </w:r>
          </w:p>
        </w:tc>
      </w:tr>
    </w:tbl>
    <w:p w:rsidR="00B33F96" w:rsidP="00B33F96" w14:paraId="413B416F" w14:textId="77777777">
      <w:pPr>
        <w:spacing w:after="0" w:line="240" w:lineRule="auto"/>
        <w:ind w:firstLine="567"/>
        <w:jc w:val="center"/>
        <w:rPr>
          <w:rFonts w:ascii="Times New Roman" w:eastAsia="Calibri" w:hAnsi="Times New Roman" w:cs="Times New Roman"/>
          <w:b/>
          <w:sz w:val="28"/>
          <w:szCs w:val="28"/>
          <w:lang w:val="ru-RU" w:eastAsia="en-US"/>
        </w:rPr>
      </w:pPr>
      <w:r>
        <w:rPr>
          <w:rFonts w:ascii="Times New Roman" w:eastAsia="Calibri" w:hAnsi="Times New Roman" w:cs="Times New Roman"/>
          <w:b/>
          <w:sz w:val="28"/>
          <w:szCs w:val="28"/>
          <w:lang w:val="en-US" w:eastAsia="en-US"/>
        </w:rPr>
        <w:t>VIII</w:t>
      </w:r>
      <w:r>
        <w:rPr>
          <w:rFonts w:ascii="Times New Roman" w:eastAsia="Calibri" w:hAnsi="Times New Roman" w:cs="Times New Roman"/>
          <w:b/>
          <w:sz w:val="28"/>
          <w:szCs w:val="28"/>
          <w:lang w:eastAsia="en-US"/>
        </w:rPr>
        <w:t>. Інші положення та показники прогнозу бюджету</w:t>
      </w:r>
    </w:p>
    <w:p w:rsidR="00B33F96" w:rsidP="00B33F96" w14:paraId="194A2202" w14:textId="77777777">
      <w:pPr>
        <w:spacing w:after="0" w:line="240" w:lineRule="auto"/>
        <w:ind w:firstLine="567"/>
        <w:jc w:val="center"/>
        <w:rPr>
          <w:rFonts w:ascii="Times New Roman" w:eastAsia="Calibri" w:hAnsi="Times New Roman" w:cs="Times New Roman"/>
          <w:b/>
          <w:sz w:val="16"/>
          <w:szCs w:val="16"/>
          <w:lang w:val="ru-RU" w:eastAsia="en-US"/>
        </w:rPr>
      </w:pPr>
    </w:p>
    <w:p w:rsidR="00B33F96" w:rsidP="00B33F96" w14:paraId="4C0762AB" w14:textId="77777777">
      <w:pPr>
        <w:spacing w:after="0" w:line="240" w:lineRule="auto"/>
        <w:ind w:firstLine="567"/>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eastAsia="en-US"/>
        </w:rPr>
        <w:t>В прогнозі бюджету Броварської міської територіальної громади на 202</w:t>
      </w:r>
      <w:r>
        <w:rPr>
          <w:rFonts w:ascii="Times New Roman" w:eastAsia="Calibri" w:hAnsi="Times New Roman" w:cs="Times New Roman"/>
          <w:sz w:val="28"/>
          <w:szCs w:val="28"/>
          <w:lang w:val="ru-RU" w:eastAsia="en-US"/>
        </w:rPr>
        <w:t>6</w:t>
      </w:r>
      <w:r>
        <w:rPr>
          <w:rFonts w:ascii="Times New Roman" w:eastAsia="Calibri" w:hAnsi="Times New Roman" w:cs="Times New Roman"/>
          <w:sz w:val="28"/>
          <w:szCs w:val="28"/>
          <w:lang w:eastAsia="en-US"/>
        </w:rPr>
        <w:t>-202</w:t>
      </w:r>
      <w:r>
        <w:rPr>
          <w:rFonts w:ascii="Times New Roman" w:eastAsia="Calibri" w:hAnsi="Times New Roman" w:cs="Times New Roman"/>
          <w:sz w:val="28"/>
          <w:szCs w:val="28"/>
          <w:lang w:val="ru-RU" w:eastAsia="en-US"/>
        </w:rPr>
        <w:t>8</w:t>
      </w:r>
      <w:r>
        <w:rPr>
          <w:rFonts w:ascii="Times New Roman" w:eastAsia="Calibri" w:hAnsi="Times New Roman" w:cs="Times New Roman"/>
          <w:sz w:val="28"/>
          <w:szCs w:val="28"/>
          <w:lang w:eastAsia="en-US"/>
        </w:rPr>
        <w:t xml:space="preserve"> роки наявні наступні додатки: </w:t>
      </w:r>
    </w:p>
    <w:p w:rsidR="00B33F96" w:rsidP="00B33F96" w14:paraId="52611FF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додаток 1 «Загальні показники бюджету»; </w:t>
      </w:r>
    </w:p>
    <w:p w:rsidR="00B33F96" w:rsidP="00B33F96" w14:paraId="7313815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додаток 2 «Показники доходів бюджету»; </w:t>
      </w:r>
    </w:p>
    <w:p w:rsidR="00B33F96" w:rsidP="00B33F96" w14:paraId="4E56058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3 «Показники фінансування бюджету»;</w:t>
      </w:r>
    </w:p>
    <w:p w:rsidR="00B33F96" w:rsidP="00B33F96" w14:paraId="551EEFE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додаток 4 «Показники місцевого боргу»; </w:t>
      </w:r>
    </w:p>
    <w:p w:rsidR="00B33F96" w:rsidP="00B33F96" w14:paraId="1EE70F7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6 «Граничні показники видатків бюджету та надання кредитів з бюджету головним розпорядникам коштів»;</w:t>
      </w:r>
    </w:p>
    <w:p w:rsidR="00B33F96" w:rsidP="00B33F96" w14:paraId="214852A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7 «Граничні показники видатків бюджету за Типовою програмною класифікацією видатків та кредитування місцевого бюджету»;</w:t>
      </w:r>
    </w:p>
    <w:p w:rsidR="00B33F96" w:rsidP="00B33F96" w14:paraId="6E98442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додаток 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Броварської міської територіальної громади на 2026–2028роки»; </w:t>
      </w:r>
    </w:p>
    <w:p w:rsidR="00B33F96" w:rsidP="00B33F96" w14:paraId="627CA5A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додаток 10 «Показники міжбюджетних трансфертів з інших бюджетів»; </w:t>
      </w:r>
    </w:p>
    <w:p w:rsidR="00B33F96" w:rsidP="00B33F96" w14:paraId="62EBC4C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11 «Показники міжбюджетних трансфертів іншим бюджетам».</w:t>
      </w:r>
    </w:p>
    <w:p w:rsidR="00B33F96" w:rsidP="00B33F96" w14:paraId="09E88FE3" w14:textId="77777777">
      <w:pPr>
        <w:spacing w:after="0" w:line="240" w:lineRule="auto"/>
        <w:ind w:firstLine="567"/>
        <w:jc w:val="both"/>
        <w:rPr>
          <w:rFonts w:ascii="Times New Roman" w:eastAsia="Times New Roman" w:hAnsi="Times New Roman" w:cs="Times New Roman"/>
          <w:sz w:val="16"/>
          <w:szCs w:val="16"/>
          <w:lang w:eastAsia="ru-RU"/>
        </w:rPr>
      </w:pPr>
    </w:p>
    <w:p w:rsidR="00B33F96" w:rsidP="00B33F96" w14:paraId="39E4B48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 не подається до Прогнозу, у зв’язку з відсутністю показників;</w:t>
      </w:r>
    </w:p>
    <w:p w:rsidR="00B33F96" w:rsidP="00B33F96" w14:paraId="15EEA0A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8 «Граничні показники кредитування бюджету за Типовою програмною класифікацією видатків та кредитування місцевого бюджету» не подається до Прогнозу, у зв’язку з відсутністю показників.</w:t>
      </w:r>
    </w:p>
    <w:p w:rsidR="00B33F96" w:rsidP="00B33F96" w14:paraId="7E96A319" w14:textId="77777777">
      <w:pPr>
        <w:spacing w:after="0" w:line="240" w:lineRule="auto"/>
        <w:ind w:firstLine="567"/>
        <w:jc w:val="both"/>
        <w:rPr>
          <w:rFonts w:ascii="Times New Roman" w:eastAsia="Times New Roman" w:hAnsi="Times New Roman" w:cs="Times New Roman"/>
          <w:sz w:val="16"/>
          <w:szCs w:val="16"/>
          <w:lang w:eastAsia="ru-RU"/>
        </w:rPr>
      </w:pPr>
    </w:p>
    <w:p w:rsidR="00B33F96" w:rsidP="00B33F96" w14:paraId="73FBF442" w14:textId="77777777">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Конкретні показники обсягів бюджету Броварської міської територіальної громади на 2026-2028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 </w:t>
      </w:r>
    </w:p>
    <w:p w:rsidR="00B33F96" w:rsidP="00B33F96" w14:paraId="23D683AF" w14:textId="77777777">
      <w:pPr>
        <w:spacing w:after="0" w:line="240" w:lineRule="auto"/>
        <w:ind w:firstLine="567"/>
        <w:jc w:val="both"/>
        <w:rPr>
          <w:rFonts w:ascii="Times New Roman" w:eastAsia="Calibri" w:hAnsi="Times New Roman" w:cs="Times New Roman"/>
          <w:sz w:val="28"/>
          <w:szCs w:val="28"/>
          <w:lang w:eastAsia="en-US"/>
        </w:rPr>
      </w:pPr>
    </w:p>
    <w:p w:rsidR="00B33F96" w:rsidP="00B33F96" w14:paraId="7786A637" w14:textId="77777777">
      <w:pPr>
        <w:spacing w:after="0" w:line="240" w:lineRule="auto"/>
        <w:ind w:firstLine="567"/>
        <w:jc w:val="both"/>
        <w:rPr>
          <w:rFonts w:ascii="Times New Roman" w:eastAsia="Calibri" w:hAnsi="Times New Roman" w:cs="Times New Roman"/>
          <w:sz w:val="28"/>
          <w:szCs w:val="28"/>
          <w:lang w:eastAsia="en-US"/>
        </w:rPr>
      </w:pPr>
    </w:p>
    <w:p w:rsidR="00B33F96" w:rsidP="00B33F96" w14:paraId="03A37D6D" w14:textId="77777777">
      <w:pPr>
        <w:spacing w:after="0" w:line="240" w:lineRule="auto"/>
        <w:ind w:firstLine="567"/>
        <w:jc w:val="both"/>
        <w:rPr>
          <w:rFonts w:ascii="Times New Roman" w:eastAsia="Calibri" w:hAnsi="Times New Roman" w:cs="Times New Roman"/>
          <w:sz w:val="28"/>
          <w:szCs w:val="28"/>
          <w:lang w:eastAsia="en-US"/>
        </w:rPr>
      </w:pPr>
    </w:p>
    <w:p w:rsidR="00B33F96" w:rsidRPr="00B33F96" w:rsidP="00B33F96" w14:paraId="320F7239" w14:textId="77777777">
      <w:pPr>
        <w:spacing w:after="0" w:line="240" w:lineRule="auto"/>
        <w:jc w:val="both"/>
        <w:rPr>
          <w:rFonts w:ascii="Times New Roman" w:eastAsia="Calibri" w:hAnsi="Times New Roman" w:cs="Times New Roman"/>
          <w:color w:val="FF0000"/>
          <w:sz w:val="28"/>
          <w:szCs w:val="28"/>
          <w:lang w:val="ru-RU" w:eastAsia="en-US"/>
        </w:rPr>
      </w:pPr>
      <w:r>
        <w:rPr>
          <w:rFonts w:ascii="Times New Roman" w:eastAsia="Calibri" w:hAnsi="Times New Roman" w:cs="Times New Roman"/>
          <w:sz w:val="28"/>
          <w:szCs w:val="28"/>
          <w:lang w:eastAsia="en-US"/>
        </w:rPr>
        <w:t>Міський голова                                                                     Ігор САПОЖКО</w:t>
      </w:r>
    </w:p>
    <w:permEnd w:id="1"/>
    <w:p w:rsidR="00B33F96" w:rsidP="00B33F96" w14:paraId="159DD452" w14:textId="77777777">
      <w:pPr>
        <w:tabs>
          <w:tab w:val="left" w:pos="5610"/>
          <w:tab w:val="left" w:pos="6358"/>
        </w:tabs>
        <w:spacing w:after="0"/>
        <w:ind w:left="5103"/>
        <w:rPr>
          <w:rFonts w:ascii="Times New Roman" w:hAnsi="Times New Roman" w:cs="Times New Roman"/>
          <w:i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ika">
    <w:altName w:val="Calibri"/>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F26253"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15639" w:rsidR="00715639">
          <w:rPr>
            <w:rFonts w:ascii="Times New Roman" w:hAnsi="Times New Roman" w:cs="Times New Roman"/>
            <w:noProof/>
            <w:sz w:val="24"/>
            <w:szCs w:val="24"/>
            <w:lang w:val="ru-RU"/>
          </w:rPr>
          <w:t>44</w:t>
        </w:r>
        <w:r w:rsidRPr="004F7CAD">
          <w:rPr>
            <w:rFonts w:ascii="Times New Roman" w:hAnsi="Times New Roman" w:cs="Times New Roman"/>
            <w:sz w:val="24"/>
            <w:szCs w:val="24"/>
          </w:rPr>
          <w:fldChar w:fldCharType="end"/>
        </w:r>
      </w:p>
    </w:sdtContent>
  </w:sdt>
  <w:p w:rsidR="00F26253"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F26253"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F26253"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1B07B3"/>
    <w:rsid w:val="001C71B0"/>
    <w:rsid w:val="002D71B2"/>
    <w:rsid w:val="003579EB"/>
    <w:rsid w:val="003735BC"/>
    <w:rsid w:val="003A4315"/>
    <w:rsid w:val="003B2A39"/>
    <w:rsid w:val="004208DA"/>
    <w:rsid w:val="00424AD7"/>
    <w:rsid w:val="004B1D8D"/>
    <w:rsid w:val="004C6C25"/>
    <w:rsid w:val="004F7CAD"/>
    <w:rsid w:val="00520285"/>
    <w:rsid w:val="00524AF7"/>
    <w:rsid w:val="00545B76"/>
    <w:rsid w:val="005E70D2"/>
    <w:rsid w:val="0065349D"/>
    <w:rsid w:val="00713D9E"/>
    <w:rsid w:val="00715639"/>
    <w:rsid w:val="00732CCC"/>
    <w:rsid w:val="00784598"/>
    <w:rsid w:val="007A0EB0"/>
    <w:rsid w:val="007C582E"/>
    <w:rsid w:val="0081066D"/>
    <w:rsid w:val="00853C00"/>
    <w:rsid w:val="00893E2E"/>
    <w:rsid w:val="008B6CAA"/>
    <w:rsid w:val="008B6EF2"/>
    <w:rsid w:val="00A7434E"/>
    <w:rsid w:val="00A84A56"/>
    <w:rsid w:val="00B20C04"/>
    <w:rsid w:val="00B33F96"/>
    <w:rsid w:val="00B3670E"/>
    <w:rsid w:val="00CB633A"/>
    <w:rsid w:val="00CC23FD"/>
    <w:rsid w:val="00CF25E5"/>
    <w:rsid w:val="00E37CA4"/>
    <w:rsid w:val="00EB466D"/>
    <w:rsid w:val="00EE06C3"/>
    <w:rsid w:val="00F1156F"/>
    <w:rsid w:val="00F13CCA"/>
    <w:rsid w:val="00F21B24"/>
    <w:rsid w:val="00F26253"/>
    <w:rsid w:val="00F26342"/>
    <w:rsid w:val="00F33B16"/>
    <w:rsid w:val="00FA7F3E"/>
    <w:rsid w:val="00FC0F15"/>
    <w:rsid w:val="00FF2D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a1">
    <w:name w:val="Обычный (веб) Знак"/>
    <w:link w:val="NormalWeb"/>
    <w:uiPriority w:val="99"/>
    <w:semiHidden/>
    <w:locked/>
    <w:rsid w:val="00B33F96"/>
    <w:rPr>
      <w:rFonts w:ascii="Times New Roman" w:eastAsia="Times New Roman" w:hAnsi="Times New Roman" w:cs="Times New Roman"/>
      <w:sz w:val="24"/>
      <w:szCs w:val="24"/>
      <w:lang w:val="x-none" w:eastAsia="x-none"/>
    </w:rPr>
  </w:style>
  <w:style w:type="paragraph" w:styleId="NormalWeb">
    <w:name w:val="Normal (Web)"/>
    <w:basedOn w:val="Normal"/>
    <w:link w:val="a1"/>
    <w:uiPriority w:val="99"/>
    <w:semiHidden/>
    <w:unhideWhenUsed/>
    <w:rsid w:val="00B33F96"/>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2">
    <w:name w:val="Основной текст Знак"/>
    <w:basedOn w:val="DefaultParagraphFont"/>
    <w:link w:val="BodyText"/>
    <w:uiPriority w:val="99"/>
    <w:semiHidden/>
    <w:rsid w:val="00B33F96"/>
    <w:rPr>
      <w:rFonts w:ascii="Calibri" w:eastAsia="Calibri" w:hAnsi="Calibri" w:cs="Times New Roman"/>
      <w:lang w:val="x-none" w:eastAsia="en-US"/>
    </w:rPr>
  </w:style>
  <w:style w:type="paragraph" w:styleId="BodyText">
    <w:name w:val="Body Text"/>
    <w:basedOn w:val="Normal"/>
    <w:link w:val="a2"/>
    <w:uiPriority w:val="99"/>
    <w:semiHidden/>
    <w:unhideWhenUsed/>
    <w:rsid w:val="00B33F96"/>
    <w:pPr>
      <w:spacing w:after="120"/>
    </w:pPr>
    <w:rPr>
      <w:rFonts w:ascii="Calibri" w:eastAsia="Calibri" w:hAnsi="Calibri" w:cs="Times New Roman"/>
      <w:lang w:val="x-none" w:eastAsia="en-US"/>
    </w:rPr>
  </w:style>
  <w:style w:type="character" w:customStyle="1" w:styleId="a3">
    <w:name w:val="Основной текст с отступом Знак"/>
    <w:basedOn w:val="DefaultParagraphFont"/>
    <w:link w:val="BodyTextIndent"/>
    <w:uiPriority w:val="99"/>
    <w:semiHidden/>
    <w:rsid w:val="00B33F96"/>
    <w:rPr>
      <w:rFonts w:ascii="Calibri" w:eastAsia="Calibri" w:hAnsi="Calibri" w:cs="Times New Roman"/>
      <w:lang w:val="x-none" w:eastAsia="en-US"/>
    </w:rPr>
  </w:style>
  <w:style w:type="paragraph" w:styleId="BodyTextIndent">
    <w:name w:val="Body Text Indent"/>
    <w:basedOn w:val="Normal"/>
    <w:link w:val="a3"/>
    <w:uiPriority w:val="99"/>
    <w:semiHidden/>
    <w:unhideWhenUsed/>
    <w:rsid w:val="00B33F96"/>
    <w:pPr>
      <w:spacing w:after="120"/>
      <w:ind w:left="283"/>
    </w:pPr>
    <w:rPr>
      <w:rFonts w:ascii="Calibri" w:eastAsia="Calibri" w:hAnsi="Calibri" w:cs="Times New Roman"/>
      <w:lang w:val="x-none" w:eastAsia="en-US"/>
    </w:rPr>
  </w:style>
  <w:style w:type="character" w:customStyle="1" w:styleId="2">
    <w:name w:val="Основной текст 2 Знак"/>
    <w:basedOn w:val="DefaultParagraphFont"/>
    <w:link w:val="BodyText2"/>
    <w:uiPriority w:val="99"/>
    <w:semiHidden/>
    <w:rsid w:val="00B33F96"/>
    <w:rPr>
      <w:rFonts w:ascii="Times New Roman" w:eastAsia="Times New Roman" w:hAnsi="Times New Roman" w:cs="Times New Roman"/>
      <w:szCs w:val="20"/>
      <w:lang w:eastAsia="x-none"/>
    </w:rPr>
  </w:style>
  <w:style w:type="paragraph" w:styleId="BodyText2">
    <w:name w:val="Body Text 2"/>
    <w:basedOn w:val="Normal"/>
    <w:link w:val="2"/>
    <w:uiPriority w:val="99"/>
    <w:semiHidden/>
    <w:unhideWhenUsed/>
    <w:rsid w:val="00B33F96"/>
    <w:pPr>
      <w:spacing w:after="0" w:line="240" w:lineRule="auto"/>
    </w:pPr>
    <w:rPr>
      <w:rFonts w:ascii="Times New Roman" w:eastAsia="Times New Roman" w:hAnsi="Times New Roman" w:cs="Times New Roman"/>
      <w:szCs w:val="20"/>
      <w:lang w:eastAsia="x-none"/>
    </w:rPr>
  </w:style>
  <w:style w:type="character" w:customStyle="1" w:styleId="3">
    <w:name w:val="Основной текст с отступом 3 Знак"/>
    <w:basedOn w:val="DefaultParagraphFont"/>
    <w:link w:val="BodyTextIndent3"/>
    <w:uiPriority w:val="99"/>
    <w:semiHidden/>
    <w:rsid w:val="00B33F96"/>
    <w:rPr>
      <w:rFonts w:ascii="Calibri" w:eastAsia="Calibri" w:hAnsi="Calibri" w:cs="Times New Roman"/>
      <w:sz w:val="16"/>
      <w:szCs w:val="16"/>
      <w:lang w:val="x-none" w:eastAsia="en-US"/>
    </w:rPr>
  </w:style>
  <w:style w:type="paragraph" w:styleId="BodyTextIndent3">
    <w:name w:val="Body Text Indent 3"/>
    <w:basedOn w:val="Normal"/>
    <w:link w:val="3"/>
    <w:uiPriority w:val="99"/>
    <w:semiHidden/>
    <w:unhideWhenUsed/>
    <w:rsid w:val="00B33F96"/>
    <w:pPr>
      <w:spacing w:after="120"/>
      <w:ind w:left="283"/>
    </w:pPr>
    <w:rPr>
      <w:rFonts w:ascii="Calibri" w:eastAsia="Calibri" w:hAnsi="Calibri" w:cs="Times New Roman"/>
      <w:sz w:val="16"/>
      <w:szCs w:val="16"/>
      <w:lang w:val="x-none" w:eastAsia="en-US"/>
    </w:rPr>
  </w:style>
  <w:style w:type="character" w:customStyle="1" w:styleId="a4">
    <w:name w:val="Текст выноски Знак"/>
    <w:basedOn w:val="DefaultParagraphFont"/>
    <w:link w:val="BalloonText"/>
    <w:uiPriority w:val="99"/>
    <w:semiHidden/>
    <w:rsid w:val="00B33F96"/>
    <w:rPr>
      <w:rFonts w:ascii="Tahoma" w:hAnsi="Tahoma" w:cs="Tahoma"/>
      <w:sz w:val="16"/>
      <w:szCs w:val="16"/>
    </w:rPr>
  </w:style>
  <w:style w:type="paragraph" w:styleId="BalloonText">
    <w:name w:val="Balloon Text"/>
    <w:basedOn w:val="Normal"/>
    <w:link w:val="a4"/>
    <w:uiPriority w:val="99"/>
    <w:semiHidden/>
    <w:unhideWhenUsed/>
    <w:rsid w:val="00B33F96"/>
    <w:pPr>
      <w:spacing w:after="0" w:line="240" w:lineRule="auto"/>
    </w:pPr>
    <w:rPr>
      <w:rFonts w:ascii="Tahoma" w:hAnsi="Tahoma" w:cs="Tahoma"/>
      <w:sz w:val="16"/>
      <w:szCs w:val="16"/>
    </w:rPr>
  </w:style>
  <w:style w:type="character" w:customStyle="1" w:styleId="a5">
    <w:name w:val="Без интервала Знак"/>
    <w:link w:val="NoSpacing"/>
    <w:uiPriority w:val="1"/>
    <w:locked/>
    <w:rsid w:val="00B33F96"/>
    <w:rPr>
      <w:lang w:eastAsia="en-US"/>
    </w:rPr>
  </w:style>
  <w:style w:type="paragraph" w:styleId="NoSpacing">
    <w:name w:val="No Spacing"/>
    <w:link w:val="a5"/>
    <w:uiPriority w:val="1"/>
    <w:qFormat/>
    <w:rsid w:val="00B33F96"/>
    <w:pPr>
      <w:spacing w:after="0" w:line="240" w:lineRule="auto"/>
    </w:pPr>
    <w:rPr>
      <w:lang w:eastAsia="en-US"/>
    </w:rPr>
  </w:style>
  <w:style w:type="character" w:customStyle="1" w:styleId="a6">
    <w:name w:val="Абзац списка Знак"/>
    <w:link w:val="ListParagraph"/>
    <w:uiPriority w:val="34"/>
    <w:locked/>
    <w:rsid w:val="00B33F96"/>
    <w:rPr>
      <w:lang w:val="x-none" w:eastAsia="en-US"/>
    </w:rPr>
  </w:style>
  <w:style w:type="paragraph" w:styleId="ListParagraph">
    <w:name w:val="List Paragraph"/>
    <w:basedOn w:val="Normal"/>
    <w:link w:val="a6"/>
    <w:uiPriority w:val="34"/>
    <w:qFormat/>
    <w:rsid w:val="00B33F96"/>
    <w:pPr>
      <w:ind w:left="720"/>
      <w:contextualSpacing/>
    </w:pPr>
    <w:rPr>
      <w:lang w:val="x-none" w:eastAsia="en-US"/>
    </w:rPr>
  </w:style>
  <w:style w:type="character" w:customStyle="1" w:styleId="20">
    <w:name w:val="Основной текст (2)_"/>
    <w:link w:val="21"/>
    <w:semiHidden/>
    <w:locked/>
    <w:rsid w:val="00B33F96"/>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semiHidden/>
    <w:rsid w:val="00B33F96"/>
    <w:pPr>
      <w:widowControl w:val="0"/>
      <w:shd w:val="clear" w:color="auto" w:fill="FFFFFF"/>
      <w:spacing w:after="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ika">
    <w:altName w:val="Calibri"/>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190F01"/>
    <w:rsid w:val="001E3173"/>
    <w:rsid w:val="004D1168"/>
    <w:rsid w:val="00571C51"/>
    <w:rsid w:val="00660EAD"/>
    <w:rsid w:val="00843F3B"/>
    <w:rsid w:val="008E7FF6"/>
    <w:rsid w:val="00934C4A"/>
    <w:rsid w:val="00B05ED8"/>
    <w:rsid w:val="00DC7FA9"/>
    <w:rsid w:val="00E10EF4"/>
    <w:rsid w:val="00EB0AE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44</Pages>
  <Words>62709</Words>
  <Characters>35745</Characters>
  <Application>Microsoft Office Word</Application>
  <DocSecurity>8</DocSecurity>
  <Lines>297</Lines>
  <Paragraphs>196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37</cp:revision>
  <dcterms:created xsi:type="dcterms:W3CDTF">2021-08-31T06:42:00Z</dcterms:created>
  <dcterms:modified xsi:type="dcterms:W3CDTF">2025-08-26T06:12:00Z</dcterms:modified>
</cp:coreProperties>
</file>