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ПВ-762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P="003B2A39" w14:paraId="5C916CD2" w14:textId="473D21A3">
      <w:pPr>
        <w:tabs>
          <w:tab w:val="left" w:pos="5610"/>
          <w:tab w:val="left" w:pos="6358"/>
        </w:tabs>
        <w:spacing w:after="0"/>
        <w:ind w:left="5103"/>
        <w:rPr>
          <w:rFonts w:ascii="Times New Roman" w:hAnsi="Times New Roman" w:cs="Times New Roman"/>
          <w:sz w:val="28"/>
          <w:szCs w:val="28"/>
        </w:rPr>
      </w:pPr>
      <w:permStart w:id="0" w:edGrp="everyone"/>
      <w:r w:rsidRPr="004208DA">
        <w:rPr>
          <w:rFonts w:ascii="Times New Roman" w:hAnsi="Times New Roman" w:cs="Times New Roman"/>
          <w:sz w:val="28"/>
          <w:szCs w:val="28"/>
        </w:rPr>
        <w:t xml:space="preserve">Додаток </w:t>
      </w:r>
    </w:p>
    <w:p w:rsidR="005306E2" w:rsidRPr="004208DA" w:rsidP="003B2A39" w14:paraId="0F4033A6" w14:textId="2B8A1739">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ЗАТВЕРДЖЕНО</w:t>
      </w:r>
    </w:p>
    <w:p w:rsidR="007C582E" w:rsidP="003B2A39" w14:paraId="6E2C2E53" w14:textId="6B420B6D">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 xml:space="preserve">Броварської міської ради </w:t>
      </w:r>
    </w:p>
    <w:p w:rsidR="004208DA" w:rsidRPr="004208DA" w:rsidP="003B2A39" w14:paraId="2D63D81C" w14:textId="18BEE38C">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B2A39" w14:paraId="6A667878" w14:textId="6BA9AE63">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F5186E" w:rsidP="00F5186E" w14:paraId="7CE2718C" w14:textId="77777777">
      <w:pPr>
        <w:spacing w:after="0" w:line="240" w:lineRule="auto"/>
        <w:jc w:val="center"/>
        <w:rPr>
          <w:rFonts w:ascii="Times New Roman" w:eastAsia="Calibri" w:hAnsi="Times New Roman" w:cs="Times New Roman"/>
          <w:b/>
          <w:bCs/>
          <w:sz w:val="28"/>
          <w:szCs w:val="28"/>
          <w:lang w:eastAsia="en-US"/>
        </w:rPr>
      </w:pPr>
      <w:r w:rsidRPr="00F5186E">
        <w:rPr>
          <w:rFonts w:ascii="Times New Roman" w:eastAsia="Calibri" w:hAnsi="Times New Roman" w:cs="Times New Roman"/>
          <w:b/>
          <w:bCs/>
          <w:sz w:val="28"/>
          <w:szCs w:val="28"/>
          <w:lang w:eastAsia="en-US"/>
        </w:rPr>
        <w:t xml:space="preserve">СЕРЕДНЬОСТРОКОВИЙ ПЛАН </w:t>
      </w:r>
    </w:p>
    <w:p w:rsidR="00F5186E" w:rsidRPr="00F5186E" w:rsidP="00F5186E" w14:paraId="21B99262" w14:textId="52DCD4F4">
      <w:pPr>
        <w:spacing w:after="0" w:line="240" w:lineRule="auto"/>
        <w:jc w:val="center"/>
        <w:rPr>
          <w:rFonts w:ascii="Times New Roman" w:eastAsia="Calibri" w:hAnsi="Times New Roman" w:cs="Times New Roman"/>
          <w:b/>
          <w:bCs/>
          <w:sz w:val="28"/>
          <w:szCs w:val="28"/>
          <w:lang w:eastAsia="en-US"/>
        </w:rPr>
      </w:pPr>
      <w:r w:rsidRPr="00F5186E">
        <w:rPr>
          <w:rFonts w:ascii="Times New Roman" w:eastAsia="Calibri" w:hAnsi="Times New Roman" w:cs="Times New Roman"/>
          <w:b/>
          <w:bCs/>
          <w:sz w:val="28"/>
          <w:szCs w:val="28"/>
          <w:lang w:eastAsia="en-US"/>
        </w:rPr>
        <w:t>ПРІОРИТЕТНИХ ПУБЛІЧНИХ ІНВЕСТИЦІЙ</w:t>
      </w:r>
    </w:p>
    <w:p w:rsidR="00F5186E" w:rsidP="00F5186E" w14:paraId="0D3A100B" w14:textId="77777777">
      <w:pPr>
        <w:spacing w:after="0" w:line="240" w:lineRule="auto"/>
        <w:jc w:val="center"/>
        <w:rPr>
          <w:rFonts w:ascii="Times New Roman" w:eastAsia="Calibri" w:hAnsi="Times New Roman" w:cs="Times New Roman"/>
          <w:b/>
          <w:bCs/>
          <w:sz w:val="28"/>
          <w:szCs w:val="28"/>
          <w:lang w:eastAsia="en-US"/>
        </w:rPr>
      </w:pPr>
      <w:r w:rsidRPr="00F5186E">
        <w:rPr>
          <w:rFonts w:ascii="Times New Roman" w:eastAsia="Calibri" w:hAnsi="Times New Roman" w:cs="Times New Roman"/>
          <w:b/>
          <w:bCs/>
          <w:sz w:val="28"/>
          <w:szCs w:val="28"/>
          <w:lang w:eastAsia="en-US"/>
        </w:rPr>
        <w:t xml:space="preserve">БРОВАРСЬКОЇ МІСЬКОЇ ТЕРИТОРІАЛЬНОЇ ГРОМАДИ </w:t>
      </w:r>
    </w:p>
    <w:p w:rsidR="00F5186E" w:rsidP="00F5186E" w14:paraId="716884F3" w14:textId="2E7DCB1C">
      <w:pPr>
        <w:spacing w:after="0" w:line="240" w:lineRule="auto"/>
        <w:jc w:val="center"/>
        <w:rPr>
          <w:rFonts w:ascii="Times New Roman" w:eastAsia="Calibri" w:hAnsi="Times New Roman" w:cs="Times New Roman"/>
          <w:b/>
          <w:bCs/>
          <w:sz w:val="28"/>
          <w:szCs w:val="28"/>
          <w:lang w:eastAsia="en-US"/>
        </w:rPr>
      </w:pPr>
      <w:r w:rsidRPr="00F5186E">
        <w:rPr>
          <w:rFonts w:ascii="Times New Roman" w:eastAsia="Calibri" w:hAnsi="Times New Roman" w:cs="Times New Roman"/>
          <w:b/>
          <w:bCs/>
          <w:sz w:val="28"/>
          <w:szCs w:val="28"/>
          <w:lang w:eastAsia="en-US"/>
        </w:rPr>
        <w:t xml:space="preserve">НА 2026 - 2028 РОКИ </w:t>
      </w:r>
    </w:p>
    <w:p w:rsidR="00F5186E" w:rsidRPr="00F5186E" w:rsidP="00F5186E" w14:paraId="2AE5C8FD" w14:textId="77777777">
      <w:pPr>
        <w:spacing w:after="0" w:line="240" w:lineRule="auto"/>
        <w:jc w:val="center"/>
        <w:rPr>
          <w:rFonts w:ascii="Times New Roman" w:eastAsia="Calibri" w:hAnsi="Times New Roman" w:cs="Times New Roman"/>
          <w:b/>
          <w:bCs/>
          <w:sz w:val="28"/>
          <w:szCs w:val="28"/>
          <w:lang w:eastAsia="en-US"/>
        </w:rPr>
      </w:pPr>
    </w:p>
    <w:p w:rsidR="00F5186E" w:rsidRPr="00F5186E" w:rsidP="00F5186E" w14:paraId="51C1424E" w14:textId="77777777">
      <w:pPr>
        <w:spacing w:after="160" w:line="256" w:lineRule="auto"/>
        <w:jc w:val="center"/>
        <w:rPr>
          <w:rFonts w:ascii="Times New Roman" w:eastAsia="Calibri" w:hAnsi="Times New Roman" w:cs="Times New Roman"/>
          <w:b/>
          <w:iCs/>
          <w:sz w:val="28"/>
          <w:szCs w:val="28"/>
          <w:lang w:eastAsia="en-US"/>
        </w:rPr>
      </w:pPr>
      <w:r w:rsidRPr="00F5186E">
        <w:rPr>
          <w:rFonts w:ascii="Times New Roman" w:eastAsia="Calibri" w:hAnsi="Times New Roman" w:cs="Times New Roman"/>
          <w:b/>
          <w:iCs/>
          <w:sz w:val="28"/>
          <w:szCs w:val="28"/>
          <w:lang w:eastAsia="en-US"/>
        </w:rPr>
        <w:t xml:space="preserve">Загальна частина </w:t>
      </w:r>
    </w:p>
    <w:p w:rsidR="00F5186E" w:rsidRPr="00F5186E" w:rsidP="00F5186E" w14:paraId="7E19970E" w14:textId="77777777">
      <w:pPr>
        <w:spacing w:after="160" w:line="256" w:lineRule="auto"/>
        <w:ind w:firstLine="567"/>
        <w:jc w:val="both"/>
        <w:rPr>
          <w:rFonts w:ascii="Times New Roman" w:eastAsia="Calibri" w:hAnsi="Times New Roman" w:cs="Times New Roman"/>
          <w:sz w:val="28"/>
          <w:szCs w:val="28"/>
          <w:lang w:eastAsia="en-US"/>
        </w:rPr>
      </w:pPr>
      <w:r w:rsidRPr="00F5186E">
        <w:rPr>
          <w:rFonts w:ascii="Times New Roman" w:eastAsia="Calibri" w:hAnsi="Times New Roman" w:cs="Times New Roman"/>
          <w:sz w:val="28"/>
          <w:szCs w:val="28"/>
          <w:lang w:eastAsia="en-US"/>
        </w:rPr>
        <w:t xml:space="preserve">Середньостроковий план пріоритетних публічних інвестицій (далі - Середньостроковий план) розроблено відповідно до абзацу другого частини третьої статті </w:t>
      </w:r>
      <m:oMath>
        <m:sSup>
          <m:sSupPr>
            <m:ctrlPr>
              <w:rPr>
                <w:rFonts w:ascii="Cambria Math" w:eastAsia="Calibri" w:hAnsi="Cambria Math" w:cs="Times New Roman"/>
                <w:i/>
                <w:sz w:val="28"/>
                <w:szCs w:val="28"/>
                <w:lang w:eastAsia="en-US"/>
              </w:rPr>
            </m:ctrlPr>
          </m:sSupPr>
          <m:e>
            <m:r>
              <w:rPr>
                <w:rFonts w:ascii="Cambria Math" w:eastAsia="Calibri" w:hAnsi="Cambria Math" w:cs="Times New Roman"/>
                <w:sz w:val="28"/>
                <w:szCs w:val="28"/>
                <w:lang w:eastAsia="en-US"/>
              </w:rPr>
              <m:t>33</m:t>
            </m:r>
          </m:e>
          <m:sup>
            <m:r>
              <w:rPr>
                <w:rFonts w:ascii="Cambria Math" w:eastAsia="Calibri" w:hAnsi="Cambria Math" w:cs="Times New Roman"/>
                <w:sz w:val="28"/>
                <w:szCs w:val="28"/>
                <w:lang w:eastAsia="en-US"/>
              </w:rPr>
              <m:t>1</m:t>
            </m:r>
          </m:sup>
        </m:sSup>
      </m:oMath>
      <w:r w:rsidRPr="00F5186E">
        <w:rPr>
          <w:rFonts w:ascii="Times New Roman" w:eastAsia="Calibri" w:hAnsi="Times New Roman" w:cs="Times New Roman"/>
          <w:sz w:val="28"/>
          <w:szCs w:val="28"/>
          <w:lang w:eastAsia="en-US"/>
        </w:rPr>
        <w:t xml:space="preserve"> Бюджетного кодексу України та Порядку розроблення та моніторингу реалізації середньострокового плану пріоритетних публічних інвестицій держави, затвердженого постановою Кабінету Міністрів України від 28 лютого 2025 року № 294. </w:t>
      </w:r>
    </w:p>
    <w:p w:rsidR="00F5186E" w:rsidRPr="00F5186E" w:rsidP="00F5186E" w14:paraId="36C4E36E" w14:textId="77777777">
      <w:pPr>
        <w:spacing w:after="160" w:line="256" w:lineRule="auto"/>
        <w:ind w:firstLine="567"/>
        <w:jc w:val="both"/>
        <w:rPr>
          <w:rFonts w:ascii="Times New Roman" w:eastAsia="Calibri" w:hAnsi="Times New Roman" w:cs="Times New Roman"/>
          <w:sz w:val="28"/>
          <w:szCs w:val="28"/>
          <w:lang w:eastAsia="en-US"/>
        </w:rPr>
      </w:pPr>
      <w:r w:rsidRPr="00F5186E">
        <w:rPr>
          <w:rFonts w:ascii="Times New Roman" w:eastAsia="Calibri" w:hAnsi="Times New Roman" w:cs="Times New Roman"/>
          <w:sz w:val="28"/>
          <w:szCs w:val="28"/>
          <w:lang w:eastAsia="en-US"/>
        </w:rPr>
        <w:t xml:space="preserve">Середньостроковий план формує основу для побудови ефективної та дієвої системи управління публічними інвестиціями, що забезпечує оптимізацію використання бюджетних ресурсів, підвищення прозорості у використанні публічних коштів та інтеграцію публічних інвестицій у загальний процес стратегічного планування, а також дозволяє зосередити ресурси на найбільш важливих для громади публічних інвестиційних проектах (далі - проект) та програмах публічних інвестицій (далі - програма). </w:t>
      </w:r>
    </w:p>
    <w:p w:rsidR="00F5186E" w:rsidRPr="00F5186E" w:rsidP="00F5186E" w14:paraId="3A55C9CE" w14:textId="77777777">
      <w:pPr>
        <w:spacing w:after="160" w:line="256" w:lineRule="auto"/>
        <w:ind w:firstLine="567"/>
        <w:jc w:val="both"/>
        <w:rPr>
          <w:rFonts w:ascii="Times New Roman" w:eastAsia="Calibri" w:hAnsi="Times New Roman" w:cs="Times New Roman"/>
          <w:sz w:val="28"/>
          <w:szCs w:val="28"/>
          <w:lang w:eastAsia="en-US"/>
        </w:rPr>
      </w:pPr>
      <w:r w:rsidRPr="00F5186E">
        <w:rPr>
          <w:rFonts w:ascii="Times New Roman" w:eastAsia="Calibri" w:hAnsi="Times New Roman" w:cs="Times New Roman"/>
          <w:sz w:val="28"/>
          <w:szCs w:val="28"/>
          <w:lang w:eastAsia="en-US"/>
        </w:rPr>
        <w:t xml:space="preserve">Середньостроковий план визначає: </w:t>
      </w:r>
    </w:p>
    <w:p w:rsidR="00F5186E" w:rsidRPr="00F5186E" w:rsidP="00F5186E" w14:paraId="082BAB52" w14:textId="77777777">
      <w:pPr>
        <w:numPr>
          <w:ilvl w:val="0"/>
          <w:numId w:val="1"/>
        </w:numPr>
        <w:spacing w:after="160" w:line="256" w:lineRule="auto"/>
        <w:contextualSpacing/>
        <w:jc w:val="both"/>
        <w:rPr>
          <w:rFonts w:ascii="Times New Roman" w:eastAsia="Calibri" w:hAnsi="Times New Roman" w:cs="Times New Roman"/>
          <w:sz w:val="28"/>
          <w:szCs w:val="28"/>
          <w:lang w:eastAsia="en-US"/>
        </w:rPr>
      </w:pPr>
      <w:r w:rsidRPr="00F5186E">
        <w:rPr>
          <w:rFonts w:ascii="Times New Roman" w:eastAsia="Calibri" w:hAnsi="Times New Roman" w:cs="Times New Roman"/>
          <w:sz w:val="28"/>
          <w:szCs w:val="28"/>
          <w:lang w:eastAsia="en-US"/>
        </w:rPr>
        <w:t xml:space="preserve">здійснення публічних інвестицій відповідно до стратегічних цілей розвитку Броварської міської територіальної громади до 2027 року; </w:t>
      </w:r>
    </w:p>
    <w:p w:rsidR="00F5186E" w:rsidRPr="00F5186E" w:rsidP="00F5186E" w14:paraId="0E582735" w14:textId="77777777">
      <w:pPr>
        <w:numPr>
          <w:ilvl w:val="0"/>
          <w:numId w:val="1"/>
        </w:numPr>
        <w:spacing w:after="160" w:line="256" w:lineRule="auto"/>
        <w:contextualSpacing/>
        <w:jc w:val="both"/>
        <w:rPr>
          <w:rFonts w:ascii="Times New Roman" w:eastAsia="Calibri" w:hAnsi="Times New Roman" w:cs="Times New Roman"/>
          <w:sz w:val="28"/>
          <w:szCs w:val="28"/>
          <w:lang w:eastAsia="en-US"/>
        </w:rPr>
      </w:pPr>
      <w:r w:rsidRPr="00F5186E">
        <w:rPr>
          <w:rFonts w:ascii="Times New Roman" w:eastAsia="Calibri" w:hAnsi="Times New Roman" w:cs="Times New Roman"/>
          <w:sz w:val="28"/>
          <w:szCs w:val="28"/>
          <w:lang w:eastAsia="en-US"/>
        </w:rPr>
        <w:t>пріоритетні галузі (сектори) для публічного інвестування;</w:t>
      </w:r>
    </w:p>
    <w:p w:rsidR="00F5186E" w:rsidRPr="00F5186E" w:rsidP="00F5186E" w14:paraId="66E4DB7E" w14:textId="77777777">
      <w:pPr>
        <w:numPr>
          <w:ilvl w:val="0"/>
          <w:numId w:val="1"/>
        </w:numPr>
        <w:spacing w:after="160" w:line="256" w:lineRule="auto"/>
        <w:contextualSpacing/>
        <w:jc w:val="both"/>
        <w:rPr>
          <w:rFonts w:ascii="Times New Roman" w:eastAsia="Calibri" w:hAnsi="Times New Roman" w:cs="Times New Roman"/>
          <w:sz w:val="28"/>
          <w:szCs w:val="28"/>
          <w:lang w:eastAsia="en-US"/>
        </w:rPr>
      </w:pPr>
      <w:r w:rsidRPr="00F5186E">
        <w:rPr>
          <w:rFonts w:ascii="Times New Roman" w:eastAsia="Calibri" w:hAnsi="Times New Roman" w:cs="Times New Roman"/>
          <w:sz w:val="28"/>
          <w:szCs w:val="28"/>
          <w:lang w:eastAsia="en-US"/>
        </w:rPr>
        <w:t>основні напрями публічного інвестування, у тому числі: за діючими проектами та програмами, відповідний орієнтовний розподіл коштів за рахунок різних джерел фінансування;</w:t>
      </w:r>
    </w:p>
    <w:p w:rsidR="00F5186E" w:rsidRPr="00F5186E" w:rsidP="00F5186E" w14:paraId="74C5564C" w14:textId="77777777">
      <w:pPr>
        <w:numPr>
          <w:ilvl w:val="0"/>
          <w:numId w:val="1"/>
        </w:numPr>
        <w:spacing w:after="160" w:line="256" w:lineRule="auto"/>
        <w:contextualSpacing/>
        <w:jc w:val="both"/>
        <w:rPr>
          <w:rFonts w:ascii="Times New Roman" w:eastAsia="Calibri" w:hAnsi="Times New Roman" w:cs="Times New Roman"/>
          <w:sz w:val="28"/>
          <w:szCs w:val="28"/>
          <w:lang w:eastAsia="en-US"/>
        </w:rPr>
      </w:pPr>
      <w:r w:rsidRPr="00F5186E">
        <w:rPr>
          <w:rFonts w:ascii="Times New Roman" w:eastAsia="Calibri" w:hAnsi="Times New Roman" w:cs="Times New Roman"/>
          <w:sz w:val="28"/>
          <w:szCs w:val="28"/>
          <w:lang w:eastAsia="en-US"/>
        </w:rPr>
        <w:t>підсектори</w:t>
      </w:r>
      <w:r w:rsidRPr="00F5186E">
        <w:rPr>
          <w:rFonts w:ascii="Times New Roman" w:eastAsia="Calibri" w:hAnsi="Times New Roman" w:cs="Times New Roman"/>
          <w:sz w:val="28"/>
          <w:szCs w:val="28"/>
          <w:lang w:eastAsia="en-US"/>
        </w:rPr>
        <w:t xml:space="preserve"> галузей (секторів) для публічного інвестування. </w:t>
      </w:r>
    </w:p>
    <w:p w:rsidR="00F5186E" w:rsidP="00F5186E" w14:paraId="39BE4E99" w14:textId="77777777">
      <w:pPr>
        <w:spacing w:after="160" w:line="256" w:lineRule="auto"/>
        <w:ind w:firstLine="567"/>
        <w:jc w:val="both"/>
        <w:rPr>
          <w:rFonts w:ascii="Times New Roman" w:eastAsia="Calibri" w:hAnsi="Times New Roman" w:cs="Times New Roman"/>
          <w:sz w:val="28"/>
          <w:szCs w:val="28"/>
          <w:lang w:eastAsia="en-US"/>
        </w:rPr>
      </w:pPr>
    </w:p>
    <w:p w:rsidR="00F5186E" w:rsidRPr="005306E2" w:rsidP="005306E2" w14:paraId="7FDE8B57" w14:textId="4F10AB98">
      <w:pPr>
        <w:spacing w:after="160" w:line="256" w:lineRule="auto"/>
        <w:ind w:firstLine="567"/>
        <w:jc w:val="both"/>
        <w:rPr>
          <w:rFonts w:ascii="Times New Roman" w:eastAsia="Calibri" w:hAnsi="Times New Roman" w:cs="Times New Roman"/>
          <w:sz w:val="28"/>
          <w:szCs w:val="28"/>
          <w:lang w:eastAsia="en-US"/>
        </w:rPr>
      </w:pPr>
      <w:r w:rsidRPr="00F5186E">
        <w:rPr>
          <w:rFonts w:ascii="Times New Roman" w:eastAsia="Calibri" w:hAnsi="Times New Roman" w:cs="Times New Roman"/>
          <w:sz w:val="28"/>
          <w:szCs w:val="28"/>
          <w:lang w:eastAsia="en-US"/>
        </w:rPr>
        <w:t xml:space="preserve">Сфера дії Середньострокового плану включає публічні інвестиції, що спрямовані на реалізацію проектів та програм. </w:t>
      </w:r>
    </w:p>
    <w:p w:rsidR="00F5186E" w:rsidRPr="00F5186E" w:rsidP="00F5186E" w14:paraId="1BDD923D" w14:textId="42F659C4">
      <w:pPr>
        <w:spacing w:after="160" w:line="256" w:lineRule="auto"/>
        <w:ind w:left="360"/>
        <w:jc w:val="center"/>
        <w:rPr>
          <w:rFonts w:ascii="Times New Roman" w:eastAsia="Calibri" w:hAnsi="Times New Roman" w:cs="Times New Roman"/>
          <w:b/>
          <w:iCs/>
          <w:sz w:val="28"/>
          <w:szCs w:val="28"/>
          <w:lang w:eastAsia="en-US"/>
        </w:rPr>
      </w:pPr>
      <w:r w:rsidRPr="00F5186E">
        <w:rPr>
          <w:rFonts w:ascii="Times New Roman" w:eastAsia="Calibri" w:hAnsi="Times New Roman" w:cs="Times New Roman"/>
          <w:b/>
          <w:iCs/>
          <w:sz w:val="28"/>
          <w:szCs w:val="28"/>
          <w:lang w:eastAsia="en-US"/>
        </w:rPr>
        <w:t>Описова частина</w:t>
      </w:r>
    </w:p>
    <w:p w:rsidR="00F5186E" w:rsidRPr="00F5186E" w:rsidP="00F5186E" w14:paraId="136CBA2A" w14:textId="60C790ED">
      <w:pPr>
        <w:spacing w:after="160" w:line="256" w:lineRule="auto"/>
        <w:ind w:firstLine="567"/>
        <w:jc w:val="both"/>
        <w:rPr>
          <w:rFonts w:ascii="Times New Roman" w:eastAsia="Calibri" w:hAnsi="Times New Roman" w:cs="Times New Roman"/>
          <w:sz w:val="28"/>
          <w:szCs w:val="28"/>
          <w:lang w:eastAsia="en-US"/>
        </w:rPr>
      </w:pPr>
      <w:r w:rsidRPr="00F5186E">
        <w:rPr>
          <w:rFonts w:ascii="Times New Roman" w:eastAsia="Calibri" w:hAnsi="Times New Roman" w:cs="Times New Roman"/>
          <w:sz w:val="28"/>
          <w:szCs w:val="28"/>
          <w:lang w:eastAsia="en-US"/>
        </w:rPr>
        <w:t xml:space="preserve">Середньостроковий план розроблено управлінням економіки та інвестицій Броварської міської ради Броварського району Київської області на підставі пропозицій розпорядників коштів відповідно до цілей і завдань, визначених Стратегією розвитку Броварської міської територіальної громади до 2027 року, яка затверджена рішенням Броварської міської ради Броварського району Київської області від 31.07.2025 № 2203-96-08, у межах орієнтовного граничного сукупного обсягу публічних інвестицій на середньостроковий період, доведеного фінансовим управлінням Броварської міської ради Броварського району Київської області. </w:t>
      </w:r>
    </w:p>
    <w:p w:rsidR="00F5186E" w:rsidRPr="00F5186E" w:rsidP="00F5186E" w14:paraId="4D2EA869" w14:textId="77777777">
      <w:pPr>
        <w:spacing w:after="160" w:line="256" w:lineRule="auto"/>
        <w:ind w:left="360"/>
        <w:jc w:val="center"/>
        <w:rPr>
          <w:rFonts w:ascii="Times New Roman" w:eastAsia="Calibri" w:hAnsi="Times New Roman" w:cs="Times New Roman"/>
          <w:i/>
          <w:sz w:val="28"/>
          <w:szCs w:val="28"/>
          <w:lang w:eastAsia="en-US"/>
        </w:rPr>
      </w:pPr>
      <w:r w:rsidRPr="00F5186E">
        <w:rPr>
          <w:rFonts w:ascii="Times New Roman" w:eastAsia="Calibri" w:hAnsi="Times New Roman" w:cs="Times New Roman"/>
          <w:i/>
          <w:sz w:val="28"/>
          <w:szCs w:val="28"/>
          <w:lang w:eastAsia="en-US"/>
        </w:rPr>
        <w:t>Стратегічні цілі здійснення публічних інвестицій</w:t>
      </w:r>
    </w:p>
    <w:p w:rsidR="00F5186E" w:rsidRPr="00F5186E" w:rsidP="00F5186E" w14:paraId="11FFA51B" w14:textId="70C945B8">
      <w:pPr>
        <w:spacing w:after="160" w:line="256" w:lineRule="auto"/>
        <w:ind w:firstLine="567"/>
        <w:jc w:val="both"/>
        <w:rPr>
          <w:rFonts w:ascii="Times New Roman" w:eastAsia="Calibri" w:hAnsi="Times New Roman" w:cs="Times New Roman"/>
          <w:sz w:val="28"/>
          <w:szCs w:val="28"/>
          <w:lang w:eastAsia="en-US"/>
        </w:rPr>
      </w:pPr>
      <w:r w:rsidRPr="00F5186E">
        <w:rPr>
          <w:rFonts w:ascii="Times New Roman" w:eastAsia="Calibri" w:hAnsi="Times New Roman" w:cs="Times New Roman"/>
          <w:sz w:val="28"/>
          <w:szCs w:val="28"/>
          <w:lang w:eastAsia="en-US"/>
        </w:rPr>
        <w:t>Стратегічними цілями здійснення публічних інвестицій (далі - стратегічні цілі) є цілі, що мають міжгалузевий</w:t>
      </w:r>
      <w:r>
        <w:rPr>
          <w:rFonts w:ascii="Times New Roman" w:eastAsia="Calibri" w:hAnsi="Times New Roman" w:cs="Times New Roman"/>
          <w:sz w:val="28"/>
          <w:szCs w:val="28"/>
          <w:lang w:eastAsia="en-US"/>
        </w:rPr>
        <w:t xml:space="preserve"> </w:t>
      </w:r>
      <w:r w:rsidRPr="00F5186E">
        <w:rPr>
          <w:rFonts w:ascii="Times New Roman" w:eastAsia="Calibri" w:hAnsi="Times New Roman" w:cs="Times New Roman"/>
          <w:sz w:val="28"/>
          <w:szCs w:val="28"/>
          <w:lang w:eastAsia="en-US"/>
        </w:rPr>
        <w:t>(</w:t>
      </w:r>
      <w:r w:rsidRPr="00F5186E">
        <w:rPr>
          <w:rFonts w:ascii="Times New Roman" w:eastAsia="Calibri" w:hAnsi="Times New Roman" w:cs="Times New Roman"/>
          <w:sz w:val="28"/>
          <w:szCs w:val="28"/>
          <w:lang w:eastAsia="en-US"/>
        </w:rPr>
        <w:t>міжсекторальний</w:t>
      </w:r>
      <w:r w:rsidRPr="00F5186E">
        <w:rPr>
          <w:rFonts w:ascii="Times New Roman" w:eastAsia="Calibri" w:hAnsi="Times New Roman" w:cs="Times New Roman"/>
          <w:sz w:val="28"/>
          <w:szCs w:val="28"/>
          <w:lang w:eastAsia="en-US"/>
        </w:rPr>
        <w:t xml:space="preserve">) характер та відповідають пріоритетам розвитку громади. </w:t>
      </w:r>
    </w:p>
    <w:p w:rsidR="00F5186E" w:rsidRPr="00F5186E" w:rsidP="00F5186E" w14:paraId="176DB1F0" w14:textId="77777777">
      <w:pPr>
        <w:spacing w:after="160" w:line="256" w:lineRule="auto"/>
        <w:ind w:firstLine="567"/>
        <w:jc w:val="both"/>
        <w:rPr>
          <w:rFonts w:ascii="Times New Roman" w:eastAsia="Calibri" w:hAnsi="Times New Roman" w:cs="Times New Roman"/>
          <w:sz w:val="28"/>
          <w:szCs w:val="28"/>
          <w:lang w:eastAsia="en-US"/>
        </w:rPr>
      </w:pPr>
      <w:r w:rsidRPr="00F5186E">
        <w:rPr>
          <w:rFonts w:ascii="Times New Roman" w:eastAsia="Calibri" w:hAnsi="Times New Roman" w:cs="Times New Roman"/>
          <w:sz w:val="28"/>
          <w:szCs w:val="28"/>
          <w:lang w:eastAsia="en-US"/>
        </w:rPr>
        <w:t xml:space="preserve">Стратегічними цілями у 2026 – 2028 роках є відновлення та розвиток людського потенціалу, створення безпечних та комфортних умов для життя мешканців громади, наближення до європейських стандартів та підвищення конкурентоспроможності економіки громади. </w:t>
      </w:r>
    </w:p>
    <w:p w:rsidR="00F5186E" w:rsidRPr="00F5186E" w:rsidP="00F5186E" w14:paraId="664FEF58" w14:textId="77777777">
      <w:pPr>
        <w:spacing w:after="160" w:line="256" w:lineRule="auto"/>
        <w:ind w:firstLine="567"/>
        <w:jc w:val="both"/>
        <w:rPr>
          <w:rFonts w:ascii="Times New Roman" w:eastAsia="Calibri" w:hAnsi="Times New Roman" w:cs="Times New Roman"/>
          <w:sz w:val="28"/>
          <w:szCs w:val="28"/>
          <w:lang w:eastAsia="en-US"/>
        </w:rPr>
      </w:pPr>
      <w:r w:rsidRPr="00F5186E">
        <w:rPr>
          <w:rFonts w:ascii="Times New Roman" w:eastAsia="Calibri" w:hAnsi="Times New Roman" w:cs="Times New Roman"/>
          <w:sz w:val="28"/>
          <w:szCs w:val="28"/>
          <w:lang w:eastAsia="en-US"/>
        </w:rPr>
        <w:t xml:space="preserve">Стратегічні цілі мають ключове значення для досягнення сталого розвитку громади. Їх реалізація передбачає раціональне використання енергоресурсів, впровадження енергоефективних технологій, адаптацію інфраструктури до нових викликів та захисту навколишнього природного середовища, врахування принципів рівності, </w:t>
      </w:r>
      <w:r w:rsidRPr="00F5186E">
        <w:rPr>
          <w:rFonts w:ascii="Times New Roman" w:eastAsia="Calibri" w:hAnsi="Times New Roman" w:cs="Times New Roman"/>
          <w:sz w:val="28"/>
          <w:szCs w:val="28"/>
          <w:lang w:eastAsia="en-US"/>
        </w:rPr>
        <w:t>безбар’єрності</w:t>
      </w:r>
      <w:r w:rsidRPr="00F5186E">
        <w:rPr>
          <w:rFonts w:ascii="Times New Roman" w:eastAsia="Calibri" w:hAnsi="Times New Roman" w:cs="Times New Roman"/>
          <w:sz w:val="28"/>
          <w:szCs w:val="28"/>
          <w:lang w:eastAsia="en-US"/>
        </w:rPr>
        <w:t xml:space="preserve">, доступності для всіх категорій населення, включаючи осіб з інвалідністю, осіб з різними функціональними порушеннями, а також людей похилого віку, незалежно від їх статі та соціального статусу. </w:t>
      </w:r>
    </w:p>
    <w:p w:rsidR="00F5186E" w:rsidRPr="00F5186E" w:rsidP="00F5186E" w14:paraId="239DF4C9" w14:textId="77777777">
      <w:pPr>
        <w:spacing w:after="160" w:line="256" w:lineRule="auto"/>
        <w:jc w:val="center"/>
        <w:rPr>
          <w:rFonts w:ascii="Times New Roman" w:eastAsia="Calibri" w:hAnsi="Times New Roman" w:cs="Times New Roman"/>
          <w:i/>
          <w:iCs/>
          <w:sz w:val="28"/>
          <w:szCs w:val="28"/>
          <w:lang w:eastAsia="en-US"/>
        </w:rPr>
      </w:pPr>
      <w:r w:rsidRPr="00F5186E">
        <w:rPr>
          <w:rFonts w:ascii="Times New Roman" w:eastAsia="Calibri" w:hAnsi="Times New Roman" w:cs="Times New Roman"/>
          <w:i/>
          <w:iCs/>
          <w:sz w:val="28"/>
          <w:szCs w:val="28"/>
          <w:lang w:eastAsia="en-US"/>
        </w:rPr>
        <w:t xml:space="preserve">Пріоритетні галузі (сектори) для публічного інвестування </w:t>
      </w:r>
    </w:p>
    <w:p w:rsidR="00F5186E" w:rsidRPr="00F5186E" w:rsidP="00F5186E" w14:paraId="7DC4997C" w14:textId="3F8C0604">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 xml:space="preserve">Пріоритетні галузі (сектори) для публічного інвестування, що містяться в </w:t>
      </w:r>
      <w:r w:rsidR="00CC66FB">
        <w:rPr>
          <w:rFonts w:ascii="Times New Roman" w:eastAsia="Calibri" w:hAnsi="Times New Roman" w:cs="Times New Roman"/>
          <w:iCs/>
          <w:sz w:val="28"/>
          <w:szCs w:val="28"/>
          <w:lang w:eastAsia="en-US"/>
        </w:rPr>
        <w:t>С</w:t>
      </w:r>
      <w:bookmarkStart w:id="1" w:name="_GoBack"/>
      <w:bookmarkEnd w:id="1"/>
      <w:r w:rsidRPr="00F5186E">
        <w:rPr>
          <w:rFonts w:ascii="Times New Roman" w:eastAsia="Calibri" w:hAnsi="Times New Roman" w:cs="Times New Roman"/>
          <w:iCs/>
          <w:sz w:val="28"/>
          <w:szCs w:val="28"/>
          <w:lang w:eastAsia="en-US"/>
        </w:rPr>
        <w:t xml:space="preserve">ередньостроковому плані є ключовими для Броварської міської територіальної громади, які спрямовуються на середньостроковий період. </w:t>
      </w:r>
    </w:p>
    <w:p w:rsidR="00F5186E" w:rsidRPr="00F5186E" w:rsidP="00F5186E" w14:paraId="7A411B69" w14:textId="77777777">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 xml:space="preserve">Пріоритетні галузі (сектори) для публічного інвестування визначені з урахуванням потреб, пріоритетів та спроможності громади відповідно до  вимог Бюджетного кодексу України щодо спрямування не менше 70 відсотків обсягу публічних інвестицій на продовження (завершення) реалізації розпочатих проектів та програм. </w:t>
      </w:r>
    </w:p>
    <w:p w:rsidR="00F5186E" w:rsidRPr="00F5186E" w:rsidP="00F5186E" w14:paraId="2EC5849B" w14:textId="77777777">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 xml:space="preserve">До пріоритетних галузей (секторів) для публічного інвестування, визначених цим планом, відносяться: </w:t>
      </w:r>
    </w:p>
    <w:p w:rsidR="00F5186E" w:rsidRPr="00F5186E" w:rsidP="00F5186E" w14:paraId="6A7CF2B7" w14:textId="217C2746">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Муніципальна інфраструктура та послуги (Управління будівництва, житлово-комунального господарства</w:t>
      </w:r>
      <w:r w:rsidR="00D52A6A">
        <w:rPr>
          <w:rFonts w:ascii="Times New Roman" w:eastAsia="Calibri" w:hAnsi="Times New Roman" w:cs="Times New Roman"/>
          <w:iCs/>
          <w:sz w:val="28"/>
          <w:szCs w:val="28"/>
          <w:lang w:eastAsia="en-US"/>
        </w:rPr>
        <w:t>,</w:t>
      </w:r>
      <w:r w:rsidRPr="00F5186E">
        <w:rPr>
          <w:rFonts w:ascii="Times New Roman" w:eastAsia="Calibri" w:hAnsi="Times New Roman" w:cs="Times New Roman"/>
          <w:iCs/>
          <w:sz w:val="28"/>
          <w:szCs w:val="28"/>
          <w:lang w:eastAsia="en-US"/>
        </w:rPr>
        <w:t xml:space="preserve"> інфраструктури та транспорту Броварської міської ради Броварського району Київської області; Управління освіти і науки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w:t>
      </w:r>
      <w:r w:rsidRPr="00F5186E">
        <w:rPr>
          <w:rFonts w:ascii="Times New Roman" w:eastAsia="Calibri" w:hAnsi="Times New Roman" w:cs="Times New Roman"/>
          <w:iCs/>
          <w:sz w:val="28"/>
          <w:szCs w:val="28"/>
          <w:lang w:eastAsia="en-US"/>
        </w:rPr>
        <w:t>Броваритепловодоенергія</w:t>
      </w:r>
      <w:r w:rsidRPr="00F5186E">
        <w:rPr>
          <w:rFonts w:ascii="Times New Roman" w:eastAsia="Calibri" w:hAnsi="Times New Roman" w:cs="Times New Roman"/>
          <w:iCs/>
          <w:sz w:val="28"/>
          <w:szCs w:val="28"/>
          <w:lang w:eastAsia="en-US"/>
        </w:rPr>
        <w:t>»; Спеціалізоване комунальне підприємство Броварської міської ради Броварського району Київської області «Броварська ритуальна служба»; Відділ охорони здоров’я Броварської міської ради Броварського району Київської області; КНП «Броварська багатопрофільна клінічна лікарня» територіальних громад Броварського району Київської області;</w:t>
      </w:r>
      <w:r w:rsidRPr="00F5186E">
        <w:rPr>
          <w:rFonts w:ascii="Times New Roman" w:eastAsia="Calibri" w:hAnsi="Times New Roman" w:cs="Times New Roman"/>
          <w:sz w:val="28"/>
          <w:szCs w:val="28"/>
          <w:lang w:eastAsia="en-US"/>
        </w:rPr>
        <w:t xml:space="preserve"> </w:t>
      </w:r>
      <w:r w:rsidRPr="00F5186E">
        <w:rPr>
          <w:rFonts w:ascii="Times New Roman" w:eastAsia="Calibri" w:hAnsi="Times New Roman" w:cs="Times New Roman"/>
          <w:iCs/>
          <w:sz w:val="28"/>
          <w:szCs w:val="28"/>
          <w:lang w:eastAsia="en-US"/>
        </w:rPr>
        <w:t>Відділ фізичної культури та спорту Броварської міської ради Броварського району Київської області; Фізкультурно-оздоровчий заклад «Плавальний басейн «Купава» Броварської міської ради Броварського району Київської області);</w:t>
      </w:r>
    </w:p>
    <w:p w:rsidR="00F5186E" w:rsidRPr="00F5186E" w:rsidP="00F5186E" w14:paraId="56785076" w14:textId="32FB7F33">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Житло (Управління будівництва, житлово-комунального господарства</w:t>
      </w:r>
      <w:r w:rsidR="00D52A6A">
        <w:rPr>
          <w:rFonts w:ascii="Times New Roman" w:eastAsia="Calibri" w:hAnsi="Times New Roman" w:cs="Times New Roman"/>
          <w:iCs/>
          <w:sz w:val="28"/>
          <w:szCs w:val="28"/>
          <w:lang w:eastAsia="en-US"/>
        </w:rPr>
        <w:t>,</w:t>
      </w:r>
      <w:r w:rsidRPr="00F5186E">
        <w:rPr>
          <w:rFonts w:ascii="Times New Roman" w:eastAsia="Calibri" w:hAnsi="Times New Roman" w:cs="Times New Roman"/>
          <w:iCs/>
          <w:sz w:val="28"/>
          <w:szCs w:val="28"/>
          <w:lang w:eastAsia="en-US"/>
        </w:rPr>
        <w:t xml:space="preserve"> інфраструктури та транспорту Броварської міської ради Броварського району Київської області);</w:t>
      </w:r>
    </w:p>
    <w:p w:rsidR="00F5186E" w:rsidRPr="00F5186E" w:rsidP="00F5186E" w14:paraId="60B3B3FA" w14:textId="754B880A">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Транспорт (Управління будівництва, житлово-комунального господарства</w:t>
      </w:r>
      <w:r w:rsidR="00D52A6A">
        <w:rPr>
          <w:rFonts w:ascii="Times New Roman" w:eastAsia="Calibri" w:hAnsi="Times New Roman" w:cs="Times New Roman"/>
          <w:iCs/>
          <w:sz w:val="28"/>
          <w:szCs w:val="28"/>
          <w:lang w:eastAsia="en-US"/>
        </w:rPr>
        <w:t>,</w:t>
      </w:r>
      <w:r w:rsidRPr="00F5186E">
        <w:rPr>
          <w:rFonts w:ascii="Times New Roman" w:eastAsia="Calibri" w:hAnsi="Times New Roman" w:cs="Times New Roman"/>
          <w:iCs/>
          <w:sz w:val="28"/>
          <w:szCs w:val="28"/>
          <w:lang w:eastAsia="en-US"/>
        </w:rPr>
        <w:t xml:space="preserve"> інфраструктури та транспорту Броварської міської ради Броварського району Київської області);</w:t>
      </w:r>
    </w:p>
    <w:p w:rsidR="00F5186E" w:rsidRPr="00F5186E" w:rsidP="00F5186E" w14:paraId="690C7A59" w14:textId="6DAED088">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Освіта і наука (Управління освіти і науки Броварської міської ради Броварського району Київської області; Управління будівництва, житлово-комунального господарства</w:t>
      </w:r>
      <w:r w:rsidR="00D52A6A">
        <w:rPr>
          <w:rFonts w:ascii="Times New Roman" w:eastAsia="Calibri" w:hAnsi="Times New Roman" w:cs="Times New Roman"/>
          <w:iCs/>
          <w:sz w:val="28"/>
          <w:szCs w:val="28"/>
          <w:lang w:eastAsia="en-US"/>
        </w:rPr>
        <w:t>,</w:t>
      </w:r>
      <w:r w:rsidRPr="00F5186E">
        <w:rPr>
          <w:rFonts w:ascii="Times New Roman" w:eastAsia="Calibri" w:hAnsi="Times New Roman" w:cs="Times New Roman"/>
          <w:iCs/>
          <w:sz w:val="28"/>
          <w:szCs w:val="28"/>
          <w:lang w:eastAsia="en-US"/>
        </w:rPr>
        <w:t xml:space="preserve"> інфраструктури та транспорту Броварської міської ради Броварського району Київської області);</w:t>
      </w:r>
    </w:p>
    <w:p w:rsidR="00F5186E" w:rsidRPr="00F5186E" w:rsidP="00F5186E" w14:paraId="1EBEA431" w14:textId="6682D6A2">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Охорона здоров’я (Відділ охорони здоров’я Броварської міської ради, Управління будівництва, житлово-комунального господарства</w:t>
      </w:r>
      <w:r w:rsidR="00D52A6A">
        <w:rPr>
          <w:rFonts w:ascii="Times New Roman" w:eastAsia="Calibri" w:hAnsi="Times New Roman" w:cs="Times New Roman"/>
          <w:iCs/>
          <w:sz w:val="28"/>
          <w:szCs w:val="28"/>
          <w:lang w:eastAsia="en-US"/>
        </w:rPr>
        <w:t>,</w:t>
      </w:r>
      <w:r w:rsidRPr="00F5186E">
        <w:rPr>
          <w:rFonts w:ascii="Times New Roman" w:eastAsia="Calibri" w:hAnsi="Times New Roman" w:cs="Times New Roman"/>
          <w:iCs/>
          <w:sz w:val="28"/>
          <w:szCs w:val="28"/>
          <w:lang w:eastAsia="en-US"/>
        </w:rPr>
        <w:t xml:space="preserve"> інфраструктури та транспорту Броварської міської ради Броварського району Київської області; КНП «Броварська багатопрофільна клінічна лікарня» територіальних громад Броварського району Київської області);</w:t>
      </w:r>
    </w:p>
    <w:p w:rsidR="00F5186E" w:rsidRPr="00F5186E" w:rsidP="00F5186E" w14:paraId="12ADA8F2" w14:textId="4470EDFA">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Культура (Управління будівництва, житлово-комунального господарства</w:t>
      </w:r>
      <w:r w:rsidR="00D52A6A">
        <w:rPr>
          <w:rFonts w:ascii="Times New Roman" w:eastAsia="Calibri" w:hAnsi="Times New Roman" w:cs="Times New Roman"/>
          <w:iCs/>
          <w:sz w:val="28"/>
          <w:szCs w:val="28"/>
          <w:lang w:eastAsia="en-US"/>
        </w:rPr>
        <w:t>,</w:t>
      </w:r>
      <w:r w:rsidRPr="00F5186E">
        <w:rPr>
          <w:rFonts w:ascii="Times New Roman" w:eastAsia="Calibri" w:hAnsi="Times New Roman" w:cs="Times New Roman"/>
          <w:iCs/>
          <w:sz w:val="28"/>
          <w:szCs w:val="28"/>
          <w:lang w:eastAsia="en-US"/>
        </w:rPr>
        <w:t xml:space="preserve"> інфраструктури та транспорту Броварської міської ради Броварського району Київської області);</w:t>
      </w:r>
    </w:p>
    <w:p w:rsidR="00F5186E" w:rsidRPr="00F5186E" w:rsidP="00F5186E" w14:paraId="2B3707C9" w14:textId="3B666397">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Спорт та фізичне виховання (Відділ фізичної культури та спорту Броварської міської ради, Управління будівництва, житлово-комунального господарства</w:t>
      </w:r>
      <w:r w:rsidR="00D52A6A">
        <w:rPr>
          <w:rFonts w:ascii="Times New Roman" w:eastAsia="Calibri" w:hAnsi="Times New Roman" w:cs="Times New Roman"/>
          <w:iCs/>
          <w:sz w:val="28"/>
          <w:szCs w:val="28"/>
          <w:lang w:eastAsia="en-US"/>
        </w:rPr>
        <w:t>,</w:t>
      </w:r>
      <w:r w:rsidRPr="00F5186E">
        <w:rPr>
          <w:rFonts w:ascii="Times New Roman" w:eastAsia="Calibri" w:hAnsi="Times New Roman" w:cs="Times New Roman"/>
          <w:iCs/>
          <w:sz w:val="28"/>
          <w:szCs w:val="28"/>
          <w:lang w:eastAsia="en-US"/>
        </w:rPr>
        <w:t xml:space="preserve"> інфраструктури та транспорту Броварської міської ради Броварського району Київської області; Фізкультурно-оздоровчий заклад «Плавальний басейн «Купава» Броварської міської ради Броварського району Київської області);</w:t>
      </w:r>
    </w:p>
    <w:p w:rsidR="00F5186E" w:rsidRPr="00F5186E" w:rsidP="00F5186E" w14:paraId="79326283" w14:textId="6207748A">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Соціальна сфера (Управління будівництва, житлово-комунального господарства</w:t>
      </w:r>
      <w:r w:rsidR="00D52A6A">
        <w:rPr>
          <w:rFonts w:ascii="Times New Roman" w:eastAsia="Calibri" w:hAnsi="Times New Roman" w:cs="Times New Roman"/>
          <w:iCs/>
          <w:sz w:val="28"/>
          <w:szCs w:val="28"/>
          <w:lang w:eastAsia="en-US"/>
        </w:rPr>
        <w:t>,</w:t>
      </w:r>
      <w:r w:rsidRPr="00F5186E">
        <w:rPr>
          <w:rFonts w:ascii="Times New Roman" w:eastAsia="Calibri" w:hAnsi="Times New Roman" w:cs="Times New Roman"/>
          <w:iCs/>
          <w:sz w:val="28"/>
          <w:szCs w:val="28"/>
          <w:lang w:eastAsia="en-US"/>
        </w:rPr>
        <w:t xml:space="preserve"> інфраструктури та транспорту Броварської міської ради Броварського району Київської області).</w:t>
      </w:r>
    </w:p>
    <w:p w:rsidR="00F5186E" w:rsidRPr="00F5186E" w:rsidP="00F5186E" w14:paraId="1CFA3A25" w14:textId="4DEE9CFB">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 xml:space="preserve">З метою досягнення стратегічних цілей розвитку Броварської міської територіальної громади та забезпечення реалізації завдань, спрямованих на відновлення інфраструктури, стимулювання соціально-економічного розвитку і покращення якості життя громадян протягом 2026-2028 років </w:t>
      </w:r>
      <w:r w:rsidR="00D52A6A">
        <w:rPr>
          <w:rFonts w:ascii="Times New Roman" w:eastAsia="Calibri" w:hAnsi="Times New Roman" w:cs="Times New Roman"/>
          <w:iCs/>
          <w:sz w:val="28"/>
          <w:szCs w:val="28"/>
          <w:lang w:eastAsia="en-US"/>
        </w:rPr>
        <w:t>С</w:t>
      </w:r>
      <w:r w:rsidRPr="00F5186E">
        <w:rPr>
          <w:rFonts w:ascii="Times New Roman" w:eastAsia="Calibri" w:hAnsi="Times New Roman" w:cs="Times New Roman"/>
          <w:iCs/>
          <w:sz w:val="28"/>
          <w:szCs w:val="28"/>
          <w:lang w:eastAsia="en-US"/>
        </w:rPr>
        <w:t xml:space="preserve">ередньостроковим планом пропонується визначити 8 ключових секторів (галузей) для публічного інвестування. </w:t>
      </w:r>
    </w:p>
    <w:p w:rsidR="00F5186E" w:rsidRPr="00F5186E" w:rsidP="00F5186E" w14:paraId="46956F57" w14:textId="77777777">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 xml:space="preserve">Сектор (галузь) </w:t>
      </w:r>
      <w:r w:rsidRPr="00F5186E">
        <w:rPr>
          <w:rFonts w:ascii="Times New Roman" w:eastAsia="Calibri" w:hAnsi="Times New Roman" w:cs="Times New Roman"/>
          <w:b/>
          <w:iCs/>
          <w:sz w:val="28"/>
          <w:szCs w:val="28"/>
          <w:lang w:eastAsia="en-US"/>
        </w:rPr>
        <w:t>«Муніципальна інфраструктура та послуги»</w:t>
      </w:r>
      <w:r w:rsidRPr="00F5186E">
        <w:rPr>
          <w:rFonts w:ascii="Times New Roman" w:eastAsia="Calibri" w:hAnsi="Times New Roman" w:cs="Times New Roman"/>
          <w:iCs/>
          <w:sz w:val="28"/>
          <w:szCs w:val="28"/>
          <w:lang w:eastAsia="en-US"/>
        </w:rPr>
        <w:t xml:space="preserve"> спрямований на модернізацію систем водопостачання і водовідведення на території Броварської міської територіальної громади, підвищення енергоефективності в громадських будівлях, розбудову та відновлення муніципальної інфраструктури та побудову (модернізацію) захисних споруд об’єктів інфраструктури. </w:t>
      </w:r>
    </w:p>
    <w:p w:rsidR="00F5186E" w:rsidRPr="00F5186E" w:rsidP="00F5186E" w14:paraId="6DDD2489" w14:textId="1C2F6BC9">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 xml:space="preserve">Сектор (галузь) </w:t>
      </w:r>
      <w:r w:rsidRPr="00F5186E">
        <w:rPr>
          <w:rFonts w:ascii="Times New Roman" w:eastAsia="Calibri" w:hAnsi="Times New Roman" w:cs="Times New Roman"/>
          <w:b/>
          <w:iCs/>
          <w:sz w:val="28"/>
          <w:szCs w:val="28"/>
          <w:lang w:eastAsia="en-US"/>
        </w:rPr>
        <w:t xml:space="preserve">«Житло» </w:t>
      </w:r>
      <w:r w:rsidRPr="00F5186E">
        <w:rPr>
          <w:rFonts w:ascii="Times New Roman" w:eastAsia="Calibri" w:hAnsi="Times New Roman" w:cs="Times New Roman"/>
          <w:iCs/>
          <w:sz w:val="28"/>
          <w:szCs w:val="28"/>
          <w:lang w:eastAsia="en-US"/>
        </w:rPr>
        <w:t>спрямований на відновлення житла в громаді, прийняття житлових рішень (капітальний ремон</w:t>
      </w:r>
      <w:r w:rsidR="00D52A6A">
        <w:rPr>
          <w:rFonts w:ascii="Times New Roman" w:eastAsia="Calibri" w:hAnsi="Times New Roman" w:cs="Times New Roman"/>
          <w:iCs/>
          <w:sz w:val="28"/>
          <w:szCs w:val="28"/>
          <w:lang w:eastAsia="en-US"/>
        </w:rPr>
        <w:t>т</w:t>
      </w:r>
      <w:r w:rsidRPr="00F5186E">
        <w:rPr>
          <w:rFonts w:ascii="Times New Roman" w:eastAsia="Calibri" w:hAnsi="Times New Roman" w:cs="Times New Roman"/>
          <w:iCs/>
          <w:sz w:val="28"/>
          <w:szCs w:val="28"/>
          <w:lang w:eastAsia="en-US"/>
        </w:rPr>
        <w:t xml:space="preserve"> ліфтів, елементів житлового фонду) та енергоефективних рішень для житлових будівель. </w:t>
      </w:r>
    </w:p>
    <w:p w:rsidR="00F5186E" w:rsidRPr="00F5186E" w:rsidP="00F5186E" w14:paraId="57CF83FE" w14:textId="77777777">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 xml:space="preserve">Сектор (галузь) </w:t>
      </w:r>
      <w:r w:rsidRPr="00F5186E">
        <w:rPr>
          <w:rFonts w:ascii="Times New Roman" w:eastAsia="Calibri" w:hAnsi="Times New Roman" w:cs="Times New Roman"/>
          <w:b/>
          <w:iCs/>
          <w:sz w:val="28"/>
          <w:szCs w:val="28"/>
          <w:lang w:eastAsia="en-US"/>
        </w:rPr>
        <w:t>«Транспорт»</w:t>
      </w:r>
      <w:r w:rsidRPr="00F5186E">
        <w:rPr>
          <w:rFonts w:ascii="Times New Roman" w:eastAsia="Calibri" w:hAnsi="Times New Roman" w:cs="Times New Roman"/>
          <w:iCs/>
          <w:sz w:val="28"/>
          <w:szCs w:val="28"/>
          <w:lang w:eastAsia="en-US"/>
        </w:rPr>
        <w:t xml:space="preserve"> спрямований на капітальний ремонт доріг, вулиць, будівництво провулків, ремонт </w:t>
      </w:r>
      <w:r w:rsidRPr="00F5186E">
        <w:rPr>
          <w:rFonts w:ascii="Times New Roman" w:eastAsia="Calibri" w:hAnsi="Times New Roman" w:cs="Times New Roman"/>
          <w:iCs/>
          <w:sz w:val="28"/>
          <w:szCs w:val="28"/>
          <w:lang w:eastAsia="en-US"/>
        </w:rPr>
        <w:t>внутрішньоквартальних</w:t>
      </w:r>
      <w:r w:rsidRPr="00F5186E">
        <w:rPr>
          <w:rFonts w:ascii="Times New Roman" w:eastAsia="Calibri" w:hAnsi="Times New Roman" w:cs="Times New Roman"/>
          <w:iCs/>
          <w:sz w:val="28"/>
          <w:szCs w:val="28"/>
          <w:lang w:eastAsia="en-US"/>
        </w:rPr>
        <w:t xml:space="preserve">, </w:t>
      </w:r>
      <w:r w:rsidRPr="00F5186E">
        <w:rPr>
          <w:rFonts w:ascii="Times New Roman" w:eastAsia="Calibri" w:hAnsi="Times New Roman" w:cs="Times New Roman"/>
          <w:iCs/>
          <w:sz w:val="28"/>
          <w:szCs w:val="28"/>
          <w:lang w:eastAsia="en-US"/>
        </w:rPr>
        <w:t>міжбудинкових</w:t>
      </w:r>
      <w:r w:rsidRPr="00F5186E">
        <w:rPr>
          <w:rFonts w:ascii="Times New Roman" w:eastAsia="Calibri" w:hAnsi="Times New Roman" w:cs="Times New Roman"/>
          <w:iCs/>
          <w:sz w:val="28"/>
          <w:szCs w:val="28"/>
          <w:lang w:eastAsia="en-US"/>
        </w:rPr>
        <w:t xml:space="preserve"> проїздів та тротуарів, придбання та оновлення громадського транспорту. </w:t>
      </w:r>
    </w:p>
    <w:p w:rsidR="00F5186E" w:rsidRPr="00F5186E" w:rsidP="00F5186E" w14:paraId="4F079A96" w14:textId="77777777">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 xml:space="preserve">Сектор (галузь) </w:t>
      </w:r>
      <w:r w:rsidRPr="00F5186E">
        <w:rPr>
          <w:rFonts w:ascii="Times New Roman" w:eastAsia="Calibri" w:hAnsi="Times New Roman" w:cs="Times New Roman"/>
          <w:b/>
          <w:iCs/>
          <w:sz w:val="28"/>
          <w:szCs w:val="28"/>
          <w:lang w:eastAsia="en-US"/>
        </w:rPr>
        <w:t xml:space="preserve">«Освіта і наука» </w:t>
      </w:r>
      <w:r w:rsidRPr="00F5186E">
        <w:rPr>
          <w:rFonts w:ascii="Times New Roman" w:eastAsia="Calibri" w:hAnsi="Times New Roman" w:cs="Times New Roman"/>
          <w:iCs/>
          <w:sz w:val="28"/>
          <w:szCs w:val="28"/>
          <w:lang w:eastAsia="en-US"/>
        </w:rPr>
        <w:t xml:space="preserve">спрямований на модернізацію закладів освіти, покращення їх інфраструктури, забезпечення якості, безпеки та доступності освіти, розбудову місцевої дослідницької інфраструктури для провадження наукової діяльності. </w:t>
      </w:r>
    </w:p>
    <w:p w:rsidR="00F5186E" w:rsidRPr="00F5186E" w:rsidP="00F5186E" w14:paraId="71C25B3C" w14:textId="77777777">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 xml:space="preserve">Сектор (галузь) </w:t>
      </w:r>
      <w:r w:rsidRPr="00F5186E">
        <w:rPr>
          <w:rFonts w:ascii="Times New Roman" w:eastAsia="Calibri" w:hAnsi="Times New Roman" w:cs="Times New Roman"/>
          <w:b/>
          <w:iCs/>
          <w:sz w:val="28"/>
          <w:szCs w:val="28"/>
          <w:lang w:eastAsia="en-US"/>
        </w:rPr>
        <w:t>«Охорона здоров’я»</w:t>
      </w:r>
      <w:r w:rsidRPr="00F5186E">
        <w:rPr>
          <w:rFonts w:ascii="Times New Roman" w:eastAsia="Calibri" w:hAnsi="Times New Roman" w:cs="Times New Roman"/>
          <w:iCs/>
          <w:sz w:val="28"/>
          <w:szCs w:val="28"/>
          <w:lang w:eastAsia="en-US"/>
        </w:rPr>
        <w:t xml:space="preserve"> спрямований на модернізацію та розвиток медичних закладів, покращення доступу до медичних послуг та оснащення закладів охорони здоров’я сучасним медичним обладнанням. </w:t>
      </w:r>
    </w:p>
    <w:p w:rsidR="00F5186E" w:rsidRPr="00F5186E" w:rsidP="00F5186E" w14:paraId="4832F878" w14:textId="77777777">
      <w:pPr>
        <w:spacing w:after="160" w:line="256" w:lineRule="auto"/>
        <w:ind w:firstLine="567"/>
        <w:jc w:val="both"/>
        <w:rPr>
          <w:rFonts w:ascii="Times New Roman" w:eastAsia="Times New Roman" w:hAnsi="Times New Roman" w:cs="Times New Roman"/>
          <w:iCs/>
          <w:sz w:val="28"/>
          <w:szCs w:val="28"/>
          <w:lang w:eastAsia="en-US"/>
        </w:rPr>
      </w:pPr>
      <w:r w:rsidRPr="00F5186E">
        <w:rPr>
          <w:rFonts w:ascii="Times New Roman" w:eastAsia="Times New Roman" w:hAnsi="Times New Roman" w:cs="Times New Roman"/>
          <w:iCs/>
          <w:sz w:val="28"/>
          <w:szCs w:val="28"/>
          <w:lang w:eastAsia="en-US"/>
        </w:rPr>
        <w:t xml:space="preserve">Сектор (галузь) </w:t>
      </w:r>
      <w:r w:rsidRPr="00F5186E">
        <w:rPr>
          <w:rFonts w:ascii="Times New Roman" w:eastAsia="Times New Roman" w:hAnsi="Times New Roman" w:cs="Times New Roman"/>
          <w:b/>
          <w:iCs/>
          <w:sz w:val="28"/>
          <w:szCs w:val="28"/>
          <w:lang w:eastAsia="en-US"/>
        </w:rPr>
        <w:t>«</w:t>
      </w:r>
      <w:r w:rsidRPr="00F5186E">
        <w:rPr>
          <w:rFonts w:ascii="Times New Roman" w:eastAsia="Times New Roman" w:hAnsi="Times New Roman" w:cs="Times New Roman"/>
          <w:b/>
          <w:sz w:val="28"/>
          <w:szCs w:val="28"/>
          <w:lang w:val="ru-RU" w:eastAsia="en-US"/>
        </w:rPr>
        <w:t>Культура»</w:t>
      </w:r>
      <w:r w:rsidRPr="00F5186E">
        <w:rPr>
          <w:rFonts w:ascii="Times New Roman" w:eastAsia="Times New Roman" w:hAnsi="Times New Roman" w:cs="Times New Roman"/>
          <w:iCs/>
          <w:sz w:val="28"/>
          <w:szCs w:val="28"/>
          <w:lang w:eastAsia="en-US"/>
        </w:rPr>
        <w:t xml:space="preserve"> спрямований на модернізацію закладів культури, забезпечення доступності населення громади до культурного розвитку.</w:t>
      </w:r>
    </w:p>
    <w:p w:rsidR="00F5186E" w:rsidRPr="00F5186E" w:rsidP="00F5186E" w14:paraId="6672EE2E" w14:textId="77777777">
      <w:pPr>
        <w:spacing w:after="160" w:line="256" w:lineRule="auto"/>
        <w:ind w:firstLine="567"/>
        <w:jc w:val="both"/>
        <w:rPr>
          <w:rFonts w:ascii="Times New Roman" w:eastAsia="Times New Roman" w:hAnsi="Times New Roman" w:cs="Times New Roman"/>
          <w:iCs/>
          <w:color w:val="000000"/>
          <w:sz w:val="28"/>
          <w:szCs w:val="28"/>
          <w:lang w:eastAsia="en-US"/>
        </w:rPr>
      </w:pPr>
      <w:r w:rsidRPr="00F5186E">
        <w:rPr>
          <w:rFonts w:ascii="Times New Roman" w:eastAsia="Calibri" w:hAnsi="Times New Roman" w:cs="Times New Roman"/>
          <w:iCs/>
          <w:sz w:val="28"/>
          <w:szCs w:val="28"/>
          <w:lang w:eastAsia="en-US"/>
        </w:rPr>
        <w:t xml:space="preserve">Сектор (галузь) </w:t>
      </w:r>
      <w:r w:rsidRPr="00F5186E">
        <w:rPr>
          <w:rFonts w:ascii="Times New Roman" w:eastAsia="Calibri" w:hAnsi="Times New Roman" w:cs="Times New Roman"/>
          <w:b/>
          <w:iCs/>
          <w:sz w:val="28"/>
          <w:szCs w:val="28"/>
          <w:lang w:eastAsia="en-US"/>
        </w:rPr>
        <w:t>«</w:t>
      </w:r>
      <w:r w:rsidRPr="00F5186E">
        <w:rPr>
          <w:rFonts w:ascii="Times New Roman" w:eastAsia="Times New Roman" w:hAnsi="Times New Roman" w:cs="Times New Roman"/>
          <w:b/>
          <w:color w:val="000000"/>
          <w:sz w:val="28"/>
          <w:szCs w:val="28"/>
          <w:lang w:eastAsia="en-US"/>
        </w:rPr>
        <w:t>Спорт та фізичне виховання»</w:t>
      </w:r>
      <w:r w:rsidRPr="00F5186E">
        <w:rPr>
          <w:rFonts w:ascii="Times New Roman" w:eastAsia="Calibri" w:hAnsi="Times New Roman" w:cs="Times New Roman"/>
          <w:iCs/>
          <w:sz w:val="28"/>
          <w:szCs w:val="28"/>
          <w:lang w:eastAsia="en-US"/>
        </w:rPr>
        <w:t xml:space="preserve"> </w:t>
      </w:r>
      <w:r w:rsidRPr="00F5186E">
        <w:rPr>
          <w:rFonts w:ascii="Times New Roman" w:eastAsia="Times New Roman" w:hAnsi="Times New Roman" w:cs="Times New Roman"/>
          <w:iCs/>
          <w:color w:val="000000"/>
          <w:sz w:val="28"/>
          <w:szCs w:val="28"/>
          <w:lang w:eastAsia="en-US"/>
        </w:rPr>
        <w:t xml:space="preserve">спрямований на модернізацію спортивних закладів, забезпечення належних умов, безпеки та </w:t>
      </w:r>
      <w:r w:rsidRPr="00F5186E">
        <w:rPr>
          <w:rFonts w:ascii="Times New Roman" w:eastAsia="Times New Roman" w:hAnsi="Times New Roman" w:cs="Times New Roman"/>
          <w:iCs/>
          <w:color w:val="000000"/>
          <w:sz w:val="28"/>
          <w:szCs w:val="28"/>
          <w:lang w:eastAsia="en-US"/>
        </w:rPr>
        <w:t>безбар</w:t>
      </w:r>
      <w:r w:rsidRPr="00F5186E">
        <w:rPr>
          <w:rFonts w:ascii="Times New Roman" w:eastAsia="Times New Roman" w:hAnsi="Times New Roman" w:cs="Times New Roman"/>
          <w:iCs/>
          <w:color w:val="000000"/>
          <w:sz w:val="28"/>
          <w:szCs w:val="28"/>
          <w:lang w:val="ru-RU" w:eastAsia="en-US"/>
        </w:rPr>
        <w:t>`</w:t>
      </w:r>
      <w:r w:rsidRPr="00F5186E">
        <w:rPr>
          <w:rFonts w:ascii="Times New Roman" w:eastAsia="Times New Roman" w:hAnsi="Times New Roman" w:cs="Times New Roman"/>
          <w:iCs/>
          <w:color w:val="000000"/>
          <w:sz w:val="28"/>
          <w:szCs w:val="28"/>
          <w:lang w:eastAsia="en-US"/>
        </w:rPr>
        <w:t>єрного</w:t>
      </w:r>
      <w:r w:rsidRPr="00F5186E">
        <w:rPr>
          <w:rFonts w:ascii="Times New Roman" w:eastAsia="Times New Roman" w:hAnsi="Times New Roman" w:cs="Times New Roman"/>
          <w:iCs/>
          <w:color w:val="000000"/>
          <w:sz w:val="28"/>
          <w:szCs w:val="28"/>
          <w:lang w:eastAsia="en-US"/>
        </w:rPr>
        <w:t xml:space="preserve"> доступу всіх категорій населення до занять спортом та фізичним вихованням. </w:t>
      </w:r>
    </w:p>
    <w:p w:rsidR="00F5186E" w:rsidRPr="00F5186E" w:rsidP="00F5186E" w14:paraId="62284BB3" w14:textId="77777777">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 xml:space="preserve">Сектор (галузь) </w:t>
      </w:r>
      <w:r w:rsidRPr="00F5186E">
        <w:rPr>
          <w:rFonts w:ascii="Times New Roman" w:eastAsia="Calibri" w:hAnsi="Times New Roman" w:cs="Times New Roman"/>
          <w:b/>
          <w:iCs/>
          <w:sz w:val="28"/>
          <w:szCs w:val="28"/>
          <w:lang w:eastAsia="en-US"/>
        </w:rPr>
        <w:t>«Соціальна сфера»</w:t>
      </w:r>
      <w:r w:rsidRPr="00F5186E">
        <w:rPr>
          <w:rFonts w:ascii="Times New Roman" w:eastAsia="Calibri" w:hAnsi="Times New Roman" w:cs="Times New Roman"/>
          <w:iCs/>
          <w:sz w:val="28"/>
          <w:szCs w:val="28"/>
          <w:lang w:eastAsia="en-US"/>
        </w:rPr>
        <w:t xml:space="preserve"> спрямований на розбудову та модернізацію закладів соціального напрямку, створення умов реабілітації осіб з інвалідністю. </w:t>
      </w:r>
    </w:p>
    <w:p w:rsidR="00F5186E" w:rsidRPr="00F5186E" w:rsidP="00F5186E" w14:paraId="3EED0EEF" w14:textId="77777777">
      <w:pPr>
        <w:spacing w:after="160" w:line="256" w:lineRule="auto"/>
        <w:jc w:val="center"/>
        <w:rPr>
          <w:rFonts w:ascii="Times New Roman" w:eastAsia="Calibri" w:hAnsi="Times New Roman" w:cs="Times New Roman"/>
          <w:i/>
          <w:iCs/>
          <w:sz w:val="28"/>
          <w:szCs w:val="28"/>
          <w:lang w:eastAsia="en-US"/>
        </w:rPr>
      </w:pPr>
      <w:r w:rsidRPr="00F5186E">
        <w:rPr>
          <w:rFonts w:ascii="Times New Roman" w:eastAsia="Calibri" w:hAnsi="Times New Roman" w:cs="Times New Roman"/>
          <w:i/>
          <w:iCs/>
          <w:sz w:val="28"/>
          <w:szCs w:val="28"/>
          <w:lang w:eastAsia="en-US"/>
        </w:rPr>
        <w:t>Підсектори</w:t>
      </w:r>
      <w:r w:rsidRPr="00F5186E">
        <w:rPr>
          <w:rFonts w:ascii="Times New Roman" w:eastAsia="Calibri" w:hAnsi="Times New Roman" w:cs="Times New Roman"/>
          <w:i/>
          <w:iCs/>
          <w:sz w:val="28"/>
          <w:szCs w:val="28"/>
          <w:lang w:eastAsia="en-US"/>
        </w:rPr>
        <w:t xml:space="preserve"> галузей (секторів) для публічного інвестування</w:t>
      </w:r>
    </w:p>
    <w:p w:rsidR="00F5186E" w:rsidRPr="00F5186E" w:rsidP="00F5186E" w14:paraId="2762B8CC" w14:textId="77777777">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Підсектори</w:t>
      </w:r>
      <w:r w:rsidRPr="00F5186E">
        <w:rPr>
          <w:rFonts w:ascii="Times New Roman" w:eastAsia="Calibri" w:hAnsi="Times New Roman" w:cs="Times New Roman"/>
          <w:iCs/>
          <w:sz w:val="28"/>
          <w:szCs w:val="28"/>
          <w:lang w:eastAsia="en-US"/>
        </w:rPr>
        <w:t xml:space="preserve"> галузей (секторів) для публічного інвестування визначають конкретні сфери діяльності, що потребують фінансування, що дозволяє деталізувати пріоритети та оптимізувати використання місцевих коштів. </w:t>
      </w:r>
    </w:p>
    <w:p w:rsidR="00F5186E" w:rsidRPr="00F5186E" w:rsidP="00F5186E" w14:paraId="11583903" w14:textId="77777777">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 xml:space="preserve">У межах кожної пріоритетної галузі (сектора) для публічного інвестування формуються </w:t>
      </w:r>
      <w:r w:rsidRPr="00F5186E">
        <w:rPr>
          <w:rFonts w:ascii="Times New Roman" w:eastAsia="Calibri" w:hAnsi="Times New Roman" w:cs="Times New Roman"/>
          <w:iCs/>
          <w:sz w:val="28"/>
          <w:szCs w:val="28"/>
          <w:lang w:eastAsia="en-US"/>
        </w:rPr>
        <w:t>підсектори</w:t>
      </w:r>
      <w:r w:rsidRPr="00F5186E">
        <w:rPr>
          <w:rFonts w:ascii="Times New Roman" w:eastAsia="Calibri" w:hAnsi="Times New Roman" w:cs="Times New Roman"/>
          <w:iCs/>
          <w:sz w:val="28"/>
          <w:szCs w:val="28"/>
          <w:lang w:eastAsia="en-US"/>
        </w:rPr>
        <w:t xml:space="preserve">, що відображають ключові напрями розвитку, які потребують залучення публічних інвестицій. </w:t>
      </w:r>
    </w:p>
    <w:p w:rsidR="00F5186E" w:rsidRPr="00F5186E" w:rsidP="00F5186E" w14:paraId="2B70E9A2" w14:textId="7484A578">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 xml:space="preserve">Перелік </w:t>
      </w:r>
      <w:r w:rsidRPr="00F5186E">
        <w:rPr>
          <w:rFonts w:ascii="Times New Roman" w:eastAsia="Calibri" w:hAnsi="Times New Roman" w:cs="Times New Roman"/>
          <w:iCs/>
          <w:sz w:val="28"/>
          <w:szCs w:val="28"/>
          <w:lang w:eastAsia="en-US"/>
        </w:rPr>
        <w:t>підсекторів</w:t>
      </w:r>
      <w:r w:rsidRPr="00F5186E">
        <w:rPr>
          <w:rFonts w:ascii="Times New Roman" w:eastAsia="Calibri" w:hAnsi="Times New Roman" w:cs="Times New Roman"/>
          <w:iCs/>
          <w:sz w:val="28"/>
          <w:szCs w:val="28"/>
          <w:lang w:eastAsia="en-US"/>
        </w:rPr>
        <w:t xml:space="preserve"> галузей (секторів) для публічного інвестування визначено відповідно до напрямків Стратегії розвитку Броварської міської територіальної громади до 2027 року, що зазначені у Додатку до Середньострокового плану. </w:t>
      </w:r>
    </w:p>
    <w:p w:rsidR="00F5186E" w:rsidRPr="00F5186E" w:rsidP="00F5186E" w14:paraId="25BFA9BF" w14:textId="77777777">
      <w:pPr>
        <w:spacing w:after="160" w:line="256" w:lineRule="auto"/>
        <w:ind w:firstLine="567"/>
        <w:jc w:val="center"/>
        <w:rPr>
          <w:rFonts w:ascii="Times New Roman" w:eastAsia="Calibri" w:hAnsi="Times New Roman" w:cs="Times New Roman"/>
          <w:i/>
          <w:iCs/>
          <w:sz w:val="28"/>
          <w:szCs w:val="28"/>
          <w:lang w:eastAsia="en-US"/>
        </w:rPr>
      </w:pPr>
      <w:r w:rsidRPr="00F5186E">
        <w:rPr>
          <w:rFonts w:ascii="Times New Roman" w:eastAsia="Calibri" w:hAnsi="Times New Roman" w:cs="Times New Roman"/>
          <w:i/>
          <w:iCs/>
          <w:sz w:val="28"/>
          <w:szCs w:val="28"/>
          <w:lang w:eastAsia="en-US"/>
        </w:rPr>
        <w:t>Основні напрями публічного інвестування</w:t>
      </w:r>
    </w:p>
    <w:p w:rsidR="00F5186E" w:rsidRPr="00F5186E" w:rsidP="00F5186E" w14:paraId="44DFC4B6" w14:textId="77777777">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 xml:space="preserve">Основні напрями публічного інвестування узгоджуються із оперативними цілями Стратегії розвитку Броварської міської територіальної громади до                  2027 року та мають найвищий рівень пріоритетності серед інших напрямів відповідної галузі (сектора) для отримання фінансування. </w:t>
      </w:r>
    </w:p>
    <w:p w:rsidR="00F5186E" w:rsidRPr="00F5186E" w:rsidP="00F5186E" w14:paraId="578A64C7" w14:textId="77777777">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Формування основних напрямів публічного інвестування здійснюється управлінням економіки та інвестицій виконавчого комітету Броварської міської ради Броварського району Київської області на основі пропозицій управлінь, відділів, комунальних підприємств, закладів громади, відповідальних за галузі (сектори) для публічного інвестування, з урахуванням завдань, визначених Стратегією розвитку Броварської міської територіальної громади до 2027 року.</w:t>
      </w:r>
    </w:p>
    <w:p w:rsidR="005306E2" w:rsidP="005306E2" w14:paraId="5E439182" w14:textId="56217C5F">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 xml:space="preserve">Управління, відділи, комунальні підприємства, заклади громади, відповідальні за галузі (сектори) для публічного інвестування, надають пропозиції проектів до управління економіки та інвестицій виконавчого комітету Броварської міської ради Броварського району Київської області з метою внесення їх до Середньострокового плану пріоритетних публічних інвестицій громади на 2026 – 2028 роки. </w:t>
      </w:r>
    </w:p>
    <w:p w:rsidR="005306E2" w:rsidP="005306E2" w14:paraId="5DAD3F0C" w14:textId="5A5896D6">
      <w:pPr>
        <w:spacing w:after="160" w:line="256" w:lineRule="auto"/>
        <w:ind w:firstLine="567"/>
        <w:jc w:val="both"/>
        <w:rPr>
          <w:rFonts w:ascii="Times New Roman" w:eastAsia="Calibri" w:hAnsi="Times New Roman" w:cs="Times New Roman"/>
          <w:iCs/>
          <w:sz w:val="28"/>
          <w:szCs w:val="28"/>
          <w:lang w:eastAsia="en-US"/>
        </w:rPr>
      </w:pPr>
    </w:p>
    <w:p w:rsidR="005306E2" w:rsidP="005306E2" w14:paraId="139F63AA" w14:textId="64BF3504">
      <w:pPr>
        <w:spacing w:after="160" w:line="256" w:lineRule="auto"/>
        <w:ind w:firstLine="567"/>
        <w:jc w:val="both"/>
        <w:rPr>
          <w:rFonts w:ascii="Times New Roman" w:eastAsia="Calibri" w:hAnsi="Times New Roman" w:cs="Times New Roman"/>
          <w:iCs/>
          <w:sz w:val="28"/>
          <w:szCs w:val="28"/>
          <w:lang w:eastAsia="en-US"/>
        </w:rPr>
      </w:pPr>
    </w:p>
    <w:p w:rsidR="005306E2" w:rsidRPr="00F5186E" w:rsidP="005306E2" w14:paraId="1661C681" w14:textId="77777777">
      <w:pPr>
        <w:spacing w:after="160" w:line="256" w:lineRule="auto"/>
        <w:ind w:firstLine="567"/>
        <w:jc w:val="both"/>
        <w:rPr>
          <w:rFonts w:ascii="Times New Roman" w:eastAsia="Calibri" w:hAnsi="Times New Roman" w:cs="Times New Roman"/>
          <w:iCs/>
          <w:sz w:val="28"/>
          <w:szCs w:val="28"/>
          <w:lang w:eastAsia="en-US"/>
        </w:rPr>
      </w:pPr>
    </w:p>
    <w:p w:rsidR="00F5186E" w:rsidRPr="00F5186E" w:rsidP="005306E2" w14:paraId="39B06809" w14:textId="61E19D41">
      <w:pPr>
        <w:spacing w:after="160" w:line="256" w:lineRule="auto"/>
        <w:ind w:firstLine="567"/>
        <w:jc w:val="center"/>
        <w:rPr>
          <w:rFonts w:ascii="Times New Roman" w:eastAsia="Calibri" w:hAnsi="Times New Roman" w:cs="Times New Roman"/>
          <w:iCs/>
          <w:sz w:val="26"/>
          <w:szCs w:val="26"/>
          <w:lang w:eastAsia="en-US"/>
        </w:rPr>
      </w:pPr>
      <w:r w:rsidRPr="00F5186E">
        <w:rPr>
          <w:rFonts w:ascii="Times New Roman" w:eastAsia="Calibri" w:hAnsi="Times New Roman" w:cs="Times New Roman"/>
          <w:b/>
          <w:bCs/>
          <w:iCs/>
          <w:sz w:val="26"/>
          <w:szCs w:val="26"/>
          <w:lang w:eastAsia="en-US"/>
        </w:rPr>
        <w:t xml:space="preserve">Орієнтовний граничний сукупний обсяг публічних інвестицій на      </w:t>
      </w:r>
      <w:r w:rsidR="005306E2">
        <w:rPr>
          <w:rFonts w:ascii="Times New Roman" w:eastAsia="Calibri" w:hAnsi="Times New Roman" w:cs="Times New Roman"/>
          <w:b/>
          <w:bCs/>
          <w:iCs/>
          <w:sz w:val="26"/>
          <w:szCs w:val="26"/>
          <w:lang w:eastAsia="en-US"/>
        </w:rPr>
        <w:t xml:space="preserve">               </w:t>
      </w:r>
      <w:r w:rsidRPr="00F5186E">
        <w:rPr>
          <w:rFonts w:ascii="Times New Roman" w:eastAsia="Calibri" w:hAnsi="Times New Roman" w:cs="Times New Roman"/>
          <w:b/>
          <w:bCs/>
          <w:iCs/>
          <w:sz w:val="26"/>
          <w:szCs w:val="26"/>
          <w:lang w:eastAsia="en-US"/>
        </w:rPr>
        <w:t>2026 – 2028 роки в розрізі джерел фінансового забезпечення та за роками</w:t>
      </w:r>
    </w:p>
    <w:p w:rsidR="00F5186E" w:rsidRPr="00F5186E" w:rsidP="00F5186E" w14:paraId="3F9402D4" w14:textId="77777777">
      <w:pPr>
        <w:spacing w:after="160" w:line="256" w:lineRule="auto"/>
        <w:ind w:firstLine="567"/>
        <w:jc w:val="right"/>
        <w:rPr>
          <w:rFonts w:ascii="Times New Roman" w:eastAsia="Calibri" w:hAnsi="Times New Roman" w:cs="Times New Roman"/>
          <w:iCs/>
          <w:sz w:val="26"/>
          <w:szCs w:val="26"/>
          <w:lang w:eastAsia="en-US"/>
        </w:rPr>
      </w:pPr>
      <w:r w:rsidRPr="00F5186E">
        <w:rPr>
          <w:rFonts w:ascii="Times New Roman" w:eastAsia="Calibri" w:hAnsi="Times New Roman" w:cs="Times New Roman"/>
          <w:iCs/>
          <w:sz w:val="26"/>
          <w:szCs w:val="26"/>
          <w:lang w:eastAsia="en-US"/>
        </w:rPr>
        <w:t xml:space="preserve">Тис. грн. </w:t>
      </w:r>
    </w:p>
    <w:tbl>
      <w:tblPr>
        <w:tblStyle w:val="TableGrid"/>
        <w:tblW w:w="0" w:type="auto"/>
        <w:tblInd w:w="0" w:type="dxa"/>
        <w:tblLook w:val="04A0"/>
      </w:tblPr>
      <w:tblGrid>
        <w:gridCol w:w="2376"/>
        <w:gridCol w:w="1730"/>
        <w:gridCol w:w="1843"/>
        <w:gridCol w:w="1754"/>
        <w:gridCol w:w="1926"/>
      </w:tblGrid>
      <w:tr w14:paraId="68329DE3" w14:textId="77777777" w:rsidTr="005306E2">
        <w:tblPrEx>
          <w:tblW w:w="0" w:type="auto"/>
          <w:tblInd w:w="0" w:type="dxa"/>
          <w:tblLook w:val="04A0"/>
        </w:tblPrEx>
        <w:tc>
          <w:tcPr>
            <w:tcW w:w="2376"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2C3D4586" w14:textId="77777777">
            <w:pPr>
              <w:jc w:val="center"/>
              <w:rPr>
                <w:rFonts w:ascii="Times New Roman" w:hAnsi="Times New Roman"/>
                <w:b/>
                <w:iCs/>
                <w:sz w:val="26"/>
                <w:szCs w:val="26"/>
              </w:rPr>
            </w:pPr>
            <w:r w:rsidRPr="00F5186E">
              <w:rPr>
                <w:rFonts w:ascii="Times New Roman" w:hAnsi="Times New Roman"/>
                <w:b/>
                <w:iCs/>
                <w:sz w:val="26"/>
                <w:szCs w:val="26"/>
              </w:rPr>
              <w:t>Показник</w:t>
            </w:r>
          </w:p>
        </w:tc>
        <w:tc>
          <w:tcPr>
            <w:tcW w:w="1730"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45A0FC99" w14:textId="77777777">
            <w:pPr>
              <w:jc w:val="center"/>
              <w:rPr>
                <w:rFonts w:ascii="Times New Roman" w:hAnsi="Times New Roman"/>
                <w:b/>
                <w:iCs/>
                <w:sz w:val="26"/>
                <w:szCs w:val="26"/>
              </w:rPr>
            </w:pPr>
            <w:r w:rsidRPr="00F5186E">
              <w:rPr>
                <w:rFonts w:ascii="Times New Roman" w:hAnsi="Times New Roman"/>
                <w:b/>
                <w:iCs/>
                <w:sz w:val="26"/>
                <w:szCs w:val="26"/>
              </w:rPr>
              <w:t>2026 рік (прогноз)</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4C074808" w14:textId="77777777">
            <w:pPr>
              <w:jc w:val="center"/>
              <w:rPr>
                <w:rFonts w:ascii="Times New Roman" w:hAnsi="Times New Roman"/>
                <w:b/>
                <w:iCs/>
                <w:sz w:val="26"/>
                <w:szCs w:val="26"/>
              </w:rPr>
            </w:pPr>
            <w:r w:rsidRPr="00F5186E">
              <w:rPr>
                <w:rFonts w:ascii="Times New Roman" w:hAnsi="Times New Roman"/>
                <w:b/>
                <w:iCs/>
                <w:sz w:val="26"/>
                <w:szCs w:val="26"/>
              </w:rPr>
              <w:t>2027 рік (прогноз)</w:t>
            </w:r>
          </w:p>
        </w:tc>
        <w:tc>
          <w:tcPr>
            <w:tcW w:w="1754"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4E633B90" w14:textId="77777777">
            <w:pPr>
              <w:jc w:val="center"/>
              <w:rPr>
                <w:rFonts w:ascii="Times New Roman" w:hAnsi="Times New Roman"/>
                <w:b/>
                <w:iCs/>
                <w:sz w:val="26"/>
                <w:szCs w:val="26"/>
              </w:rPr>
            </w:pPr>
            <w:r w:rsidRPr="00F5186E">
              <w:rPr>
                <w:rFonts w:ascii="Times New Roman" w:hAnsi="Times New Roman"/>
                <w:b/>
                <w:iCs/>
                <w:sz w:val="26"/>
                <w:szCs w:val="26"/>
              </w:rPr>
              <w:t>2028 рік (прогноз)</w:t>
            </w:r>
          </w:p>
        </w:tc>
        <w:tc>
          <w:tcPr>
            <w:tcW w:w="1926"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4FF0E94A" w14:textId="77777777">
            <w:pPr>
              <w:jc w:val="center"/>
              <w:rPr>
                <w:rFonts w:ascii="Times New Roman" w:hAnsi="Times New Roman"/>
                <w:b/>
                <w:iCs/>
                <w:sz w:val="26"/>
                <w:szCs w:val="26"/>
              </w:rPr>
            </w:pPr>
            <w:r w:rsidRPr="00F5186E">
              <w:rPr>
                <w:rFonts w:ascii="Times New Roman" w:hAnsi="Times New Roman"/>
                <w:b/>
                <w:iCs/>
                <w:sz w:val="26"/>
                <w:szCs w:val="26"/>
              </w:rPr>
              <w:t>Разом 2026-2028 роки (прогноз)</w:t>
            </w:r>
          </w:p>
        </w:tc>
      </w:tr>
      <w:tr w14:paraId="0955A53A" w14:textId="77777777" w:rsidTr="005306E2">
        <w:tblPrEx>
          <w:tblW w:w="0" w:type="auto"/>
          <w:tblInd w:w="0" w:type="dxa"/>
          <w:tblLook w:val="04A0"/>
        </w:tblPrEx>
        <w:tc>
          <w:tcPr>
            <w:tcW w:w="2376"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78DFFDC7" w14:textId="77777777">
            <w:pPr>
              <w:rPr>
                <w:rFonts w:ascii="Times New Roman" w:hAnsi="Times New Roman"/>
                <w:iCs/>
                <w:sz w:val="26"/>
                <w:szCs w:val="26"/>
              </w:rPr>
            </w:pPr>
            <w:r w:rsidRPr="00F5186E">
              <w:rPr>
                <w:rFonts w:ascii="Times New Roman" w:hAnsi="Times New Roman"/>
                <w:iCs/>
                <w:sz w:val="26"/>
                <w:szCs w:val="26"/>
              </w:rPr>
              <w:t>Місцевий бюджет</w:t>
            </w:r>
          </w:p>
        </w:tc>
        <w:tc>
          <w:tcPr>
            <w:tcW w:w="1730" w:type="dxa"/>
            <w:tcBorders>
              <w:top w:val="single" w:sz="4" w:space="0" w:color="auto"/>
              <w:left w:val="single" w:sz="4" w:space="0" w:color="auto"/>
              <w:bottom w:val="single" w:sz="4" w:space="0" w:color="auto"/>
              <w:right w:val="single" w:sz="4" w:space="0" w:color="auto"/>
            </w:tcBorders>
            <w:vAlign w:val="center"/>
          </w:tcPr>
          <w:p w:rsidR="00F5186E" w:rsidRPr="00F5186E" w:rsidP="00F5186E" w14:paraId="4417C636" w14:textId="77777777">
            <w:pPr>
              <w:jc w:val="center"/>
              <w:rPr>
                <w:rFonts w:ascii="Times New Roman" w:hAnsi="Times New Roman"/>
                <w:iCs/>
                <w:sz w:val="26"/>
                <w:szCs w:val="26"/>
              </w:rPr>
            </w:pPr>
            <w:r w:rsidRPr="00F5186E">
              <w:rPr>
                <w:rFonts w:ascii="Times New Roman" w:hAnsi="Times New Roman"/>
                <w:iCs/>
                <w:sz w:val="26"/>
                <w:szCs w:val="26"/>
              </w:rPr>
              <w:t>200 000,00</w:t>
            </w:r>
          </w:p>
          <w:p w:rsidR="00F5186E" w:rsidRPr="00F5186E" w:rsidP="00F5186E" w14:paraId="5F1BD677" w14:textId="77777777">
            <w:pPr>
              <w:jc w:val="center"/>
              <w:rPr>
                <w:rFonts w:ascii="Times New Roman" w:hAnsi="Times New Roman"/>
                <w:iCs/>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tcPr>
          <w:p w:rsidR="00F5186E" w:rsidRPr="00F5186E" w:rsidP="00F5186E" w14:paraId="49FF6CB2" w14:textId="77777777">
            <w:pPr>
              <w:jc w:val="center"/>
              <w:rPr>
                <w:rFonts w:ascii="Times New Roman" w:hAnsi="Times New Roman"/>
                <w:iCs/>
                <w:sz w:val="26"/>
                <w:szCs w:val="26"/>
              </w:rPr>
            </w:pPr>
            <w:r w:rsidRPr="00F5186E">
              <w:rPr>
                <w:rFonts w:ascii="Times New Roman" w:hAnsi="Times New Roman"/>
                <w:iCs/>
                <w:sz w:val="26"/>
                <w:szCs w:val="26"/>
              </w:rPr>
              <w:t>200 000,00</w:t>
            </w:r>
          </w:p>
          <w:p w:rsidR="00F5186E" w:rsidRPr="00F5186E" w:rsidP="00F5186E" w14:paraId="66F9BDDB" w14:textId="77777777">
            <w:pPr>
              <w:jc w:val="center"/>
              <w:rPr>
                <w:rFonts w:ascii="Times New Roman" w:hAnsi="Times New Roman"/>
                <w:iCs/>
                <w:sz w:val="26"/>
                <w:szCs w:val="26"/>
              </w:rPr>
            </w:pPr>
          </w:p>
        </w:tc>
        <w:tc>
          <w:tcPr>
            <w:tcW w:w="1754" w:type="dxa"/>
            <w:tcBorders>
              <w:top w:val="single" w:sz="4" w:space="0" w:color="auto"/>
              <w:left w:val="single" w:sz="4" w:space="0" w:color="auto"/>
              <w:bottom w:val="single" w:sz="4" w:space="0" w:color="auto"/>
              <w:right w:val="single" w:sz="4" w:space="0" w:color="auto"/>
            </w:tcBorders>
            <w:vAlign w:val="center"/>
          </w:tcPr>
          <w:p w:rsidR="00F5186E" w:rsidRPr="00F5186E" w:rsidP="00F5186E" w14:paraId="15F5688E" w14:textId="77777777">
            <w:pPr>
              <w:jc w:val="center"/>
              <w:rPr>
                <w:rFonts w:ascii="Times New Roman" w:hAnsi="Times New Roman"/>
                <w:iCs/>
                <w:sz w:val="26"/>
                <w:szCs w:val="26"/>
              </w:rPr>
            </w:pPr>
            <w:r w:rsidRPr="00F5186E">
              <w:rPr>
                <w:rFonts w:ascii="Times New Roman" w:hAnsi="Times New Roman"/>
                <w:iCs/>
                <w:sz w:val="26"/>
                <w:szCs w:val="26"/>
              </w:rPr>
              <w:t>200 000,00</w:t>
            </w:r>
          </w:p>
          <w:p w:rsidR="00F5186E" w:rsidRPr="00F5186E" w:rsidP="00F5186E" w14:paraId="02B8DBF1" w14:textId="77777777">
            <w:pPr>
              <w:jc w:val="center"/>
              <w:rPr>
                <w:rFonts w:ascii="Times New Roman" w:hAnsi="Times New Roman"/>
                <w:iCs/>
                <w:sz w:val="26"/>
                <w:szCs w:val="26"/>
              </w:rPr>
            </w:pPr>
          </w:p>
        </w:tc>
        <w:tc>
          <w:tcPr>
            <w:tcW w:w="1926" w:type="dxa"/>
            <w:tcBorders>
              <w:top w:val="single" w:sz="4" w:space="0" w:color="auto"/>
              <w:left w:val="single" w:sz="4" w:space="0" w:color="auto"/>
              <w:bottom w:val="single" w:sz="4" w:space="0" w:color="auto"/>
              <w:right w:val="single" w:sz="4" w:space="0" w:color="auto"/>
            </w:tcBorders>
            <w:vAlign w:val="center"/>
          </w:tcPr>
          <w:p w:rsidR="00F5186E" w:rsidRPr="00F5186E" w:rsidP="00F5186E" w14:paraId="08DA638D" w14:textId="77777777">
            <w:pPr>
              <w:jc w:val="center"/>
              <w:rPr>
                <w:rFonts w:ascii="Times New Roman" w:hAnsi="Times New Roman"/>
                <w:iCs/>
                <w:sz w:val="26"/>
                <w:szCs w:val="26"/>
              </w:rPr>
            </w:pPr>
            <w:r w:rsidRPr="00F5186E">
              <w:rPr>
                <w:rFonts w:ascii="Times New Roman" w:hAnsi="Times New Roman"/>
                <w:iCs/>
                <w:sz w:val="26"/>
                <w:szCs w:val="26"/>
              </w:rPr>
              <w:t>600 000,00</w:t>
            </w:r>
          </w:p>
          <w:p w:rsidR="00F5186E" w:rsidRPr="00F5186E" w:rsidP="00F5186E" w14:paraId="3D29D824" w14:textId="77777777">
            <w:pPr>
              <w:jc w:val="center"/>
              <w:rPr>
                <w:rFonts w:ascii="Times New Roman" w:hAnsi="Times New Roman"/>
                <w:iCs/>
                <w:sz w:val="26"/>
                <w:szCs w:val="26"/>
              </w:rPr>
            </w:pPr>
          </w:p>
        </w:tc>
      </w:tr>
      <w:tr w14:paraId="00457CF9" w14:textId="77777777" w:rsidTr="005306E2">
        <w:tblPrEx>
          <w:tblW w:w="0" w:type="auto"/>
          <w:tblInd w:w="0" w:type="dxa"/>
          <w:tblLook w:val="04A0"/>
        </w:tblPrEx>
        <w:tc>
          <w:tcPr>
            <w:tcW w:w="2376"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35B0698E" w14:textId="77777777">
            <w:pPr>
              <w:rPr>
                <w:rFonts w:ascii="Times New Roman" w:hAnsi="Times New Roman"/>
                <w:iCs/>
                <w:sz w:val="26"/>
                <w:szCs w:val="26"/>
              </w:rPr>
            </w:pPr>
            <w:r w:rsidRPr="00F5186E">
              <w:rPr>
                <w:rFonts w:ascii="Times New Roman" w:hAnsi="Times New Roman"/>
                <w:iCs/>
                <w:sz w:val="26"/>
                <w:szCs w:val="26"/>
              </w:rPr>
              <w:t>Державний бюджет</w:t>
            </w:r>
          </w:p>
        </w:tc>
        <w:tc>
          <w:tcPr>
            <w:tcW w:w="1730" w:type="dxa"/>
            <w:tcBorders>
              <w:top w:val="single" w:sz="4" w:space="0" w:color="auto"/>
              <w:left w:val="single" w:sz="4" w:space="0" w:color="auto"/>
              <w:bottom w:val="single" w:sz="4" w:space="0" w:color="auto"/>
              <w:right w:val="single" w:sz="4" w:space="0" w:color="auto"/>
            </w:tcBorders>
            <w:vAlign w:val="center"/>
          </w:tcPr>
          <w:p w:rsidR="00F5186E" w:rsidRPr="00F5186E" w:rsidP="00F5186E" w14:paraId="4BCE2B00" w14:textId="77777777">
            <w:pPr>
              <w:jc w:val="center"/>
              <w:rPr>
                <w:rFonts w:ascii="Times New Roman" w:hAnsi="Times New Roman"/>
                <w:iCs/>
                <w:sz w:val="26"/>
                <w:szCs w:val="26"/>
              </w:rPr>
            </w:pPr>
            <w:r w:rsidRPr="00F5186E">
              <w:rPr>
                <w:rFonts w:ascii="Times New Roman" w:hAnsi="Times New Roman"/>
                <w:iCs/>
                <w:sz w:val="26"/>
                <w:szCs w:val="26"/>
              </w:rPr>
              <w:t>215 117,51</w:t>
            </w:r>
          </w:p>
          <w:p w:rsidR="00F5186E" w:rsidRPr="00F5186E" w:rsidP="00F5186E" w14:paraId="3F54849A" w14:textId="77777777">
            <w:pPr>
              <w:jc w:val="center"/>
              <w:rPr>
                <w:rFonts w:ascii="Times New Roman" w:hAnsi="Times New Roman"/>
                <w:iCs/>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tcPr>
          <w:p w:rsidR="00F5186E" w:rsidRPr="00F5186E" w:rsidP="00F5186E" w14:paraId="286FED7A" w14:textId="77777777">
            <w:pPr>
              <w:jc w:val="center"/>
              <w:rPr>
                <w:rFonts w:ascii="Times New Roman" w:hAnsi="Times New Roman"/>
                <w:iCs/>
                <w:sz w:val="26"/>
                <w:szCs w:val="26"/>
              </w:rPr>
            </w:pPr>
            <w:r w:rsidRPr="00F5186E">
              <w:rPr>
                <w:rFonts w:ascii="Times New Roman" w:hAnsi="Times New Roman"/>
                <w:iCs/>
                <w:sz w:val="26"/>
                <w:szCs w:val="26"/>
              </w:rPr>
              <w:t>0,00</w:t>
            </w:r>
          </w:p>
          <w:p w:rsidR="00F5186E" w:rsidRPr="00F5186E" w:rsidP="00F5186E" w14:paraId="68F61984" w14:textId="77777777">
            <w:pPr>
              <w:jc w:val="center"/>
              <w:rPr>
                <w:rFonts w:ascii="Times New Roman" w:hAnsi="Times New Roman"/>
                <w:iCs/>
                <w:sz w:val="26"/>
                <w:szCs w:val="26"/>
              </w:rPr>
            </w:pPr>
          </w:p>
        </w:tc>
        <w:tc>
          <w:tcPr>
            <w:tcW w:w="1754" w:type="dxa"/>
            <w:tcBorders>
              <w:top w:val="single" w:sz="4" w:space="0" w:color="auto"/>
              <w:left w:val="single" w:sz="4" w:space="0" w:color="auto"/>
              <w:bottom w:val="single" w:sz="4" w:space="0" w:color="auto"/>
              <w:right w:val="single" w:sz="4" w:space="0" w:color="auto"/>
            </w:tcBorders>
            <w:vAlign w:val="center"/>
          </w:tcPr>
          <w:p w:rsidR="00F5186E" w:rsidRPr="00F5186E" w:rsidP="00F5186E" w14:paraId="443DBFA2" w14:textId="77777777">
            <w:pPr>
              <w:jc w:val="center"/>
              <w:rPr>
                <w:rFonts w:ascii="Times New Roman" w:hAnsi="Times New Roman"/>
                <w:iCs/>
                <w:sz w:val="26"/>
                <w:szCs w:val="26"/>
              </w:rPr>
            </w:pPr>
            <w:r w:rsidRPr="00F5186E">
              <w:rPr>
                <w:rFonts w:ascii="Times New Roman" w:hAnsi="Times New Roman"/>
                <w:iCs/>
                <w:sz w:val="26"/>
                <w:szCs w:val="26"/>
              </w:rPr>
              <w:t>0,00</w:t>
            </w:r>
          </w:p>
          <w:p w:rsidR="00F5186E" w:rsidRPr="00F5186E" w:rsidP="00F5186E" w14:paraId="0FED8C29" w14:textId="77777777">
            <w:pPr>
              <w:jc w:val="center"/>
              <w:rPr>
                <w:rFonts w:ascii="Times New Roman" w:hAnsi="Times New Roman"/>
                <w:iCs/>
                <w:sz w:val="26"/>
                <w:szCs w:val="26"/>
              </w:rPr>
            </w:pPr>
          </w:p>
        </w:tc>
        <w:tc>
          <w:tcPr>
            <w:tcW w:w="1926" w:type="dxa"/>
            <w:tcBorders>
              <w:top w:val="single" w:sz="4" w:space="0" w:color="auto"/>
              <w:left w:val="single" w:sz="4" w:space="0" w:color="auto"/>
              <w:bottom w:val="single" w:sz="4" w:space="0" w:color="auto"/>
              <w:right w:val="single" w:sz="4" w:space="0" w:color="auto"/>
            </w:tcBorders>
            <w:vAlign w:val="center"/>
          </w:tcPr>
          <w:p w:rsidR="00F5186E" w:rsidRPr="00F5186E" w:rsidP="00F5186E" w14:paraId="2726C05C" w14:textId="77777777">
            <w:pPr>
              <w:jc w:val="center"/>
              <w:rPr>
                <w:rFonts w:ascii="Times New Roman" w:hAnsi="Times New Roman"/>
                <w:iCs/>
                <w:sz w:val="26"/>
                <w:szCs w:val="26"/>
              </w:rPr>
            </w:pPr>
            <w:r w:rsidRPr="00F5186E">
              <w:rPr>
                <w:rFonts w:ascii="Times New Roman" w:hAnsi="Times New Roman"/>
                <w:iCs/>
                <w:sz w:val="26"/>
                <w:szCs w:val="26"/>
              </w:rPr>
              <w:t>215 117,51</w:t>
            </w:r>
          </w:p>
          <w:p w:rsidR="00F5186E" w:rsidRPr="00F5186E" w:rsidP="00F5186E" w14:paraId="14AE5D7F" w14:textId="77777777">
            <w:pPr>
              <w:jc w:val="center"/>
              <w:rPr>
                <w:rFonts w:ascii="Times New Roman" w:hAnsi="Times New Roman"/>
                <w:iCs/>
                <w:sz w:val="26"/>
                <w:szCs w:val="26"/>
              </w:rPr>
            </w:pPr>
          </w:p>
        </w:tc>
      </w:tr>
      <w:tr w14:paraId="7254ABB0" w14:textId="77777777" w:rsidTr="005306E2">
        <w:tblPrEx>
          <w:tblW w:w="0" w:type="auto"/>
          <w:tblInd w:w="0" w:type="dxa"/>
          <w:tblLook w:val="04A0"/>
        </w:tblPrEx>
        <w:tc>
          <w:tcPr>
            <w:tcW w:w="2376"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04D819E7" w14:textId="77777777">
            <w:pPr>
              <w:jc w:val="both"/>
              <w:rPr>
                <w:rFonts w:ascii="Times New Roman" w:hAnsi="Times New Roman"/>
                <w:iCs/>
                <w:sz w:val="26"/>
                <w:szCs w:val="26"/>
              </w:rPr>
            </w:pPr>
            <w:r w:rsidRPr="00F5186E">
              <w:rPr>
                <w:rFonts w:ascii="Times New Roman" w:hAnsi="Times New Roman"/>
                <w:iCs/>
                <w:sz w:val="26"/>
                <w:szCs w:val="26"/>
              </w:rPr>
              <w:t>Кошти, не заборонені чинним законодавством України</w:t>
            </w:r>
          </w:p>
        </w:tc>
        <w:tc>
          <w:tcPr>
            <w:tcW w:w="1730" w:type="dxa"/>
            <w:tcBorders>
              <w:top w:val="single" w:sz="4" w:space="0" w:color="auto"/>
              <w:left w:val="single" w:sz="4" w:space="0" w:color="auto"/>
              <w:bottom w:val="single" w:sz="4" w:space="0" w:color="auto"/>
              <w:right w:val="single" w:sz="4" w:space="0" w:color="auto"/>
            </w:tcBorders>
            <w:vAlign w:val="center"/>
          </w:tcPr>
          <w:p w:rsidR="00F5186E" w:rsidRPr="00F5186E" w:rsidP="00F5186E" w14:paraId="7166644B" w14:textId="77777777">
            <w:pPr>
              <w:jc w:val="center"/>
              <w:rPr>
                <w:rFonts w:ascii="Times New Roman" w:hAnsi="Times New Roman"/>
                <w:iCs/>
                <w:sz w:val="26"/>
                <w:szCs w:val="26"/>
              </w:rPr>
            </w:pPr>
            <w:r w:rsidRPr="00F5186E">
              <w:rPr>
                <w:rFonts w:ascii="Times New Roman" w:hAnsi="Times New Roman"/>
                <w:iCs/>
                <w:sz w:val="26"/>
                <w:szCs w:val="26"/>
              </w:rPr>
              <w:t>1 300 000,00</w:t>
            </w:r>
          </w:p>
          <w:p w:rsidR="00F5186E" w:rsidRPr="00F5186E" w:rsidP="00F5186E" w14:paraId="0022945C" w14:textId="77777777">
            <w:pPr>
              <w:jc w:val="center"/>
              <w:rPr>
                <w:rFonts w:ascii="Times New Roman" w:hAnsi="Times New Roman"/>
                <w:iCs/>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tcPr>
          <w:p w:rsidR="00F5186E" w:rsidRPr="00F5186E" w:rsidP="00F5186E" w14:paraId="49A24B8A" w14:textId="77777777">
            <w:pPr>
              <w:jc w:val="center"/>
              <w:rPr>
                <w:rFonts w:ascii="Times New Roman" w:hAnsi="Times New Roman"/>
                <w:iCs/>
                <w:sz w:val="26"/>
                <w:szCs w:val="26"/>
              </w:rPr>
            </w:pPr>
            <w:r w:rsidRPr="00F5186E">
              <w:rPr>
                <w:rFonts w:ascii="Times New Roman" w:hAnsi="Times New Roman"/>
                <w:iCs/>
                <w:sz w:val="26"/>
                <w:szCs w:val="26"/>
              </w:rPr>
              <w:t>1 186 945,09</w:t>
            </w:r>
          </w:p>
          <w:p w:rsidR="00F5186E" w:rsidRPr="00F5186E" w:rsidP="00F5186E" w14:paraId="7238B6DC" w14:textId="77777777">
            <w:pPr>
              <w:jc w:val="center"/>
              <w:rPr>
                <w:rFonts w:ascii="Times New Roman" w:hAnsi="Times New Roman"/>
                <w:iCs/>
                <w:sz w:val="26"/>
                <w:szCs w:val="26"/>
              </w:rPr>
            </w:pPr>
          </w:p>
        </w:tc>
        <w:tc>
          <w:tcPr>
            <w:tcW w:w="1754" w:type="dxa"/>
            <w:tcBorders>
              <w:top w:val="single" w:sz="4" w:space="0" w:color="auto"/>
              <w:left w:val="single" w:sz="4" w:space="0" w:color="auto"/>
              <w:bottom w:val="single" w:sz="4" w:space="0" w:color="auto"/>
              <w:right w:val="single" w:sz="4" w:space="0" w:color="auto"/>
            </w:tcBorders>
            <w:vAlign w:val="center"/>
          </w:tcPr>
          <w:p w:rsidR="00F5186E" w:rsidRPr="00F5186E" w:rsidP="00F5186E" w14:paraId="04CC1A53" w14:textId="77777777">
            <w:pPr>
              <w:jc w:val="center"/>
              <w:rPr>
                <w:rFonts w:ascii="Times New Roman" w:hAnsi="Times New Roman"/>
                <w:iCs/>
                <w:sz w:val="26"/>
                <w:szCs w:val="26"/>
              </w:rPr>
            </w:pPr>
            <w:r w:rsidRPr="00F5186E">
              <w:rPr>
                <w:rFonts w:ascii="Times New Roman" w:hAnsi="Times New Roman"/>
                <w:iCs/>
                <w:sz w:val="26"/>
                <w:szCs w:val="26"/>
              </w:rPr>
              <w:t>1 254 343,62</w:t>
            </w:r>
          </w:p>
          <w:p w:rsidR="00F5186E" w:rsidRPr="00F5186E" w:rsidP="00F5186E" w14:paraId="251A9422" w14:textId="77777777">
            <w:pPr>
              <w:jc w:val="center"/>
              <w:rPr>
                <w:rFonts w:ascii="Times New Roman" w:hAnsi="Times New Roman"/>
                <w:iCs/>
                <w:sz w:val="26"/>
                <w:szCs w:val="26"/>
              </w:rPr>
            </w:pPr>
          </w:p>
        </w:tc>
        <w:tc>
          <w:tcPr>
            <w:tcW w:w="1926" w:type="dxa"/>
            <w:tcBorders>
              <w:top w:val="single" w:sz="4" w:space="0" w:color="auto"/>
              <w:left w:val="single" w:sz="4" w:space="0" w:color="auto"/>
              <w:bottom w:val="single" w:sz="4" w:space="0" w:color="auto"/>
              <w:right w:val="single" w:sz="4" w:space="0" w:color="auto"/>
            </w:tcBorders>
            <w:vAlign w:val="center"/>
          </w:tcPr>
          <w:p w:rsidR="00F5186E" w:rsidRPr="00F5186E" w:rsidP="00F5186E" w14:paraId="07B195C0" w14:textId="77777777">
            <w:pPr>
              <w:jc w:val="center"/>
              <w:rPr>
                <w:rFonts w:ascii="Times New Roman" w:hAnsi="Times New Roman"/>
                <w:iCs/>
                <w:sz w:val="26"/>
                <w:szCs w:val="26"/>
              </w:rPr>
            </w:pPr>
            <w:r w:rsidRPr="00F5186E">
              <w:rPr>
                <w:rFonts w:ascii="Times New Roman" w:hAnsi="Times New Roman"/>
                <w:iCs/>
                <w:sz w:val="26"/>
                <w:szCs w:val="26"/>
              </w:rPr>
              <w:t>3 741 288,71</w:t>
            </w:r>
          </w:p>
          <w:p w:rsidR="00F5186E" w:rsidRPr="00F5186E" w:rsidP="00F5186E" w14:paraId="42CA9F79" w14:textId="77777777">
            <w:pPr>
              <w:jc w:val="center"/>
              <w:rPr>
                <w:rFonts w:ascii="Times New Roman" w:hAnsi="Times New Roman"/>
                <w:iCs/>
                <w:sz w:val="26"/>
                <w:szCs w:val="26"/>
              </w:rPr>
            </w:pPr>
          </w:p>
        </w:tc>
      </w:tr>
      <w:tr w14:paraId="4E10DA26" w14:textId="77777777" w:rsidTr="005306E2">
        <w:tblPrEx>
          <w:tblW w:w="0" w:type="auto"/>
          <w:tblInd w:w="0" w:type="dxa"/>
          <w:tblLook w:val="04A0"/>
        </w:tblPrEx>
        <w:tc>
          <w:tcPr>
            <w:tcW w:w="2376" w:type="dxa"/>
            <w:tcBorders>
              <w:top w:val="single" w:sz="4" w:space="0" w:color="auto"/>
              <w:left w:val="single" w:sz="4" w:space="0" w:color="auto"/>
              <w:bottom w:val="single" w:sz="4" w:space="0" w:color="auto"/>
              <w:right w:val="single" w:sz="4" w:space="0" w:color="auto"/>
            </w:tcBorders>
            <w:hideMark/>
          </w:tcPr>
          <w:p w:rsidR="00F5186E" w:rsidRPr="00F5186E" w:rsidP="00F5186E" w14:paraId="354B6AC3" w14:textId="77777777">
            <w:pPr>
              <w:rPr>
                <w:rFonts w:ascii="Times New Roman" w:hAnsi="Times New Roman"/>
                <w:b/>
                <w:iCs/>
                <w:sz w:val="26"/>
                <w:szCs w:val="26"/>
              </w:rPr>
            </w:pPr>
            <w:r w:rsidRPr="00F5186E">
              <w:rPr>
                <w:rFonts w:ascii="Times New Roman" w:hAnsi="Times New Roman"/>
                <w:b/>
                <w:iCs/>
                <w:sz w:val="26"/>
                <w:szCs w:val="26"/>
              </w:rPr>
              <w:t>РАЗОМ</w:t>
            </w:r>
          </w:p>
        </w:tc>
        <w:tc>
          <w:tcPr>
            <w:tcW w:w="1730" w:type="dxa"/>
            <w:tcBorders>
              <w:top w:val="single" w:sz="4" w:space="0" w:color="auto"/>
              <w:left w:val="single" w:sz="4" w:space="0" w:color="auto"/>
              <w:bottom w:val="single" w:sz="4" w:space="0" w:color="auto"/>
              <w:right w:val="single" w:sz="4" w:space="0" w:color="auto"/>
            </w:tcBorders>
            <w:hideMark/>
          </w:tcPr>
          <w:p w:rsidR="00F5186E" w:rsidRPr="00F5186E" w:rsidP="00F5186E" w14:paraId="294B7D01" w14:textId="77777777">
            <w:pPr>
              <w:jc w:val="center"/>
              <w:rPr>
                <w:rFonts w:ascii="Times New Roman" w:hAnsi="Times New Roman"/>
                <w:b/>
                <w:iCs/>
                <w:sz w:val="26"/>
                <w:szCs w:val="26"/>
              </w:rPr>
            </w:pPr>
            <w:r w:rsidRPr="00F5186E">
              <w:rPr>
                <w:rFonts w:ascii="Times New Roman" w:hAnsi="Times New Roman"/>
                <w:b/>
                <w:iCs/>
                <w:sz w:val="26"/>
                <w:szCs w:val="26"/>
              </w:rPr>
              <w:t>1 715 117,51</w:t>
            </w:r>
          </w:p>
        </w:tc>
        <w:tc>
          <w:tcPr>
            <w:tcW w:w="1843" w:type="dxa"/>
            <w:tcBorders>
              <w:top w:val="single" w:sz="4" w:space="0" w:color="auto"/>
              <w:left w:val="single" w:sz="4" w:space="0" w:color="auto"/>
              <w:bottom w:val="single" w:sz="4" w:space="0" w:color="auto"/>
              <w:right w:val="single" w:sz="4" w:space="0" w:color="auto"/>
            </w:tcBorders>
            <w:hideMark/>
          </w:tcPr>
          <w:p w:rsidR="00F5186E" w:rsidRPr="00F5186E" w:rsidP="00F5186E" w14:paraId="500751C0" w14:textId="77777777">
            <w:pPr>
              <w:jc w:val="center"/>
              <w:rPr>
                <w:rFonts w:ascii="Times New Roman" w:hAnsi="Times New Roman"/>
                <w:b/>
                <w:iCs/>
                <w:sz w:val="26"/>
                <w:szCs w:val="26"/>
              </w:rPr>
            </w:pPr>
            <w:r w:rsidRPr="00F5186E">
              <w:rPr>
                <w:rFonts w:ascii="Times New Roman" w:hAnsi="Times New Roman"/>
                <w:b/>
                <w:iCs/>
                <w:sz w:val="26"/>
                <w:szCs w:val="26"/>
              </w:rPr>
              <w:t>1 386 945,09</w:t>
            </w:r>
          </w:p>
        </w:tc>
        <w:tc>
          <w:tcPr>
            <w:tcW w:w="1754" w:type="dxa"/>
            <w:tcBorders>
              <w:top w:val="single" w:sz="4" w:space="0" w:color="auto"/>
              <w:left w:val="single" w:sz="4" w:space="0" w:color="auto"/>
              <w:bottom w:val="single" w:sz="4" w:space="0" w:color="auto"/>
              <w:right w:val="single" w:sz="4" w:space="0" w:color="auto"/>
            </w:tcBorders>
            <w:hideMark/>
          </w:tcPr>
          <w:p w:rsidR="00F5186E" w:rsidRPr="00F5186E" w:rsidP="00F5186E" w14:paraId="43D80A0B" w14:textId="77777777">
            <w:pPr>
              <w:jc w:val="center"/>
              <w:rPr>
                <w:rFonts w:ascii="Times New Roman" w:hAnsi="Times New Roman"/>
                <w:b/>
                <w:iCs/>
                <w:sz w:val="26"/>
                <w:szCs w:val="26"/>
              </w:rPr>
            </w:pPr>
            <w:r w:rsidRPr="00F5186E">
              <w:rPr>
                <w:rFonts w:ascii="Times New Roman" w:hAnsi="Times New Roman"/>
                <w:b/>
                <w:iCs/>
                <w:sz w:val="26"/>
                <w:szCs w:val="26"/>
              </w:rPr>
              <w:t>1 454 343,62</w:t>
            </w:r>
          </w:p>
        </w:tc>
        <w:tc>
          <w:tcPr>
            <w:tcW w:w="1926" w:type="dxa"/>
            <w:tcBorders>
              <w:top w:val="single" w:sz="4" w:space="0" w:color="auto"/>
              <w:left w:val="single" w:sz="4" w:space="0" w:color="auto"/>
              <w:bottom w:val="single" w:sz="4" w:space="0" w:color="auto"/>
              <w:right w:val="single" w:sz="4" w:space="0" w:color="auto"/>
            </w:tcBorders>
            <w:hideMark/>
          </w:tcPr>
          <w:p w:rsidR="00F5186E" w:rsidRPr="00F5186E" w:rsidP="00F5186E" w14:paraId="520612EC" w14:textId="77777777">
            <w:pPr>
              <w:jc w:val="center"/>
              <w:rPr>
                <w:rFonts w:ascii="Times New Roman" w:hAnsi="Times New Roman"/>
                <w:b/>
                <w:iCs/>
                <w:sz w:val="26"/>
                <w:szCs w:val="26"/>
              </w:rPr>
            </w:pPr>
            <w:r w:rsidRPr="00F5186E">
              <w:rPr>
                <w:rFonts w:ascii="Times New Roman" w:hAnsi="Times New Roman"/>
                <w:b/>
                <w:iCs/>
                <w:sz w:val="26"/>
                <w:szCs w:val="26"/>
              </w:rPr>
              <w:t>4 556 406,22</w:t>
            </w:r>
          </w:p>
        </w:tc>
      </w:tr>
    </w:tbl>
    <w:p w:rsidR="00F5186E" w:rsidRPr="00F5186E" w:rsidP="00F5186E" w14:paraId="778DCBA7" w14:textId="77777777">
      <w:pPr>
        <w:spacing w:after="160" w:line="256" w:lineRule="auto"/>
        <w:ind w:firstLine="567"/>
        <w:jc w:val="both"/>
        <w:rPr>
          <w:rFonts w:ascii="Times New Roman" w:eastAsia="Calibri" w:hAnsi="Times New Roman" w:cs="Times New Roman"/>
          <w:iCs/>
          <w:sz w:val="28"/>
          <w:szCs w:val="28"/>
          <w:lang w:eastAsia="en-US"/>
        </w:rPr>
      </w:pPr>
    </w:p>
    <w:p w:rsidR="00F5186E" w:rsidRPr="00F5186E" w:rsidP="00F5186E" w14:paraId="1DAB9E0E" w14:textId="3AE73416">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Розподіл орієнтовного граничного сукупного обсягу публічних інвестицій у розрізі галузей (секторів) на 2026 - 2028 роки, доведеного фінансовим управлінням Броварської міської ради Броварського району Київської області, у межах орієнтовного граничного сукупного обсягу публічних інвестицій на середньостроковий період:</w:t>
      </w:r>
    </w:p>
    <w:p w:rsidR="00F5186E" w:rsidRPr="00F5186E" w:rsidP="00F5186E" w14:paraId="5BDB4D9C" w14:textId="77777777">
      <w:pPr>
        <w:spacing w:after="160" w:line="256" w:lineRule="auto"/>
        <w:ind w:firstLine="567"/>
        <w:jc w:val="right"/>
        <w:rPr>
          <w:rFonts w:ascii="Times New Roman" w:eastAsia="Calibri" w:hAnsi="Times New Roman" w:cs="Times New Roman"/>
          <w:iCs/>
          <w:sz w:val="26"/>
          <w:szCs w:val="26"/>
          <w:lang w:eastAsia="en-US"/>
        </w:rPr>
      </w:pPr>
      <w:r w:rsidRPr="00F5186E">
        <w:rPr>
          <w:rFonts w:ascii="Times New Roman" w:eastAsia="Calibri" w:hAnsi="Times New Roman" w:cs="Times New Roman"/>
          <w:iCs/>
          <w:sz w:val="26"/>
          <w:szCs w:val="26"/>
          <w:lang w:eastAsia="en-US"/>
        </w:rPr>
        <w:t xml:space="preserve">Тис. грн. </w:t>
      </w:r>
    </w:p>
    <w:tbl>
      <w:tblPr>
        <w:tblStyle w:val="TableGrid"/>
        <w:tblW w:w="0" w:type="auto"/>
        <w:tblInd w:w="0" w:type="dxa"/>
        <w:tblLook w:val="04A0"/>
      </w:tblPr>
      <w:tblGrid>
        <w:gridCol w:w="1946"/>
        <w:gridCol w:w="1729"/>
        <w:gridCol w:w="1730"/>
        <w:gridCol w:w="1730"/>
        <w:gridCol w:w="2494"/>
      </w:tblGrid>
      <w:tr w14:paraId="5262F011" w14:textId="77777777" w:rsidTr="00F5186E">
        <w:tblPrEx>
          <w:tblW w:w="0" w:type="auto"/>
          <w:tblInd w:w="0" w:type="dxa"/>
          <w:tblLook w:val="04A0"/>
        </w:tblPrEx>
        <w:tc>
          <w:tcPr>
            <w:tcW w:w="1946"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073D414D" w14:textId="77777777">
            <w:pPr>
              <w:jc w:val="center"/>
              <w:rPr>
                <w:rFonts w:ascii="Times New Roman" w:hAnsi="Times New Roman"/>
                <w:b/>
                <w:iCs/>
                <w:sz w:val="26"/>
                <w:szCs w:val="26"/>
              </w:rPr>
            </w:pPr>
            <w:r w:rsidRPr="00F5186E">
              <w:rPr>
                <w:rFonts w:ascii="Times New Roman" w:hAnsi="Times New Roman"/>
                <w:b/>
                <w:iCs/>
                <w:sz w:val="26"/>
                <w:szCs w:val="26"/>
              </w:rPr>
              <w:t>Галузь (сектор)</w:t>
            </w:r>
          </w:p>
        </w:tc>
        <w:tc>
          <w:tcPr>
            <w:tcW w:w="1729"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53FEE277" w14:textId="77777777">
            <w:pPr>
              <w:jc w:val="center"/>
              <w:rPr>
                <w:rFonts w:ascii="Times New Roman" w:hAnsi="Times New Roman"/>
                <w:b/>
                <w:iCs/>
                <w:sz w:val="26"/>
                <w:szCs w:val="26"/>
              </w:rPr>
            </w:pPr>
            <w:r w:rsidRPr="00F5186E">
              <w:rPr>
                <w:rFonts w:ascii="Times New Roman" w:hAnsi="Times New Roman"/>
                <w:b/>
                <w:iCs/>
                <w:sz w:val="26"/>
                <w:szCs w:val="26"/>
              </w:rPr>
              <w:t>Граничний розподіл на 2026 рік</w:t>
            </w:r>
          </w:p>
        </w:tc>
        <w:tc>
          <w:tcPr>
            <w:tcW w:w="1730"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7442D19C" w14:textId="77777777">
            <w:pPr>
              <w:jc w:val="center"/>
              <w:rPr>
                <w:rFonts w:ascii="Times New Roman" w:hAnsi="Times New Roman"/>
                <w:b/>
                <w:iCs/>
                <w:sz w:val="26"/>
                <w:szCs w:val="26"/>
              </w:rPr>
            </w:pPr>
            <w:r w:rsidRPr="00F5186E">
              <w:rPr>
                <w:rFonts w:ascii="Times New Roman" w:hAnsi="Times New Roman"/>
                <w:b/>
                <w:iCs/>
                <w:sz w:val="26"/>
                <w:szCs w:val="26"/>
              </w:rPr>
              <w:t>Граничний розподіл на 2027 рік</w:t>
            </w:r>
          </w:p>
        </w:tc>
        <w:tc>
          <w:tcPr>
            <w:tcW w:w="1730"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42703A78" w14:textId="77777777">
            <w:pPr>
              <w:jc w:val="center"/>
              <w:rPr>
                <w:rFonts w:ascii="Times New Roman" w:hAnsi="Times New Roman"/>
                <w:b/>
                <w:iCs/>
                <w:sz w:val="26"/>
                <w:szCs w:val="26"/>
              </w:rPr>
            </w:pPr>
            <w:r w:rsidRPr="00F5186E">
              <w:rPr>
                <w:rFonts w:ascii="Times New Roman" w:hAnsi="Times New Roman"/>
                <w:b/>
                <w:iCs/>
                <w:sz w:val="26"/>
                <w:szCs w:val="26"/>
              </w:rPr>
              <w:t>Граничний розподіл на 2028 рік</w:t>
            </w:r>
          </w:p>
        </w:tc>
        <w:tc>
          <w:tcPr>
            <w:tcW w:w="2494"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667FDD8A" w14:textId="77777777">
            <w:pPr>
              <w:jc w:val="center"/>
              <w:rPr>
                <w:rFonts w:ascii="Times New Roman" w:hAnsi="Times New Roman"/>
                <w:b/>
                <w:iCs/>
                <w:sz w:val="26"/>
                <w:szCs w:val="26"/>
              </w:rPr>
            </w:pPr>
            <w:r w:rsidRPr="00F5186E">
              <w:rPr>
                <w:rFonts w:ascii="Times New Roman" w:hAnsi="Times New Roman"/>
                <w:b/>
                <w:iCs/>
                <w:sz w:val="26"/>
                <w:szCs w:val="26"/>
              </w:rPr>
              <w:t>Граничний розподіл на середньостроковий період</w:t>
            </w:r>
          </w:p>
        </w:tc>
      </w:tr>
      <w:tr w14:paraId="054440AA" w14:textId="77777777" w:rsidTr="00F5186E">
        <w:tblPrEx>
          <w:tblW w:w="0" w:type="auto"/>
          <w:tblInd w:w="0" w:type="dxa"/>
          <w:tblLook w:val="04A0"/>
        </w:tblPrEx>
        <w:trPr>
          <w:trHeight w:val="917"/>
        </w:trPr>
        <w:tc>
          <w:tcPr>
            <w:tcW w:w="1946" w:type="dxa"/>
            <w:tcBorders>
              <w:top w:val="single" w:sz="4" w:space="0" w:color="auto"/>
              <w:left w:val="single" w:sz="4" w:space="0" w:color="auto"/>
              <w:bottom w:val="single" w:sz="4" w:space="0" w:color="auto"/>
              <w:right w:val="single" w:sz="4" w:space="0" w:color="auto"/>
            </w:tcBorders>
            <w:hideMark/>
          </w:tcPr>
          <w:p w:rsidR="00F5186E" w:rsidRPr="00F5186E" w:rsidP="00F5186E" w14:paraId="38A09C76" w14:textId="77777777">
            <w:pPr>
              <w:rPr>
                <w:rFonts w:ascii="Times New Roman" w:hAnsi="Times New Roman"/>
                <w:iCs/>
                <w:sz w:val="26"/>
                <w:szCs w:val="26"/>
              </w:rPr>
            </w:pPr>
            <w:r w:rsidRPr="00F5186E">
              <w:rPr>
                <w:rFonts w:ascii="Times New Roman" w:hAnsi="Times New Roman"/>
                <w:iCs/>
                <w:sz w:val="26"/>
                <w:szCs w:val="26"/>
              </w:rPr>
              <w:t>Муніципальна інфраструктура та послуги</w:t>
            </w:r>
          </w:p>
        </w:tc>
        <w:tc>
          <w:tcPr>
            <w:tcW w:w="1729"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049F1E02" w14:textId="77777777">
            <w:pPr>
              <w:jc w:val="center"/>
              <w:rPr>
                <w:rFonts w:ascii="Times New Roman" w:hAnsi="Times New Roman"/>
                <w:iCs/>
                <w:sz w:val="26"/>
                <w:szCs w:val="26"/>
              </w:rPr>
            </w:pPr>
            <w:r w:rsidRPr="00F5186E">
              <w:rPr>
                <w:rFonts w:ascii="Times New Roman" w:hAnsi="Times New Roman"/>
                <w:iCs/>
                <w:sz w:val="26"/>
                <w:szCs w:val="26"/>
              </w:rPr>
              <w:t>105 650,81</w:t>
            </w:r>
          </w:p>
        </w:tc>
        <w:tc>
          <w:tcPr>
            <w:tcW w:w="1730"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674EDC9C" w14:textId="77777777">
            <w:pPr>
              <w:jc w:val="center"/>
              <w:rPr>
                <w:rFonts w:ascii="Times New Roman" w:hAnsi="Times New Roman"/>
                <w:iCs/>
                <w:sz w:val="26"/>
                <w:szCs w:val="26"/>
                <w:highlight w:val="yellow"/>
              </w:rPr>
            </w:pPr>
            <w:r w:rsidRPr="00F5186E">
              <w:rPr>
                <w:rFonts w:ascii="Times New Roman" w:hAnsi="Times New Roman"/>
                <w:iCs/>
                <w:sz w:val="26"/>
                <w:szCs w:val="26"/>
              </w:rPr>
              <w:t>23 500,00</w:t>
            </w:r>
          </w:p>
        </w:tc>
        <w:tc>
          <w:tcPr>
            <w:tcW w:w="1730"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57723B1D" w14:textId="77777777">
            <w:pPr>
              <w:jc w:val="center"/>
              <w:rPr>
                <w:rFonts w:ascii="Times New Roman" w:hAnsi="Times New Roman"/>
                <w:iCs/>
                <w:sz w:val="26"/>
                <w:szCs w:val="26"/>
                <w:highlight w:val="yellow"/>
              </w:rPr>
            </w:pPr>
            <w:r w:rsidRPr="00F5186E">
              <w:rPr>
                <w:rFonts w:ascii="Times New Roman" w:hAnsi="Times New Roman"/>
                <w:iCs/>
                <w:sz w:val="26"/>
                <w:szCs w:val="26"/>
              </w:rPr>
              <w:t>0,00</w:t>
            </w:r>
          </w:p>
        </w:tc>
        <w:tc>
          <w:tcPr>
            <w:tcW w:w="2494"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5452BDB2" w14:textId="77777777">
            <w:pPr>
              <w:jc w:val="center"/>
              <w:rPr>
                <w:rFonts w:ascii="Times New Roman" w:hAnsi="Times New Roman"/>
                <w:iCs/>
                <w:sz w:val="26"/>
                <w:szCs w:val="26"/>
                <w:highlight w:val="yellow"/>
              </w:rPr>
            </w:pPr>
            <w:r w:rsidRPr="00F5186E">
              <w:rPr>
                <w:rFonts w:ascii="Times New Roman" w:hAnsi="Times New Roman"/>
                <w:iCs/>
                <w:sz w:val="26"/>
                <w:szCs w:val="26"/>
              </w:rPr>
              <w:t>129 150,81</w:t>
            </w:r>
          </w:p>
        </w:tc>
      </w:tr>
      <w:tr w14:paraId="29A95F37" w14:textId="77777777" w:rsidTr="005306E2">
        <w:tblPrEx>
          <w:tblW w:w="0" w:type="auto"/>
          <w:tblInd w:w="0" w:type="dxa"/>
          <w:tblLook w:val="04A0"/>
        </w:tblPrEx>
        <w:trPr>
          <w:trHeight w:val="476"/>
        </w:trPr>
        <w:tc>
          <w:tcPr>
            <w:tcW w:w="1946" w:type="dxa"/>
            <w:tcBorders>
              <w:top w:val="single" w:sz="4" w:space="0" w:color="auto"/>
              <w:left w:val="single" w:sz="4" w:space="0" w:color="auto"/>
              <w:bottom w:val="single" w:sz="4" w:space="0" w:color="auto"/>
              <w:right w:val="single" w:sz="4" w:space="0" w:color="auto"/>
            </w:tcBorders>
            <w:hideMark/>
          </w:tcPr>
          <w:p w:rsidR="00F5186E" w:rsidRPr="00F5186E" w:rsidP="00F5186E" w14:paraId="26717BEC" w14:textId="77777777">
            <w:pPr>
              <w:rPr>
                <w:rFonts w:ascii="Times New Roman" w:hAnsi="Times New Roman"/>
                <w:iCs/>
                <w:sz w:val="26"/>
                <w:szCs w:val="26"/>
              </w:rPr>
            </w:pPr>
            <w:r w:rsidRPr="00F5186E">
              <w:rPr>
                <w:rFonts w:ascii="Times New Roman" w:hAnsi="Times New Roman"/>
                <w:iCs/>
                <w:sz w:val="26"/>
                <w:szCs w:val="26"/>
              </w:rPr>
              <w:t>Житло</w:t>
            </w:r>
          </w:p>
        </w:tc>
        <w:tc>
          <w:tcPr>
            <w:tcW w:w="1729"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6AABCF1E" w14:textId="77777777">
            <w:pPr>
              <w:jc w:val="center"/>
              <w:rPr>
                <w:rFonts w:ascii="Times New Roman" w:hAnsi="Times New Roman"/>
                <w:iCs/>
                <w:sz w:val="26"/>
                <w:szCs w:val="26"/>
              </w:rPr>
            </w:pPr>
            <w:r w:rsidRPr="00F5186E">
              <w:rPr>
                <w:rFonts w:ascii="Times New Roman" w:hAnsi="Times New Roman"/>
                <w:iCs/>
                <w:sz w:val="26"/>
                <w:szCs w:val="26"/>
              </w:rPr>
              <w:t>1 177,73</w:t>
            </w:r>
          </w:p>
        </w:tc>
        <w:tc>
          <w:tcPr>
            <w:tcW w:w="1730"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5C35AF8D" w14:textId="77777777">
            <w:pPr>
              <w:jc w:val="center"/>
              <w:rPr>
                <w:rFonts w:ascii="Times New Roman" w:hAnsi="Times New Roman"/>
                <w:iCs/>
                <w:sz w:val="26"/>
                <w:szCs w:val="26"/>
              </w:rPr>
            </w:pPr>
            <w:r w:rsidRPr="00F5186E">
              <w:rPr>
                <w:rFonts w:ascii="Times New Roman" w:hAnsi="Times New Roman"/>
                <w:iCs/>
                <w:sz w:val="26"/>
                <w:szCs w:val="26"/>
              </w:rPr>
              <w:t>5 000,00</w:t>
            </w:r>
          </w:p>
        </w:tc>
        <w:tc>
          <w:tcPr>
            <w:tcW w:w="1730"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129CA584" w14:textId="77777777">
            <w:pPr>
              <w:jc w:val="center"/>
              <w:rPr>
                <w:rFonts w:ascii="Times New Roman" w:hAnsi="Times New Roman"/>
                <w:iCs/>
                <w:sz w:val="26"/>
                <w:szCs w:val="26"/>
              </w:rPr>
            </w:pPr>
            <w:r w:rsidRPr="00F5186E">
              <w:rPr>
                <w:rFonts w:ascii="Times New Roman" w:hAnsi="Times New Roman"/>
                <w:iCs/>
                <w:sz w:val="26"/>
                <w:szCs w:val="26"/>
              </w:rPr>
              <w:t>0,00</w:t>
            </w:r>
          </w:p>
        </w:tc>
        <w:tc>
          <w:tcPr>
            <w:tcW w:w="2494"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1E868502" w14:textId="77777777">
            <w:pPr>
              <w:jc w:val="center"/>
              <w:rPr>
                <w:rFonts w:ascii="Times New Roman" w:hAnsi="Times New Roman"/>
                <w:iCs/>
                <w:sz w:val="26"/>
                <w:szCs w:val="26"/>
              </w:rPr>
            </w:pPr>
            <w:r w:rsidRPr="00F5186E">
              <w:rPr>
                <w:rFonts w:ascii="Times New Roman" w:hAnsi="Times New Roman"/>
                <w:iCs/>
                <w:sz w:val="26"/>
                <w:szCs w:val="26"/>
              </w:rPr>
              <w:t>6 177,73</w:t>
            </w:r>
          </w:p>
        </w:tc>
      </w:tr>
      <w:tr w14:paraId="57829335" w14:textId="77777777" w:rsidTr="005306E2">
        <w:tblPrEx>
          <w:tblW w:w="0" w:type="auto"/>
          <w:tblInd w:w="0" w:type="dxa"/>
          <w:tblLook w:val="04A0"/>
        </w:tblPrEx>
        <w:trPr>
          <w:trHeight w:val="540"/>
        </w:trPr>
        <w:tc>
          <w:tcPr>
            <w:tcW w:w="1946" w:type="dxa"/>
            <w:tcBorders>
              <w:top w:val="single" w:sz="4" w:space="0" w:color="auto"/>
              <w:left w:val="single" w:sz="4" w:space="0" w:color="auto"/>
              <w:bottom w:val="single" w:sz="4" w:space="0" w:color="auto"/>
              <w:right w:val="single" w:sz="4" w:space="0" w:color="auto"/>
            </w:tcBorders>
            <w:hideMark/>
          </w:tcPr>
          <w:p w:rsidR="00F5186E" w:rsidRPr="00F5186E" w:rsidP="00F5186E" w14:paraId="61B69160" w14:textId="77777777">
            <w:pPr>
              <w:rPr>
                <w:rFonts w:ascii="Times New Roman" w:hAnsi="Times New Roman"/>
                <w:iCs/>
                <w:sz w:val="26"/>
                <w:szCs w:val="26"/>
              </w:rPr>
            </w:pPr>
            <w:r w:rsidRPr="00F5186E">
              <w:rPr>
                <w:rFonts w:ascii="Times New Roman" w:hAnsi="Times New Roman"/>
                <w:iCs/>
                <w:sz w:val="26"/>
                <w:szCs w:val="26"/>
              </w:rPr>
              <w:t>Транспорт</w:t>
            </w:r>
          </w:p>
        </w:tc>
        <w:tc>
          <w:tcPr>
            <w:tcW w:w="1729"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33F40C42" w14:textId="77777777">
            <w:pPr>
              <w:jc w:val="center"/>
              <w:rPr>
                <w:rFonts w:ascii="Times New Roman" w:hAnsi="Times New Roman"/>
                <w:iCs/>
                <w:sz w:val="26"/>
                <w:szCs w:val="26"/>
              </w:rPr>
            </w:pPr>
            <w:r w:rsidRPr="00F5186E">
              <w:rPr>
                <w:rFonts w:ascii="Times New Roman" w:hAnsi="Times New Roman"/>
                <w:iCs/>
                <w:sz w:val="26"/>
                <w:szCs w:val="26"/>
              </w:rPr>
              <w:t>16 039,50</w:t>
            </w:r>
          </w:p>
        </w:tc>
        <w:tc>
          <w:tcPr>
            <w:tcW w:w="1730"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34870789" w14:textId="77777777">
            <w:pPr>
              <w:jc w:val="center"/>
              <w:rPr>
                <w:rFonts w:ascii="Times New Roman" w:hAnsi="Times New Roman"/>
                <w:iCs/>
                <w:sz w:val="26"/>
                <w:szCs w:val="26"/>
              </w:rPr>
            </w:pPr>
            <w:r w:rsidRPr="00F5186E">
              <w:rPr>
                <w:rFonts w:ascii="Times New Roman" w:hAnsi="Times New Roman"/>
                <w:iCs/>
                <w:sz w:val="26"/>
                <w:szCs w:val="26"/>
              </w:rPr>
              <w:t>15 029,00</w:t>
            </w:r>
          </w:p>
        </w:tc>
        <w:tc>
          <w:tcPr>
            <w:tcW w:w="1730"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3B38D827" w14:textId="77777777">
            <w:pPr>
              <w:jc w:val="center"/>
              <w:rPr>
                <w:rFonts w:ascii="Times New Roman" w:hAnsi="Times New Roman"/>
                <w:iCs/>
                <w:sz w:val="26"/>
                <w:szCs w:val="26"/>
              </w:rPr>
            </w:pPr>
            <w:r w:rsidRPr="00F5186E">
              <w:rPr>
                <w:rFonts w:ascii="Times New Roman" w:hAnsi="Times New Roman"/>
                <w:iCs/>
                <w:sz w:val="26"/>
                <w:szCs w:val="26"/>
              </w:rPr>
              <w:t>109 613,00</w:t>
            </w:r>
          </w:p>
        </w:tc>
        <w:tc>
          <w:tcPr>
            <w:tcW w:w="2494" w:type="dxa"/>
            <w:tcBorders>
              <w:top w:val="single" w:sz="4" w:space="0" w:color="auto"/>
              <w:left w:val="single" w:sz="4" w:space="0" w:color="auto"/>
              <w:bottom w:val="single" w:sz="4" w:space="0" w:color="auto"/>
              <w:right w:val="single" w:sz="4" w:space="0" w:color="auto"/>
            </w:tcBorders>
            <w:vAlign w:val="center"/>
            <w:hideMark/>
          </w:tcPr>
          <w:p w:rsidR="00F5186E" w:rsidRPr="00F5186E" w:rsidP="00F5186E" w14:paraId="0EC931A7" w14:textId="77777777">
            <w:pPr>
              <w:jc w:val="center"/>
              <w:rPr>
                <w:rFonts w:ascii="Times New Roman" w:hAnsi="Times New Roman"/>
                <w:iCs/>
                <w:sz w:val="26"/>
                <w:szCs w:val="26"/>
              </w:rPr>
            </w:pPr>
            <w:r w:rsidRPr="00F5186E">
              <w:rPr>
                <w:rFonts w:ascii="Times New Roman" w:hAnsi="Times New Roman"/>
                <w:iCs/>
                <w:sz w:val="26"/>
                <w:szCs w:val="26"/>
              </w:rPr>
              <w:t>140 681,50</w:t>
            </w:r>
          </w:p>
        </w:tc>
      </w:tr>
      <w:tr w14:paraId="5FA623BA" w14:textId="77777777" w:rsidTr="00F5186E">
        <w:tblPrEx>
          <w:tblW w:w="0" w:type="auto"/>
          <w:tblInd w:w="0" w:type="dxa"/>
          <w:tblLook w:val="04A0"/>
        </w:tblPrEx>
        <w:tc>
          <w:tcPr>
            <w:tcW w:w="1946" w:type="dxa"/>
            <w:tcBorders>
              <w:top w:val="single" w:sz="4" w:space="0" w:color="auto"/>
              <w:left w:val="single" w:sz="4" w:space="0" w:color="auto"/>
              <w:bottom w:val="single" w:sz="4" w:space="0" w:color="auto"/>
              <w:right w:val="single" w:sz="4" w:space="0" w:color="auto"/>
            </w:tcBorders>
            <w:hideMark/>
          </w:tcPr>
          <w:p w:rsidR="00F5186E" w:rsidRPr="00F5186E" w:rsidP="00F5186E" w14:paraId="4756334B" w14:textId="77777777">
            <w:pPr>
              <w:rPr>
                <w:rFonts w:ascii="Times New Roman" w:hAnsi="Times New Roman"/>
                <w:iCs/>
                <w:sz w:val="26"/>
                <w:szCs w:val="26"/>
              </w:rPr>
            </w:pPr>
            <w:r w:rsidRPr="00F5186E">
              <w:rPr>
                <w:rFonts w:ascii="Times New Roman" w:hAnsi="Times New Roman"/>
                <w:iCs/>
                <w:sz w:val="26"/>
                <w:szCs w:val="26"/>
              </w:rPr>
              <w:t>Освіта і наука</w:t>
            </w:r>
          </w:p>
        </w:tc>
        <w:tc>
          <w:tcPr>
            <w:tcW w:w="1729" w:type="dxa"/>
            <w:tcBorders>
              <w:top w:val="single" w:sz="4" w:space="0" w:color="auto"/>
              <w:left w:val="single" w:sz="4" w:space="0" w:color="auto"/>
              <w:bottom w:val="single" w:sz="4" w:space="0" w:color="auto"/>
              <w:right w:val="single" w:sz="4" w:space="0" w:color="auto"/>
            </w:tcBorders>
            <w:hideMark/>
          </w:tcPr>
          <w:p w:rsidR="00F5186E" w:rsidRPr="00F5186E" w:rsidP="00F5186E" w14:paraId="50FA9252" w14:textId="77777777">
            <w:pPr>
              <w:jc w:val="center"/>
              <w:rPr>
                <w:rFonts w:ascii="Times New Roman" w:hAnsi="Times New Roman"/>
                <w:iCs/>
                <w:sz w:val="26"/>
                <w:szCs w:val="26"/>
              </w:rPr>
            </w:pPr>
            <w:r w:rsidRPr="00F5186E">
              <w:rPr>
                <w:rFonts w:ascii="Times New Roman" w:hAnsi="Times New Roman"/>
                <w:iCs/>
                <w:sz w:val="26"/>
                <w:szCs w:val="26"/>
              </w:rPr>
              <w:t>32 000,00</w:t>
            </w:r>
          </w:p>
        </w:tc>
        <w:tc>
          <w:tcPr>
            <w:tcW w:w="1730" w:type="dxa"/>
            <w:tcBorders>
              <w:top w:val="single" w:sz="4" w:space="0" w:color="auto"/>
              <w:left w:val="single" w:sz="4" w:space="0" w:color="auto"/>
              <w:bottom w:val="single" w:sz="4" w:space="0" w:color="auto"/>
              <w:right w:val="single" w:sz="4" w:space="0" w:color="auto"/>
            </w:tcBorders>
            <w:hideMark/>
          </w:tcPr>
          <w:p w:rsidR="00F5186E" w:rsidRPr="00F5186E" w:rsidP="00F5186E" w14:paraId="37CC37F8" w14:textId="77777777">
            <w:pPr>
              <w:jc w:val="center"/>
              <w:rPr>
                <w:rFonts w:ascii="Times New Roman" w:hAnsi="Times New Roman"/>
                <w:iCs/>
                <w:sz w:val="26"/>
                <w:szCs w:val="26"/>
              </w:rPr>
            </w:pPr>
            <w:r w:rsidRPr="00F5186E">
              <w:rPr>
                <w:rFonts w:ascii="Times New Roman" w:hAnsi="Times New Roman"/>
                <w:iCs/>
                <w:sz w:val="26"/>
                <w:szCs w:val="26"/>
              </w:rPr>
              <w:t>119 671,00</w:t>
            </w:r>
          </w:p>
        </w:tc>
        <w:tc>
          <w:tcPr>
            <w:tcW w:w="1730" w:type="dxa"/>
            <w:tcBorders>
              <w:top w:val="single" w:sz="4" w:space="0" w:color="auto"/>
              <w:left w:val="single" w:sz="4" w:space="0" w:color="auto"/>
              <w:bottom w:val="single" w:sz="4" w:space="0" w:color="auto"/>
              <w:right w:val="single" w:sz="4" w:space="0" w:color="auto"/>
            </w:tcBorders>
            <w:hideMark/>
          </w:tcPr>
          <w:p w:rsidR="00F5186E" w:rsidRPr="00F5186E" w:rsidP="00F5186E" w14:paraId="308BF950" w14:textId="77777777">
            <w:pPr>
              <w:jc w:val="center"/>
              <w:rPr>
                <w:rFonts w:ascii="Times New Roman" w:hAnsi="Times New Roman"/>
                <w:iCs/>
                <w:sz w:val="26"/>
                <w:szCs w:val="26"/>
              </w:rPr>
            </w:pPr>
            <w:r w:rsidRPr="00F5186E">
              <w:rPr>
                <w:rFonts w:ascii="Times New Roman" w:hAnsi="Times New Roman"/>
                <w:iCs/>
                <w:sz w:val="26"/>
                <w:szCs w:val="26"/>
              </w:rPr>
              <w:t>84 387,00</w:t>
            </w:r>
          </w:p>
        </w:tc>
        <w:tc>
          <w:tcPr>
            <w:tcW w:w="2494" w:type="dxa"/>
            <w:tcBorders>
              <w:top w:val="single" w:sz="4" w:space="0" w:color="auto"/>
              <w:left w:val="single" w:sz="4" w:space="0" w:color="auto"/>
              <w:bottom w:val="single" w:sz="4" w:space="0" w:color="auto"/>
              <w:right w:val="single" w:sz="4" w:space="0" w:color="auto"/>
            </w:tcBorders>
            <w:hideMark/>
          </w:tcPr>
          <w:p w:rsidR="00F5186E" w:rsidRPr="00F5186E" w:rsidP="00F5186E" w14:paraId="04E85233" w14:textId="77777777">
            <w:pPr>
              <w:jc w:val="center"/>
              <w:rPr>
                <w:rFonts w:ascii="Times New Roman" w:hAnsi="Times New Roman"/>
                <w:iCs/>
                <w:sz w:val="26"/>
                <w:szCs w:val="26"/>
              </w:rPr>
            </w:pPr>
            <w:r w:rsidRPr="00F5186E">
              <w:rPr>
                <w:rFonts w:ascii="Times New Roman" w:hAnsi="Times New Roman"/>
                <w:iCs/>
                <w:sz w:val="26"/>
                <w:szCs w:val="26"/>
              </w:rPr>
              <w:t>236 058,00</w:t>
            </w:r>
          </w:p>
        </w:tc>
      </w:tr>
      <w:tr w14:paraId="040F6DFA" w14:textId="77777777" w:rsidTr="00F5186E">
        <w:tblPrEx>
          <w:tblW w:w="0" w:type="auto"/>
          <w:tblInd w:w="0" w:type="dxa"/>
          <w:tblLook w:val="04A0"/>
        </w:tblPrEx>
        <w:tc>
          <w:tcPr>
            <w:tcW w:w="1946" w:type="dxa"/>
            <w:tcBorders>
              <w:top w:val="single" w:sz="4" w:space="0" w:color="auto"/>
              <w:left w:val="single" w:sz="4" w:space="0" w:color="auto"/>
              <w:bottom w:val="single" w:sz="4" w:space="0" w:color="auto"/>
              <w:right w:val="single" w:sz="4" w:space="0" w:color="auto"/>
            </w:tcBorders>
            <w:hideMark/>
          </w:tcPr>
          <w:p w:rsidR="00F5186E" w:rsidRPr="00F5186E" w:rsidP="00F5186E" w14:paraId="03B56F11" w14:textId="77777777">
            <w:pPr>
              <w:rPr>
                <w:rFonts w:ascii="Times New Roman" w:hAnsi="Times New Roman"/>
                <w:iCs/>
                <w:sz w:val="26"/>
                <w:szCs w:val="26"/>
              </w:rPr>
            </w:pPr>
            <w:r w:rsidRPr="00F5186E">
              <w:rPr>
                <w:rFonts w:ascii="Times New Roman" w:hAnsi="Times New Roman"/>
                <w:iCs/>
                <w:sz w:val="26"/>
                <w:szCs w:val="26"/>
              </w:rPr>
              <w:t>Охорона здоров’я</w:t>
            </w:r>
          </w:p>
        </w:tc>
        <w:tc>
          <w:tcPr>
            <w:tcW w:w="1729" w:type="dxa"/>
            <w:tcBorders>
              <w:top w:val="single" w:sz="4" w:space="0" w:color="auto"/>
              <w:left w:val="single" w:sz="4" w:space="0" w:color="auto"/>
              <w:bottom w:val="single" w:sz="4" w:space="0" w:color="auto"/>
              <w:right w:val="single" w:sz="4" w:space="0" w:color="auto"/>
            </w:tcBorders>
            <w:hideMark/>
          </w:tcPr>
          <w:p w:rsidR="00F5186E" w:rsidRPr="00F5186E" w:rsidP="00F5186E" w14:paraId="62728024" w14:textId="77777777">
            <w:pPr>
              <w:jc w:val="center"/>
              <w:rPr>
                <w:rFonts w:ascii="Times New Roman" w:hAnsi="Times New Roman"/>
                <w:iCs/>
                <w:sz w:val="26"/>
                <w:szCs w:val="26"/>
              </w:rPr>
            </w:pPr>
            <w:r w:rsidRPr="00F5186E">
              <w:rPr>
                <w:rFonts w:ascii="Times New Roman" w:hAnsi="Times New Roman"/>
                <w:iCs/>
                <w:sz w:val="26"/>
                <w:szCs w:val="26"/>
              </w:rPr>
              <w:t>42 991,96</w:t>
            </w:r>
          </w:p>
        </w:tc>
        <w:tc>
          <w:tcPr>
            <w:tcW w:w="1730" w:type="dxa"/>
            <w:tcBorders>
              <w:top w:val="single" w:sz="4" w:space="0" w:color="auto"/>
              <w:left w:val="single" w:sz="4" w:space="0" w:color="auto"/>
              <w:bottom w:val="single" w:sz="4" w:space="0" w:color="auto"/>
              <w:right w:val="single" w:sz="4" w:space="0" w:color="auto"/>
            </w:tcBorders>
            <w:hideMark/>
          </w:tcPr>
          <w:p w:rsidR="00F5186E" w:rsidRPr="00F5186E" w:rsidP="00F5186E" w14:paraId="5DAAE248" w14:textId="77777777">
            <w:pPr>
              <w:jc w:val="center"/>
              <w:rPr>
                <w:rFonts w:ascii="Times New Roman" w:hAnsi="Times New Roman"/>
                <w:iCs/>
                <w:sz w:val="26"/>
                <w:szCs w:val="26"/>
              </w:rPr>
            </w:pPr>
            <w:r w:rsidRPr="00F5186E">
              <w:rPr>
                <w:rFonts w:ascii="Times New Roman" w:hAnsi="Times New Roman"/>
                <w:iCs/>
                <w:sz w:val="26"/>
                <w:szCs w:val="26"/>
              </w:rPr>
              <w:t>0,00</w:t>
            </w:r>
          </w:p>
        </w:tc>
        <w:tc>
          <w:tcPr>
            <w:tcW w:w="1730" w:type="dxa"/>
            <w:tcBorders>
              <w:top w:val="single" w:sz="4" w:space="0" w:color="auto"/>
              <w:left w:val="single" w:sz="4" w:space="0" w:color="auto"/>
              <w:bottom w:val="single" w:sz="4" w:space="0" w:color="auto"/>
              <w:right w:val="single" w:sz="4" w:space="0" w:color="auto"/>
            </w:tcBorders>
            <w:hideMark/>
          </w:tcPr>
          <w:p w:rsidR="00F5186E" w:rsidRPr="00F5186E" w:rsidP="00F5186E" w14:paraId="7FB7D1FF" w14:textId="77777777">
            <w:pPr>
              <w:jc w:val="center"/>
              <w:rPr>
                <w:rFonts w:ascii="Times New Roman" w:hAnsi="Times New Roman"/>
                <w:iCs/>
                <w:sz w:val="26"/>
                <w:szCs w:val="26"/>
              </w:rPr>
            </w:pPr>
            <w:r w:rsidRPr="00F5186E">
              <w:rPr>
                <w:rFonts w:ascii="Times New Roman" w:hAnsi="Times New Roman"/>
                <w:iCs/>
                <w:sz w:val="26"/>
                <w:szCs w:val="26"/>
              </w:rPr>
              <w:t>0,00</w:t>
            </w:r>
          </w:p>
        </w:tc>
        <w:tc>
          <w:tcPr>
            <w:tcW w:w="2494" w:type="dxa"/>
            <w:tcBorders>
              <w:top w:val="single" w:sz="4" w:space="0" w:color="auto"/>
              <w:left w:val="single" w:sz="4" w:space="0" w:color="auto"/>
              <w:bottom w:val="single" w:sz="4" w:space="0" w:color="auto"/>
              <w:right w:val="single" w:sz="4" w:space="0" w:color="auto"/>
            </w:tcBorders>
            <w:hideMark/>
          </w:tcPr>
          <w:p w:rsidR="00F5186E" w:rsidRPr="00F5186E" w:rsidP="00F5186E" w14:paraId="4A002EC7" w14:textId="77777777">
            <w:pPr>
              <w:jc w:val="center"/>
              <w:rPr>
                <w:rFonts w:ascii="Times New Roman" w:hAnsi="Times New Roman"/>
                <w:iCs/>
                <w:sz w:val="26"/>
                <w:szCs w:val="26"/>
              </w:rPr>
            </w:pPr>
            <w:r w:rsidRPr="00F5186E">
              <w:rPr>
                <w:rFonts w:ascii="Times New Roman" w:hAnsi="Times New Roman"/>
                <w:iCs/>
                <w:sz w:val="26"/>
                <w:szCs w:val="26"/>
              </w:rPr>
              <w:t>42 991,96</w:t>
            </w:r>
          </w:p>
        </w:tc>
      </w:tr>
      <w:tr w14:paraId="1B8AB5D8" w14:textId="77777777" w:rsidTr="00F5186E">
        <w:tblPrEx>
          <w:tblW w:w="0" w:type="auto"/>
          <w:tblInd w:w="0" w:type="dxa"/>
          <w:tblLook w:val="04A0"/>
        </w:tblPrEx>
        <w:tc>
          <w:tcPr>
            <w:tcW w:w="1946" w:type="dxa"/>
            <w:tcBorders>
              <w:top w:val="single" w:sz="4" w:space="0" w:color="auto"/>
              <w:left w:val="single" w:sz="4" w:space="0" w:color="auto"/>
              <w:bottom w:val="single" w:sz="4" w:space="0" w:color="auto"/>
              <w:right w:val="single" w:sz="4" w:space="0" w:color="auto"/>
            </w:tcBorders>
            <w:hideMark/>
          </w:tcPr>
          <w:p w:rsidR="00F5186E" w:rsidRPr="00F5186E" w:rsidP="00F5186E" w14:paraId="5EFAAF97" w14:textId="77777777">
            <w:pPr>
              <w:rPr>
                <w:rFonts w:ascii="Times New Roman" w:hAnsi="Times New Roman"/>
                <w:iCs/>
                <w:sz w:val="26"/>
                <w:szCs w:val="26"/>
              </w:rPr>
            </w:pPr>
            <w:r w:rsidRPr="00F5186E">
              <w:rPr>
                <w:rFonts w:ascii="Times New Roman" w:hAnsi="Times New Roman"/>
                <w:iCs/>
                <w:sz w:val="26"/>
                <w:szCs w:val="26"/>
              </w:rPr>
              <w:t>Культура</w:t>
            </w:r>
          </w:p>
        </w:tc>
        <w:tc>
          <w:tcPr>
            <w:tcW w:w="1729" w:type="dxa"/>
            <w:tcBorders>
              <w:top w:val="single" w:sz="4" w:space="0" w:color="auto"/>
              <w:left w:val="single" w:sz="4" w:space="0" w:color="auto"/>
              <w:bottom w:val="single" w:sz="4" w:space="0" w:color="auto"/>
              <w:right w:val="single" w:sz="4" w:space="0" w:color="auto"/>
            </w:tcBorders>
            <w:hideMark/>
          </w:tcPr>
          <w:p w:rsidR="00F5186E" w:rsidRPr="00F5186E" w:rsidP="00F5186E" w14:paraId="522F0E4B" w14:textId="77777777">
            <w:pPr>
              <w:jc w:val="center"/>
              <w:rPr>
                <w:rFonts w:ascii="Times New Roman" w:hAnsi="Times New Roman"/>
                <w:iCs/>
                <w:sz w:val="26"/>
                <w:szCs w:val="26"/>
              </w:rPr>
            </w:pPr>
            <w:r w:rsidRPr="00F5186E">
              <w:rPr>
                <w:rFonts w:ascii="Times New Roman" w:hAnsi="Times New Roman"/>
                <w:iCs/>
                <w:sz w:val="26"/>
                <w:szCs w:val="26"/>
              </w:rPr>
              <w:t>0,00</w:t>
            </w:r>
          </w:p>
        </w:tc>
        <w:tc>
          <w:tcPr>
            <w:tcW w:w="1730" w:type="dxa"/>
            <w:tcBorders>
              <w:top w:val="single" w:sz="4" w:space="0" w:color="auto"/>
              <w:left w:val="single" w:sz="4" w:space="0" w:color="auto"/>
              <w:bottom w:val="single" w:sz="4" w:space="0" w:color="auto"/>
              <w:right w:val="single" w:sz="4" w:space="0" w:color="auto"/>
            </w:tcBorders>
            <w:hideMark/>
          </w:tcPr>
          <w:p w:rsidR="00F5186E" w:rsidRPr="00F5186E" w:rsidP="00F5186E" w14:paraId="7244364C" w14:textId="77777777">
            <w:pPr>
              <w:jc w:val="center"/>
              <w:rPr>
                <w:rFonts w:ascii="Times New Roman" w:hAnsi="Times New Roman"/>
                <w:iCs/>
                <w:sz w:val="26"/>
                <w:szCs w:val="26"/>
              </w:rPr>
            </w:pPr>
            <w:r w:rsidRPr="00F5186E">
              <w:rPr>
                <w:rFonts w:ascii="Times New Roman" w:hAnsi="Times New Roman"/>
                <w:iCs/>
                <w:sz w:val="26"/>
                <w:szCs w:val="26"/>
              </w:rPr>
              <w:t>17 800,00</w:t>
            </w:r>
          </w:p>
        </w:tc>
        <w:tc>
          <w:tcPr>
            <w:tcW w:w="1730" w:type="dxa"/>
            <w:tcBorders>
              <w:top w:val="single" w:sz="4" w:space="0" w:color="auto"/>
              <w:left w:val="single" w:sz="4" w:space="0" w:color="auto"/>
              <w:bottom w:val="single" w:sz="4" w:space="0" w:color="auto"/>
              <w:right w:val="single" w:sz="4" w:space="0" w:color="auto"/>
            </w:tcBorders>
            <w:hideMark/>
          </w:tcPr>
          <w:p w:rsidR="00F5186E" w:rsidRPr="00F5186E" w:rsidP="00F5186E" w14:paraId="3DE406C2" w14:textId="77777777">
            <w:pPr>
              <w:jc w:val="center"/>
              <w:rPr>
                <w:rFonts w:ascii="Times New Roman" w:hAnsi="Times New Roman"/>
                <w:iCs/>
                <w:sz w:val="26"/>
                <w:szCs w:val="26"/>
              </w:rPr>
            </w:pPr>
            <w:r w:rsidRPr="00F5186E">
              <w:rPr>
                <w:rFonts w:ascii="Times New Roman" w:hAnsi="Times New Roman"/>
                <w:iCs/>
                <w:sz w:val="26"/>
                <w:szCs w:val="26"/>
              </w:rPr>
              <w:t>6 000,00</w:t>
            </w:r>
          </w:p>
        </w:tc>
        <w:tc>
          <w:tcPr>
            <w:tcW w:w="2494" w:type="dxa"/>
            <w:tcBorders>
              <w:top w:val="single" w:sz="4" w:space="0" w:color="auto"/>
              <w:left w:val="single" w:sz="4" w:space="0" w:color="auto"/>
              <w:bottom w:val="single" w:sz="4" w:space="0" w:color="auto"/>
              <w:right w:val="single" w:sz="4" w:space="0" w:color="auto"/>
            </w:tcBorders>
            <w:hideMark/>
          </w:tcPr>
          <w:p w:rsidR="00F5186E" w:rsidRPr="00F5186E" w:rsidP="00F5186E" w14:paraId="6FE411C5" w14:textId="77777777">
            <w:pPr>
              <w:jc w:val="center"/>
              <w:rPr>
                <w:rFonts w:ascii="Times New Roman" w:hAnsi="Times New Roman"/>
                <w:iCs/>
                <w:sz w:val="26"/>
                <w:szCs w:val="26"/>
              </w:rPr>
            </w:pPr>
            <w:r w:rsidRPr="00F5186E">
              <w:rPr>
                <w:rFonts w:ascii="Times New Roman" w:hAnsi="Times New Roman"/>
                <w:iCs/>
                <w:sz w:val="26"/>
                <w:szCs w:val="26"/>
              </w:rPr>
              <w:t>23 800,00</w:t>
            </w:r>
          </w:p>
        </w:tc>
      </w:tr>
      <w:tr w14:paraId="0F68DDE4" w14:textId="77777777" w:rsidTr="00F5186E">
        <w:tblPrEx>
          <w:tblW w:w="0" w:type="auto"/>
          <w:tblInd w:w="0" w:type="dxa"/>
          <w:tblLook w:val="04A0"/>
        </w:tblPrEx>
        <w:tc>
          <w:tcPr>
            <w:tcW w:w="1946" w:type="dxa"/>
            <w:tcBorders>
              <w:top w:val="single" w:sz="4" w:space="0" w:color="auto"/>
              <w:left w:val="single" w:sz="4" w:space="0" w:color="auto"/>
              <w:bottom w:val="single" w:sz="4" w:space="0" w:color="auto"/>
              <w:right w:val="single" w:sz="4" w:space="0" w:color="auto"/>
            </w:tcBorders>
            <w:hideMark/>
          </w:tcPr>
          <w:p w:rsidR="00F5186E" w:rsidRPr="00F5186E" w:rsidP="00F5186E" w14:paraId="336EDBF0" w14:textId="77777777">
            <w:pPr>
              <w:rPr>
                <w:rFonts w:ascii="Times New Roman" w:hAnsi="Times New Roman"/>
                <w:iCs/>
                <w:sz w:val="26"/>
                <w:szCs w:val="26"/>
              </w:rPr>
            </w:pPr>
            <w:r w:rsidRPr="00F5186E">
              <w:rPr>
                <w:rFonts w:ascii="Times New Roman" w:hAnsi="Times New Roman"/>
                <w:iCs/>
                <w:sz w:val="26"/>
                <w:szCs w:val="26"/>
              </w:rPr>
              <w:t>Спорт та фізичне виховання</w:t>
            </w:r>
          </w:p>
        </w:tc>
        <w:tc>
          <w:tcPr>
            <w:tcW w:w="1729" w:type="dxa"/>
            <w:tcBorders>
              <w:top w:val="single" w:sz="4" w:space="0" w:color="auto"/>
              <w:left w:val="single" w:sz="4" w:space="0" w:color="auto"/>
              <w:bottom w:val="single" w:sz="4" w:space="0" w:color="auto"/>
              <w:right w:val="single" w:sz="4" w:space="0" w:color="auto"/>
            </w:tcBorders>
          </w:tcPr>
          <w:p w:rsidR="00F5186E" w:rsidRPr="00F5186E" w:rsidP="00F5186E" w14:paraId="3EF85011" w14:textId="77777777">
            <w:pPr>
              <w:jc w:val="center"/>
              <w:rPr>
                <w:rFonts w:ascii="Times New Roman" w:hAnsi="Times New Roman"/>
                <w:iCs/>
                <w:sz w:val="26"/>
                <w:szCs w:val="26"/>
              </w:rPr>
            </w:pPr>
          </w:p>
          <w:p w:rsidR="00F5186E" w:rsidRPr="00F5186E" w:rsidP="00F5186E" w14:paraId="572479C3" w14:textId="77777777">
            <w:pPr>
              <w:jc w:val="center"/>
              <w:rPr>
                <w:rFonts w:ascii="Times New Roman" w:hAnsi="Times New Roman"/>
                <w:iCs/>
                <w:sz w:val="26"/>
                <w:szCs w:val="26"/>
              </w:rPr>
            </w:pPr>
            <w:r w:rsidRPr="00F5186E">
              <w:rPr>
                <w:rFonts w:ascii="Times New Roman" w:hAnsi="Times New Roman"/>
                <w:iCs/>
                <w:sz w:val="26"/>
                <w:szCs w:val="26"/>
              </w:rPr>
              <w:t>140,00</w:t>
            </w:r>
          </w:p>
        </w:tc>
        <w:tc>
          <w:tcPr>
            <w:tcW w:w="1730" w:type="dxa"/>
            <w:tcBorders>
              <w:top w:val="single" w:sz="4" w:space="0" w:color="auto"/>
              <w:left w:val="single" w:sz="4" w:space="0" w:color="auto"/>
              <w:bottom w:val="single" w:sz="4" w:space="0" w:color="auto"/>
              <w:right w:val="single" w:sz="4" w:space="0" w:color="auto"/>
            </w:tcBorders>
          </w:tcPr>
          <w:p w:rsidR="00F5186E" w:rsidRPr="00F5186E" w:rsidP="00F5186E" w14:paraId="2D6002A9" w14:textId="77777777">
            <w:pPr>
              <w:rPr>
                <w:rFonts w:ascii="Times New Roman" w:hAnsi="Times New Roman"/>
                <w:iCs/>
                <w:sz w:val="26"/>
                <w:szCs w:val="26"/>
              </w:rPr>
            </w:pPr>
          </w:p>
          <w:p w:rsidR="00F5186E" w:rsidRPr="00F5186E" w:rsidP="00F5186E" w14:paraId="5752D88C" w14:textId="77777777">
            <w:pPr>
              <w:jc w:val="center"/>
              <w:rPr>
                <w:rFonts w:ascii="Times New Roman" w:hAnsi="Times New Roman"/>
                <w:iCs/>
                <w:sz w:val="26"/>
                <w:szCs w:val="26"/>
              </w:rPr>
            </w:pPr>
            <w:r w:rsidRPr="00F5186E">
              <w:rPr>
                <w:rFonts w:ascii="Times New Roman" w:hAnsi="Times New Roman"/>
                <w:iCs/>
                <w:sz w:val="26"/>
                <w:szCs w:val="26"/>
              </w:rPr>
              <w:t>0,00</w:t>
            </w:r>
          </w:p>
        </w:tc>
        <w:tc>
          <w:tcPr>
            <w:tcW w:w="1730" w:type="dxa"/>
            <w:tcBorders>
              <w:top w:val="single" w:sz="4" w:space="0" w:color="auto"/>
              <w:left w:val="single" w:sz="4" w:space="0" w:color="auto"/>
              <w:bottom w:val="single" w:sz="4" w:space="0" w:color="auto"/>
              <w:right w:val="single" w:sz="4" w:space="0" w:color="auto"/>
            </w:tcBorders>
          </w:tcPr>
          <w:p w:rsidR="00F5186E" w:rsidRPr="00F5186E" w:rsidP="00F5186E" w14:paraId="204A53D2" w14:textId="77777777">
            <w:pPr>
              <w:rPr>
                <w:rFonts w:ascii="Times New Roman" w:hAnsi="Times New Roman"/>
                <w:iCs/>
                <w:sz w:val="26"/>
                <w:szCs w:val="26"/>
              </w:rPr>
            </w:pPr>
          </w:p>
          <w:p w:rsidR="00F5186E" w:rsidRPr="00F5186E" w:rsidP="00F5186E" w14:paraId="5E7E5469" w14:textId="77777777">
            <w:pPr>
              <w:jc w:val="center"/>
              <w:rPr>
                <w:rFonts w:ascii="Times New Roman" w:hAnsi="Times New Roman"/>
                <w:iCs/>
                <w:sz w:val="26"/>
                <w:szCs w:val="26"/>
              </w:rPr>
            </w:pPr>
            <w:r w:rsidRPr="00F5186E">
              <w:rPr>
                <w:rFonts w:ascii="Times New Roman" w:hAnsi="Times New Roman"/>
                <w:iCs/>
                <w:sz w:val="26"/>
                <w:szCs w:val="26"/>
              </w:rPr>
              <w:t>0,00</w:t>
            </w:r>
          </w:p>
        </w:tc>
        <w:tc>
          <w:tcPr>
            <w:tcW w:w="2494" w:type="dxa"/>
            <w:tcBorders>
              <w:top w:val="single" w:sz="4" w:space="0" w:color="auto"/>
              <w:left w:val="single" w:sz="4" w:space="0" w:color="auto"/>
              <w:bottom w:val="single" w:sz="4" w:space="0" w:color="auto"/>
              <w:right w:val="single" w:sz="4" w:space="0" w:color="auto"/>
            </w:tcBorders>
          </w:tcPr>
          <w:p w:rsidR="00F5186E" w:rsidRPr="00F5186E" w:rsidP="00F5186E" w14:paraId="2F793808" w14:textId="77777777">
            <w:pPr>
              <w:jc w:val="center"/>
              <w:rPr>
                <w:rFonts w:ascii="Times New Roman" w:hAnsi="Times New Roman"/>
                <w:iCs/>
                <w:sz w:val="26"/>
                <w:szCs w:val="26"/>
              </w:rPr>
            </w:pPr>
          </w:p>
          <w:p w:rsidR="00F5186E" w:rsidRPr="00F5186E" w:rsidP="00F5186E" w14:paraId="5867565C" w14:textId="77777777">
            <w:pPr>
              <w:jc w:val="center"/>
              <w:rPr>
                <w:rFonts w:ascii="Times New Roman" w:hAnsi="Times New Roman"/>
                <w:iCs/>
                <w:sz w:val="26"/>
                <w:szCs w:val="26"/>
              </w:rPr>
            </w:pPr>
            <w:r w:rsidRPr="00F5186E">
              <w:rPr>
                <w:rFonts w:ascii="Times New Roman" w:hAnsi="Times New Roman"/>
                <w:iCs/>
                <w:sz w:val="26"/>
                <w:szCs w:val="26"/>
              </w:rPr>
              <w:t>140,00</w:t>
            </w:r>
          </w:p>
        </w:tc>
      </w:tr>
      <w:tr w14:paraId="2D40B0D7" w14:textId="77777777" w:rsidTr="00F5186E">
        <w:tblPrEx>
          <w:tblW w:w="0" w:type="auto"/>
          <w:tblInd w:w="0" w:type="dxa"/>
          <w:tblLook w:val="04A0"/>
        </w:tblPrEx>
        <w:tc>
          <w:tcPr>
            <w:tcW w:w="1946" w:type="dxa"/>
            <w:tcBorders>
              <w:top w:val="single" w:sz="4" w:space="0" w:color="auto"/>
              <w:left w:val="single" w:sz="4" w:space="0" w:color="auto"/>
              <w:bottom w:val="single" w:sz="4" w:space="0" w:color="auto"/>
              <w:right w:val="single" w:sz="4" w:space="0" w:color="auto"/>
            </w:tcBorders>
            <w:hideMark/>
          </w:tcPr>
          <w:p w:rsidR="00F5186E" w:rsidRPr="00F5186E" w:rsidP="00F5186E" w14:paraId="45153ED5" w14:textId="77777777">
            <w:pPr>
              <w:rPr>
                <w:rFonts w:ascii="Times New Roman" w:hAnsi="Times New Roman"/>
                <w:iCs/>
                <w:sz w:val="26"/>
                <w:szCs w:val="26"/>
              </w:rPr>
            </w:pPr>
            <w:r w:rsidRPr="00F5186E">
              <w:rPr>
                <w:rFonts w:ascii="Times New Roman" w:hAnsi="Times New Roman"/>
                <w:iCs/>
                <w:sz w:val="26"/>
                <w:szCs w:val="26"/>
              </w:rPr>
              <w:t>Соціальна сфера</w:t>
            </w:r>
          </w:p>
        </w:tc>
        <w:tc>
          <w:tcPr>
            <w:tcW w:w="1729" w:type="dxa"/>
            <w:tcBorders>
              <w:top w:val="single" w:sz="4" w:space="0" w:color="auto"/>
              <w:left w:val="single" w:sz="4" w:space="0" w:color="auto"/>
              <w:bottom w:val="single" w:sz="4" w:space="0" w:color="auto"/>
              <w:right w:val="single" w:sz="4" w:space="0" w:color="auto"/>
            </w:tcBorders>
            <w:hideMark/>
          </w:tcPr>
          <w:p w:rsidR="00F5186E" w:rsidRPr="00F5186E" w:rsidP="00F5186E" w14:paraId="5B184466" w14:textId="77777777">
            <w:pPr>
              <w:jc w:val="center"/>
              <w:rPr>
                <w:rFonts w:ascii="Times New Roman" w:hAnsi="Times New Roman"/>
                <w:iCs/>
                <w:sz w:val="26"/>
                <w:szCs w:val="26"/>
              </w:rPr>
            </w:pPr>
            <w:r w:rsidRPr="00F5186E">
              <w:rPr>
                <w:rFonts w:ascii="Times New Roman" w:hAnsi="Times New Roman"/>
                <w:iCs/>
                <w:sz w:val="26"/>
                <w:szCs w:val="26"/>
              </w:rPr>
              <w:t>2 000,00</w:t>
            </w:r>
          </w:p>
        </w:tc>
        <w:tc>
          <w:tcPr>
            <w:tcW w:w="1730" w:type="dxa"/>
            <w:tcBorders>
              <w:top w:val="single" w:sz="4" w:space="0" w:color="auto"/>
              <w:left w:val="single" w:sz="4" w:space="0" w:color="auto"/>
              <w:bottom w:val="single" w:sz="4" w:space="0" w:color="auto"/>
              <w:right w:val="single" w:sz="4" w:space="0" w:color="auto"/>
            </w:tcBorders>
            <w:hideMark/>
          </w:tcPr>
          <w:p w:rsidR="00F5186E" w:rsidRPr="00F5186E" w:rsidP="00F5186E" w14:paraId="4D04E0C9" w14:textId="77777777">
            <w:pPr>
              <w:jc w:val="center"/>
              <w:rPr>
                <w:rFonts w:ascii="Times New Roman" w:hAnsi="Times New Roman"/>
                <w:iCs/>
                <w:sz w:val="26"/>
                <w:szCs w:val="26"/>
              </w:rPr>
            </w:pPr>
            <w:r w:rsidRPr="00F5186E">
              <w:rPr>
                <w:rFonts w:ascii="Times New Roman" w:hAnsi="Times New Roman"/>
                <w:iCs/>
                <w:sz w:val="26"/>
                <w:szCs w:val="26"/>
              </w:rPr>
              <w:t>19 000,00</w:t>
            </w:r>
          </w:p>
        </w:tc>
        <w:tc>
          <w:tcPr>
            <w:tcW w:w="1730" w:type="dxa"/>
            <w:tcBorders>
              <w:top w:val="single" w:sz="4" w:space="0" w:color="auto"/>
              <w:left w:val="single" w:sz="4" w:space="0" w:color="auto"/>
              <w:bottom w:val="single" w:sz="4" w:space="0" w:color="auto"/>
              <w:right w:val="single" w:sz="4" w:space="0" w:color="auto"/>
            </w:tcBorders>
            <w:hideMark/>
          </w:tcPr>
          <w:p w:rsidR="00F5186E" w:rsidRPr="00F5186E" w:rsidP="00F5186E" w14:paraId="4F304FCB" w14:textId="77777777">
            <w:pPr>
              <w:jc w:val="center"/>
              <w:rPr>
                <w:rFonts w:ascii="Times New Roman" w:hAnsi="Times New Roman"/>
                <w:iCs/>
                <w:sz w:val="26"/>
                <w:szCs w:val="26"/>
              </w:rPr>
            </w:pPr>
            <w:r w:rsidRPr="00F5186E">
              <w:rPr>
                <w:rFonts w:ascii="Times New Roman" w:hAnsi="Times New Roman"/>
                <w:iCs/>
                <w:sz w:val="26"/>
                <w:szCs w:val="26"/>
              </w:rPr>
              <w:t>0,00</w:t>
            </w:r>
          </w:p>
        </w:tc>
        <w:tc>
          <w:tcPr>
            <w:tcW w:w="2494" w:type="dxa"/>
            <w:tcBorders>
              <w:top w:val="single" w:sz="4" w:space="0" w:color="auto"/>
              <w:left w:val="single" w:sz="4" w:space="0" w:color="auto"/>
              <w:bottom w:val="single" w:sz="4" w:space="0" w:color="auto"/>
              <w:right w:val="single" w:sz="4" w:space="0" w:color="auto"/>
            </w:tcBorders>
            <w:hideMark/>
          </w:tcPr>
          <w:p w:rsidR="00F5186E" w:rsidRPr="00F5186E" w:rsidP="00F5186E" w14:paraId="0B71F13F" w14:textId="77777777">
            <w:pPr>
              <w:jc w:val="center"/>
              <w:rPr>
                <w:rFonts w:ascii="Times New Roman" w:hAnsi="Times New Roman"/>
                <w:iCs/>
                <w:sz w:val="26"/>
                <w:szCs w:val="26"/>
              </w:rPr>
            </w:pPr>
            <w:r w:rsidRPr="00F5186E">
              <w:rPr>
                <w:rFonts w:ascii="Times New Roman" w:hAnsi="Times New Roman"/>
                <w:iCs/>
                <w:sz w:val="26"/>
                <w:szCs w:val="26"/>
              </w:rPr>
              <w:t>21 000,00</w:t>
            </w:r>
          </w:p>
        </w:tc>
      </w:tr>
      <w:tr w14:paraId="0AFFA953" w14:textId="77777777" w:rsidTr="00F5186E">
        <w:tblPrEx>
          <w:tblW w:w="0" w:type="auto"/>
          <w:tblInd w:w="0" w:type="dxa"/>
          <w:tblLook w:val="04A0"/>
        </w:tblPrEx>
        <w:tc>
          <w:tcPr>
            <w:tcW w:w="1946" w:type="dxa"/>
            <w:tcBorders>
              <w:top w:val="single" w:sz="4" w:space="0" w:color="auto"/>
              <w:left w:val="single" w:sz="4" w:space="0" w:color="auto"/>
              <w:bottom w:val="single" w:sz="4" w:space="0" w:color="auto"/>
              <w:right w:val="single" w:sz="4" w:space="0" w:color="auto"/>
            </w:tcBorders>
            <w:hideMark/>
          </w:tcPr>
          <w:p w:rsidR="00F5186E" w:rsidRPr="00F5186E" w:rsidP="00F5186E" w14:paraId="25CCEF5D" w14:textId="77777777">
            <w:pPr>
              <w:rPr>
                <w:rFonts w:ascii="Times New Roman" w:hAnsi="Times New Roman"/>
                <w:b/>
                <w:iCs/>
                <w:sz w:val="26"/>
                <w:szCs w:val="26"/>
              </w:rPr>
            </w:pPr>
            <w:r w:rsidRPr="00F5186E">
              <w:rPr>
                <w:rFonts w:ascii="Times New Roman" w:hAnsi="Times New Roman"/>
                <w:b/>
                <w:iCs/>
                <w:sz w:val="26"/>
                <w:szCs w:val="26"/>
              </w:rPr>
              <w:t>Загальний результат</w:t>
            </w:r>
          </w:p>
        </w:tc>
        <w:tc>
          <w:tcPr>
            <w:tcW w:w="1729" w:type="dxa"/>
            <w:tcBorders>
              <w:top w:val="single" w:sz="4" w:space="0" w:color="auto"/>
              <w:left w:val="single" w:sz="4" w:space="0" w:color="auto"/>
              <w:bottom w:val="single" w:sz="4" w:space="0" w:color="auto"/>
              <w:right w:val="single" w:sz="4" w:space="0" w:color="auto"/>
            </w:tcBorders>
            <w:hideMark/>
          </w:tcPr>
          <w:p w:rsidR="00F5186E" w:rsidRPr="00F5186E" w:rsidP="00F5186E" w14:paraId="420792A9" w14:textId="77777777">
            <w:pPr>
              <w:jc w:val="center"/>
              <w:rPr>
                <w:rFonts w:ascii="Times New Roman" w:hAnsi="Times New Roman"/>
                <w:b/>
                <w:iCs/>
                <w:sz w:val="26"/>
                <w:szCs w:val="26"/>
              </w:rPr>
            </w:pPr>
            <w:r w:rsidRPr="00F5186E">
              <w:rPr>
                <w:rFonts w:ascii="Times New Roman" w:hAnsi="Times New Roman"/>
                <w:b/>
                <w:iCs/>
                <w:sz w:val="26"/>
                <w:szCs w:val="26"/>
              </w:rPr>
              <w:t>200 000,00</w:t>
            </w:r>
          </w:p>
        </w:tc>
        <w:tc>
          <w:tcPr>
            <w:tcW w:w="1730" w:type="dxa"/>
            <w:tcBorders>
              <w:top w:val="single" w:sz="4" w:space="0" w:color="auto"/>
              <w:left w:val="single" w:sz="4" w:space="0" w:color="auto"/>
              <w:bottom w:val="single" w:sz="4" w:space="0" w:color="auto"/>
              <w:right w:val="single" w:sz="4" w:space="0" w:color="auto"/>
            </w:tcBorders>
            <w:hideMark/>
          </w:tcPr>
          <w:p w:rsidR="00F5186E" w:rsidRPr="00F5186E" w:rsidP="00F5186E" w14:paraId="379228FF" w14:textId="77777777">
            <w:pPr>
              <w:jc w:val="center"/>
              <w:rPr>
                <w:rFonts w:ascii="Times New Roman" w:hAnsi="Times New Roman"/>
                <w:b/>
                <w:iCs/>
                <w:sz w:val="26"/>
                <w:szCs w:val="26"/>
              </w:rPr>
            </w:pPr>
            <w:r w:rsidRPr="00F5186E">
              <w:rPr>
                <w:rFonts w:ascii="Times New Roman" w:hAnsi="Times New Roman"/>
                <w:b/>
                <w:iCs/>
                <w:sz w:val="26"/>
                <w:szCs w:val="26"/>
              </w:rPr>
              <w:t>200 000,00</w:t>
            </w:r>
          </w:p>
        </w:tc>
        <w:tc>
          <w:tcPr>
            <w:tcW w:w="1730" w:type="dxa"/>
            <w:tcBorders>
              <w:top w:val="single" w:sz="4" w:space="0" w:color="auto"/>
              <w:left w:val="single" w:sz="4" w:space="0" w:color="auto"/>
              <w:bottom w:val="single" w:sz="4" w:space="0" w:color="auto"/>
              <w:right w:val="single" w:sz="4" w:space="0" w:color="auto"/>
            </w:tcBorders>
            <w:hideMark/>
          </w:tcPr>
          <w:p w:rsidR="00F5186E" w:rsidRPr="00F5186E" w:rsidP="00F5186E" w14:paraId="7D3BA30A" w14:textId="77777777">
            <w:pPr>
              <w:jc w:val="center"/>
              <w:rPr>
                <w:rFonts w:ascii="Times New Roman" w:hAnsi="Times New Roman"/>
                <w:b/>
                <w:iCs/>
                <w:sz w:val="26"/>
                <w:szCs w:val="26"/>
              </w:rPr>
            </w:pPr>
            <w:r w:rsidRPr="00F5186E">
              <w:rPr>
                <w:rFonts w:ascii="Times New Roman" w:hAnsi="Times New Roman"/>
                <w:b/>
                <w:iCs/>
                <w:sz w:val="26"/>
                <w:szCs w:val="26"/>
              </w:rPr>
              <w:t>200 000,00</w:t>
            </w:r>
          </w:p>
        </w:tc>
        <w:tc>
          <w:tcPr>
            <w:tcW w:w="2494" w:type="dxa"/>
            <w:tcBorders>
              <w:top w:val="single" w:sz="4" w:space="0" w:color="auto"/>
              <w:left w:val="single" w:sz="4" w:space="0" w:color="auto"/>
              <w:bottom w:val="single" w:sz="4" w:space="0" w:color="auto"/>
              <w:right w:val="single" w:sz="4" w:space="0" w:color="auto"/>
            </w:tcBorders>
            <w:hideMark/>
          </w:tcPr>
          <w:p w:rsidR="00F5186E" w:rsidRPr="00F5186E" w:rsidP="00F5186E" w14:paraId="73EA9FC1" w14:textId="77777777">
            <w:pPr>
              <w:jc w:val="center"/>
              <w:rPr>
                <w:rFonts w:ascii="Times New Roman" w:hAnsi="Times New Roman"/>
                <w:b/>
                <w:iCs/>
                <w:sz w:val="26"/>
                <w:szCs w:val="26"/>
              </w:rPr>
            </w:pPr>
            <w:r w:rsidRPr="00F5186E">
              <w:rPr>
                <w:rFonts w:ascii="Times New Roman" w:hAnsi="Times New Roman"/>
                <w:b/>
                <w:iCs/>
                <w:sz w:val="26"/>
                <w:szCs w:val="26"/>
              </w:rPr>
              <w:t>600 000,00</w:t>
            </w:r>
          </w:p>
        </w:tc>
      </w:tr>
    </w:tbl>
    <w:p w:rsidR="00F5186E" w:rsidRPr="00F5186E" w:rsidP="005306E2" w14:paraId="2974C917" w14:textId="77777777">
      <w:pPr>
        <w:spacing w:after="160" w:line="256" w:lineRule="auto"/>
        <w:jc w:val="center"/>
        <w:rPr>
          <w:rFonts w:ascii="Times New Roman" w:eastAsia="Calibri" w:hAnsi="Times New Roman" w:cs="Times New Roman"/>
          <w:i/>
          <w:iCs/>
          <w:sz w:val="28"/>
          <w:szCs w:val="28"/>
          <w:lang w:eastAsia="en-US"/>
        </w:rPr>
      </w:pPr>
      <w:r w:rsidRPr="00F5186E">
        <w:rPr>
          <w:rFonts w:ascii="Times New Roman" w:eastAsia="Calibri" w:hAnsi="Times New Roman" w:cs="Times New Roman"/>
          <w:i/>
          <w:iCs/>
          <w:sz w:val="28"/>
          <w:szCs w:val="28"/>
          <w:lang w:eastAsia="en-US"/>
        </w:rPr>
        <w:t>Підсумки та перспективи</w:t>
      </w:r>
    </w:p>
    <w:p w:rsidR="00F5186E" w:rsidRPr="00F5186E" w:rsidP="00F5186E" w14:paraId="005349DB" w14:textId="77777777">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 xml:space="preserve">Середньостроковий план є документом, що формує основу для якісно нового підходу до управління публічними інвестиціями в Броварській міській територіальній громаді. </w:t>
      </w:r>
    </w:p>
    <w:p w:rsidR="00F5186E" w:rsidRPr="00F5186E" w:rsidP="00F5186E" w14:paraId="16450983" w14:textId="77777777">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 xml:space="preserve">Визначення наскрізних стратегічних цілей, узгодження з наявними стратегічними документами, продовження та завершення розпочатих </w:t>
      </w:r>
      <w:r w:rsidRPr="00F5186E">
        <w:rPr>
          <w:rFonts w:ascii="Times New Roman" w:eastAsia="Calibri" w:hAnsi="Times New Roman" w:cs="Times New Roman"/>
          <w:iCs/>
          <w:sz w:val="28"/>
          <w:szCs w:val="28"/>
          <w:lang w:eastAsia="en-US"/>
        </w:rPr>
        <w:t>проєктів</w:t>
      </w:r>
      <w:r w:rsidRPr="00F5186E">
        <w:rPr>
          <w:rFonts w:ascii="Times New Roman" w:eastAsia="Calibri" w:hAnsi="Times New Roman" w:cs="Times New Roman"/>
          <w:iCs/>
          <w:sz w:val="28"/>
          <w:szCs w:val="28"/>
          <w:lang w:eastAsia="en-US"/>
        </w:rPr>
        <w:t xml:space="preserve"> і програм, а також закріплення пріоритетних галузей (секторів) і основних напрямів публічного інвестування забезпечують спрямування ресурсів на реалізацію ключових пріоритетів розвитку громади. Це сприятиме ефективному використанню як попередньо вкладених, так і поточних публічних інвестицій, а також створить чітке розуміння пріоритетних сфер, що потребують місцевої, державної підтримки та донорської допомоги у середньостроковому періоді. </w:t>
      </w:r>
    </w:p>
    <w:p w:rsidR="00F5186E" w:rsidRPr="00F5186E" w:rsidP="00F5186E" w14:paraId="718AADD8" w14:textId="77777777">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Визначення напрямів публічного інвестування відповідних галузей (секторів) для публічного інвестування має ключове значення для подальшої підготовки, оцінки проектів та програм, а також формування єдиного проектного портфеля публічних інвестицій громади.</w:t>
      </w:r>
    </w:p>
    <w:p w:rsidR="00F5186E" w:rsidRPr="00F5186E" w:rsidP="00F5186E" w14:paraId="703C3C12" w14:textId="77777777">
      <w:pPr>
        <w:spacing w:after="160" w:line="256" w:lineRule="auto"/>
        <w:ind w:firstLine="567"/>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Підготовка проектів та програм передбачає обов’язкове визначення напряму публічного інвестування у відповідній галузі (секторі), до якого відноситься проект чи програма, а також узгодження мети та цілей проекту зі Стратегією розвитку Броварської міської територіальної громади до 2027 року.</w:t>
      </w:r>
    </w:p>
    <w:p w:rsidR="00F5186E" w:rsidRPr="00F5186E" w:rsidP="00F5186E" w14:paraId="51D973A7" w14:textId="77777777">
      <w:pPr>
        <w:spacing w:after="160" w:line="256" w:lineRule="auto"/>
        <w:jc w:val="both"/>
        <w:rPr>
          <w:rFonts w:ascii="Times New Roman" w:eastAsia="Calibri" w:hAnsi="Times New Roman" w:cs="Times New Roman"/>
          <w:iCs/>
          <w:sz w:val="28"/>
          <w:szCs w:val="28"/>
          <w:lang w:eastAsia="en-US"/>
        </w:rPr>
      </w:pPr>
    </w:p>
    <w:p w:rsidR="00F5186E" w:rsidRPr="00F5186E" w:rsidP="00F5186E" w14:paraId="1E36A3EA" w14:textId="77777777">
      <w:pPr>
        <w:spacing w:after="160" w:line="256" w:lineRule="auto"/>
        <w:ind w:firstLine="567"/>
        <w:jc w:val="both"/>
        <w:rPr>
          <w:rFonts w:ascii="Times New Roman" w:eastAsia="Calibri" w:hAnsi="Times New Roman" w:cs="Times New Roman"/>
          <w:iCs/>
          <w:sz w:val="28"/>
          <w:szCs w:val="28"/>
          <w:lang w:eastAsia="en-US"/>
        </w:rPr>
      </w:pPr>
    </w:p>
    <w:p w:rsidR="00F5186E" w:rsidRPr="00F5186E" w:rsidP="005306E2" w14:paraId="313AFE1B" w14:textId="1A764B8D">
      <w:pPr>
        <w:tabs>
          <w:tab w:val="left" w:pos="7088"/>
        </w:tabs>
        <w:spacing w:after="160" w:line="256" w:lineRule="auto"/>
        <w:jc w:val="both"/>
        <w:rPr>
          <w:rFonts w:ascii="Times New Roman" w:eastAsia="Calibri" w:hAnsi="Times New Roman" w:cs="Times New Roman"/>
          <w:iCs/>
          <w:sz w:val="28"/>
          <w:szCs w:val="28"/>
          <w:lang w:eastAsia="en-US"/>
        </w:rPr>
      </w:pPr>
      <w:r w:rsidRPr="00F5186E">
        <w:rPr>
          <w:rFonts w:ascii="Times New Roman" w:eastAsia="Calibri" w:hAnsi="Times New Roman" w:cs="Times New Roman"/>
          <w:iCs/>
          <w:sz w:val="28"/>
          <w:szCs w:val="28"/>
          <w:lang w:eastAsia="en-US"/>
        </w:rPr>
        <w:t>Міський голова                                                                          Ігор САПОЖКО</w:t>
      </w:r>
    </w:p>
    <w:permEnd w:id="0"/>
    <w:p w:rsidR="00231682" w:rsidRPr="00F5186E" w:rsidP="00F5186E" w14:paraId="7804F9AA" w14:textId="4127217C">
      <w:pPr>
        <w:spacing w:after="0"/>
        <w:jc w:val="center"/>
        <w:rPr>
          <w:rFonts w:ascii="Times New Roman" w:hAnsi="Times New Roman" w:cs="Times New Roman"/>
          <w:b/>
          <w:bCs/>
          <w:sz w:val="28"/>
          <w:szCs w:val="28"/>
          <w:lang w:val="ru-RU"/>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A9F5FB2"/>
    <w:multiLevelType w:val="hybridMultilevel"/>
    <w:tmpl w:val="D8C45116"/>
    <w:lvl w:ilvl="0">
      <w:start w:va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519AA"/>
    <w:rsid w:val="00231682"/>
    <w:rsid w:val="003377E0"/>
    <w:rsid w:val="003735BC"/>
    <w:rsid w:val="003A2799"/>
    <w:rsid w:val="003B2A39"/>
    <w:rsid w:val="004208DA"/>
    <w:rsid w:val="00424AD7"/>
    <w:rsid w:val="004E41C7"/>
    <w:rsid w:val="00524AF7"/>
    <w:rsid w:val="005306E2"/>
    <w:rsid w:val="00545B76"/>
    <w:rsid w:val="007732CE"/>
    <w:rsid w:val="007C582E"/>
    <w:rsid w:val="008214B3"/>
    <w:rsid w:val="00821BD7"/>
    <w:rsid w:val="00853C00"/>
    <w:rsid w:val="00910331"/>
    <w:rsid w:val="00973F9B"/>
    <w:rsid w:val="00A84A56"/>
    <w:rsid w:val="00AE57AA"/>
    <w:rsid w:val="00B20C04"/>
    <w:rsid w:val="00CB633A"/>
    <w:rsid w:val="00CC66FB"/>
    <w:rsid w:val="00D52A6A"/>
    <w:rsid w:val="00E71A04"/>
    <w:rsid w:val="00EB3406"/>
    <w:rsid w:val="00EC35BD"/>
    <w:rsid w:val="00EF4D7B"/>
    <w:rsid w:val="00F5186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table" w:styleId="TableGrid">
    <w:name w:val="Table Grid"/>
    <w:basedOn w:val="TableNormal"/>
    <w:uiPriority w:val="39"/>
    <w:rsid w:val="00F5186E"/>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2D1674"/>
    <w:rsid w:val="00540CE0"/>
    <w:rsid w:val="00973F9B"/>
    <w:rsid w:val="00CD3204"/>
    <w:rsid w:val="00D329F5"/>
    <w:rsid w:val="00FE05A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8604</Words>
  <Characters>4905</Characters>
  <Application>Microsoft Office Word</Application>
  <DocSecurity>8</DocSecurity>
  <Lines>40</Lines>
  <Paragraphs>26</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Користувач</cp:lastModifiedBy>
  <cp:revision>29</cp:revision>
  <dcterms:created xsi:type="dcterms:W3CDTF">2021-08-31T06:42:00Z</dcterms:created>
  <dcterms:modified xsi:type="dcterms:W3CDTF">2025-08-19T12:58:00Z</dcterms:modified>
</cp:coreProperties>
</file>