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ПВ-764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674A6B" w:rsidP="00674A6B" w14:paraId="272CCBA2" w14:textId="77777777">
      <w:pPr>
        <w:ind w:left="5670" w:right="-1"/>
        <w:rPr>
          <w:rFonts w:ascii="Times New Roman" w:eastAsia="Calibri" w:hAnsi="Times New Roman" w:cs="Times New Roman"/>
          <w:sz w:val="28"/>
          <w:szCs w:val="28"/>
          <w:lang w:val="ru-RU" w:eastAsia="en-US"/>
        </w:rPr>
      </w:pPr>
      <w:permStart w:id="0" w:edGrp="everyone"/>
      <w:r w:rsidRPr="00674A6B">
        <w:rPr>
          <w:rFonts w:ascii="Times New Roman" w:eastAsia="Calibri" w:hAnsi="Times New Roman" w:cs="Times New Roman"/>
          <w:sz w:val="28"/>
          <w:szCs w:val="28"/>
          <w:lang w:val="ru-RU" w:eastAsia="en-US"/>
        </w:rPr>
        <w:t>СХВАЛЕНО</w:t>
      </w:r>
    </w:p>
    <w:p w:rsidR="00DA4B1F" w:rsidRPr="00674A6B" w:rsidP="00674A6B" w14:paraId="5D2463E7" w14:textId="401C53EA">
      <w:pPr>
        <w:ind w:left="5670" w:right="-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Додаток</w:t>
      </w:r>
    </w:p>
    <w:p w:rsidR="00674A6B" w:rsidRPr="00674A6B" w:rsidP="00DA4B1F" w14:paraId="7C8CD054" w14:textId="24D936D4">
      <w:pPr>
        <w:tabs>
          <w:tab w:val="left" w:pos="5812"/>
        </w:tabs>
        <w:spacing w:line="240" w:lineRule="auto"/>
        <w:ind w:left="5245" w:hanging="5245"/>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1744BD">
        <w:rPr>
          <w:rFonts w:ascii="Times New Roman" w:eastAsia="Calibri" w:hAnsi="Times New Roman" w:cs="Times New Roman"/>
          <w:sz w:val="28"/>
          <w:szCs w:val="28"/>
          <w:lang w:eastAsia="en-US"/>
        </w:rPr>
        <w:t xml:space="preserve">  </w:t>
      </w:r>
      <w:bookmarkStart w:id="1" w:name="_GoBack"/>
      <w:bookmarkEnd w:id="1"/>
      <w:r>
        <w:rPr>
          <w:rFonts w:ascii="Times New Roman" w:eastAsia="Calibri" w:hAnsi="Times New Roman" w:cs="Times New Roman"/>
          <w:sz w:val="28"/>
          <w:szCs w:val="28"/>
          <w:lang w:eastAsia="en-US"/>
        </w:rPr>
        <w:t xml:space="preserve"> </w:t>
      </w:r>
      <w:r w:rsidR="008763AB">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674A6B">
        <w:rPr>
          <w:rFonts w:ascii="Times New Roman" w:eastAsia="Calibri" w:hAnsi="Times New Roman" w:cs="Times New Roman"/>
          <w:sz w:val="28"/>
          <w:szCs w:val="28"/>
          <w:lang w:eastAsia="en-US"/>
        </w:rPr>
        <w:t>Рішення виконавчого комітету</w:t>
      </w:r>
    </w:p>
    <w:p w:rsidR="00674A6B" w:rsidRPr="00674A6B" w:rsidP="00674A6B" w14:paraId="4121157C" w14:textId="77777777">
      <w:pPr>
        <w:spacing w:after="150" w:line="240" w:lineRule="auto"/>
        <w:ind w:firstLine="5670"/>
        <w:jc w:val="both"/>
        <w:rPr>
          <w:rFonts w:ascii="Times New Roman" w:eastAsia="Calibri" w:hAnsi="Times New Roman" w:cs="Times New Roman"/>
          <w:sz w:val="28"/>
          <w:szCs w:val="28"/>
        </w:rPr>
      </w:pPr>
      <w:r w:rsidRPr="00674A6B">
        <w:rPr>
          <w:rFonts w:ascii="Times New Roman" w:eastAsia="Calibri" w:hAnsi="Times New Roman" w:cs="Times New Roman"/>
          <w:sz w:val="28"/>
          <w:szCs w:val="28"/>
        </w:rPr>
        <w:t xml:space="preserve">Броварської міської ради </w:t>
      </w:r>
    </w:p>
    <w:p w:rsidR="00674A6B" w:rsidRPr="00674A6B" w:rsidP="00674A6B" w14:paraId="2D421056" w14:textId="77777777">
      <w:pPr>
        <w:spacing w:after="150" w:line="240" w:lineRule="auto"/>
        <w:ind w:firstLine="5670"/>
        <w:jc w:val="both"/>
        <w:rPr>
          <w:rFonts w:ascii="Times New Roman" w:eastAsia="Calibri" w:hAnsi="Times New Roman" w:cs="Times New Roman"/>
          <w:sz w:val="28"/>
          <w:szCs w:val="28"/>
        </w:rPr>
      </w:pPr>
      <w:r w:rsidRPr="00674A6B">
        <w:rPr>
          <w:rFonts w:ascii="Times New Roman" w:eastAsia="Calibri" w:hAnsi="Times New Roman" w:cs="Times New Roman"/>
          <w:sz w:val="28"/>
          <w:szCs w:val="28"/>
        </w:rPr>
        <w:t>Броварського району</w:t>
      </w:r>
    </w:p>
    <w:p w:rsidR="00674A6B" w:rsidRPr="00674A6B" w:rsidP="00674A6B" w14:paraId="5A79885C" w14:textId="77777777">
      <w:pPr>
        <w:spacing w:after="150" w:line="240" w:lineRule="auto"/>
        <w:ind w:firstLine="5670"/>
        <w:jc w:val="both"/>
        <w:rPr>
          <w:rFonts w:ascii="Times New Roman" w:eastAsia="Calibri" w:hAnsi="Times New Roman" w:cs="Times New Roman"/>
          <w:sz w:val="28"/>
          <w:szCs w:val="28"/>
        </w:rPr>
      </w:pPr>
      <w:r w:rsidRPr="00674A6B">
        <w:rPr>
          <w:rFonts w:ascii="Times New Roman" w:eastAsia="Calibri" w:hAnsi="Times New Roman" w:cs="Times New Roman"/>
          <w:sz w:val="28"/>
          <w:szCs w:val="28"/>
        </w:rPr>
        <w:t>Київської області</w:t>
      </w:r>
    </w:p>
    <w:p w:rsidR="00674A6B" w:rsidRPr="00FD3782" w:rsidP="00674A6B" w14:paraId="03711874" w14:textId="77777777">
      <w:pPr>
        <w:spacing w:after="150" w:line="240" w:lineRule="auto"/>
        <w:ind w:firstLine="5670"/>
        <w:jc w:val="both"/>
        <w:rPr>
          <w:rFonts w:ascii="Times New Roman" w:eastAsia="Calibri" w:hAnsi="Times New Roman" w:cs="Times New Roman"/>
          <w:color w:val="FFFFFF" w:themeColor="background1"/>
          <w:sz w:val="28"/>
          <w:szCs w:val="28"/>
        </w:rPr>
      </w:pPr>
      <w:r w:rsidRPr="00FD3782">
        <w:rPr>
          <w:rFonts w:ascii="Times New Roman" w:eastAsia="Calibri" w:hAnsi="Times New Roman" w:cs="Times New Roman"/>
          <w:color w:val="FFFFFF" w:themeColor="background1"/>
          <w:sz w:val="28"/>
          <w:szCs w:val="28"/>
        </w:rPr>
        <w:t xml:space="preserve">від </w:t>
      </w:r>
      <w:r w:rsidRPr="00FD3782">
        <w:rPr>
          <w:rFonts w:ascii="Times New Roman" w:eastAsia="Calibri" w:hAnsi="Times New Roman" w:cs="Times New Roman"/>
          <w:color w:val="FFFFFF" w:themeColor="background1"/>
          <w:sz w:val="28"/>
          <w:szCs w:val="28"/>
          <w:u w:val="single"/>
        </w:rPr>
        <w:t>_________</w:t>
      </w:r>
      <w:r w:rsidRPr="00FD3782">
        <w:rPr>
          <w:rFonts w:ascii="Times New Roman" w:eastAsia="Calibri" w:hAnsi="Times New Roman" w:cs="Times New Roman"/>
          <w:color w:val="FFFFFF" w:themeColor="background1"/>
          <w:sz w:val="28"/>
          <w:szCs w:val="28"/>
        </w:rPr>
        <w:t xml:space="preserve"> № </w:t>
      </w:r>
      <w:r w:rsidRPr="00FD3782">
        <w:rPr>
          <w:rFonts w:ascii="Times New Roman" w:eastAsia="Calibri" w:hAnsi="Times New Roman" w:cs="Times New Roman"/>
          <w:color w:val="FFFFFF" w:themeColor="background1"/>
          <w:sz w:val="28"/>
          <w:szCs w:val="28"/>
          <w:u w:val="single"/>
        </w:rPr>
        <w:t>______</w:t>
      </w:r>
    </w:p>
    <w:p w:rsidR="00674A6B" w:rsidRPr="00674A6B" w:rsidP="00674A6B" w14:paraId="24C3C441" w14:textId="77777777">
      <w:pPr>
        <w:spacing w:after="0" w:line="240" w:lineRule="auto"/>
        <w:ind w:right="-1"/>
        <w:rPr>
          <w:rFonts w:ascii="Times New Roman" w:eastAsia="Calibri" w:hAnsi="Times New Roman" w:cs="Times New Roman"/>
          <w:sz w:val="28"/>
          <w:szCs w:val="28"/>
          <w:lang w:eastAsia="en-US"/>
        </w:rPr>
      </w:pPr>
    </w:p>
    <w:p w:rsidR="00674A6B" w:rsidRPr="00674A6B" w:rsidP="00674A6B" w14:paraId="054CA83D" w14:textId="77777777">
      <w:pPr>
        <w:spacing w:after="0" w:line="240" w:lineRule="auto"/>
        <w:ind w:right="-1"/>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eastAsia="en-US"/>
        </w:rPr>
        <w:t>ПРОГНОЗ</w:t>
      </w:r>
    </w:p>
    <w:p w:rsidR="00674A6B" w:rsidRPr="00674A6B" w:rsidP="00674A6B" w14:paraId="68DEEF98" w14:textId="77777777">
      <w:pPr>
        <w:spacing w:after="0" w:line="240" w:lineRule="auto"/>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eastAsia="en-US"/>
        </w:rPr>
        <w:t>бюджету Броварської міської територіальної громади</w:t>
      </w:r>
    </w:p>
    <w:p w:rsidR="00674A6B" w:rsidRPr="00674A6B" w:rsidP="00674A6B" w14:paraId="4B9A8657" w14:textId="77777777">
      <w:pPr>
        <w:spacing w:after="0" w:line="240" w:lineRule="auto"/>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eastAsia="en-US"/>
        </w:rPr>
        <w:t>на 2026-2028 роки</w:t>
      </w:r>
    </w:p>
    <w:p w:rsidR="00674A6B" w:rsidRPr="00674A6B" w:rsidP="00674A6B" w14:paraId="02209592" w14:textId="77777777">
      <w:pPr>
        <w:spacing w:after="0" w:line="240" w:lineRule="auto"/>
        <w:jc w:val="center"/>
        <w:rPr>
          <w:rFonts w:ascii="Times New Roman" w:eastAsia="Calibri" w:hAnsi="Times New Roman" w:cs="Times New Roman"/>
          <w:b/>
          <w:sz w:val="28"/>
          <w:szCs w:val="28"/>
          <w:u w:val="single"/>
          <w:lang w:eastAsia="en-US"/>
        </w:rPr>
      </w:pPr>
      <w:r w:rsidRPr="00674A6B">
        <w:rPr>
          <w:rFonts w:ascii="Times New Roman" w:eastAsia="Calibri" w:hAnsi="Times New Roman" w:cs="Times New Roman"/>
          <w:b/>
          <w:sz w:val="28"/>
          <w:szCs w:val="28"/>
          <w:u w:val="single"/>
          <w:lang w:eastAsia="en-US"/>
        </w:rPr>
        <w:t xml:space="preserve">1053100000 </w:t>
      </w:r>
    </w:p>
    <w:p w:rsidR="00674A6B" w:rsidRPr="00674A6B" w:rsidP="00674A6B" w14:paraId="3716ACF9" w14:textId="77777777">
      <w:pPr>
        <w:spacing w:after="0" w:line="240" w:lineRule="auto"/>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eastAsia="en-US"/>
        </w:rPr>
        <w:t>(код бюджету)</w:t>
      </w:r>
    </w:p>
    <w:p w:rsidR="00674A6B" w:rsidRPr="00674A6B" w:rsidP="00674A6B" w14:paraId="7BF6A95E" w14:textId="77777777">
      <w:pPr>
        <w:spacing w:after="0" w:line="240" w:lineRule="auto"/>
        <w:jc w:val="center"/>
        <w:rPr>
          <w:rFonts w:ascii="Times New Roman" w:eastAsia="Calibri" w:hAnsi="Times New Roman" w:cs="Times New Roman"/>
          <w:b/>
          <w:sz w:val="28"/>
          <w:szCs w:val="28"/>
          <w:lang w:eastAsia="en-US"/>
        </w:rPr>
      </w:pPr>
    </w:p>
    <w:p w:rsidR="00674A6B" w:rsidRPr="00674A6B" w:rsidP="00674A6B" w14:paraId="40CC74FB" w14:textId="77777777">
      <w:pPr>
        <w:spacing w:after="0" w:line="240" w:lineRule="auto"/>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eastAsia="en-US"/>
        </w:rPr>
        <w:t>І. Загальна частина</w:t>
      </w:r>
    </w:p>
    <w:p w:rsidR="00674A6B" w:rsidRPr="00674A6B" w:rsidP="00674A6B" w14:paraId="7EB0A85B" w14:textId="77777777">
      <w:pPr>
        <w:spacing w:after="0" w:line="240" w:lineRule="auto"/>
        <w:jc w:val="center"/>
        <w:rPr>
          <w:rFonts w:ascii="Times New Roman" w:eastAsia="Calibri" w:hAnsi="Times New Roman" w:cs="Times New Roman"/>
          <w:b/>
          <w:sz w:val="28"/>
          <w:szCs w:val="28"/>
          <w:lang w:eastAsia="en-US"/>
        </w:rPr>
      </w:pPr>
    </w:p>
    <w:p w:rsidR="00674A6B" w:rsidRPr="00674A6B" w:rsidP="00674A6B" w14:paraId="5A37AFD5" w14:textId="77777777">
      <w:pPr>
        <w:tabs>
          <w:tab w:val="left" w:pos="709"/>
        </w:tabs>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Times New Roman" w:hAnsi="Times New Roman" w:cs="Times New Roman"/>
          <w:sz w:val="28"/>
          <w:szCs w:val="28"/>
          <w:lang w:eastAsia="ru-RU"/>
        </w:rPr>
        <w:t xml:space="preserve">Прогноз бюджету </w:t>
      </w:r>
      <w:r w:rsidRPr="00674A6B">
        <w:rPr>
          <w:rFonts w:ascii="Times New Roman" w:eastAsia="Calibri" w:hAnsi="Times New Roman" w:cs="Times New Roman"/>
          <w:sz w:val="28"/>
          <w:szCs w:val="28"/>
          <w:lang w:eastAsia="en-US"/>
        </w:rPr>
        <w:t>Броварської</w:t>
      </w:r>
      <w:r w:rsidRPr="00674A6B">
        <w:rPr>
          <w:rFonts w:ascii="Times New Roman" w:eastAsia="Times New Roman" w:hAnsi="Times New Roman" w:cs="Times New Roman"/>
          <w:sz w:val="28"/>
          <w:szCs w:val="28"/>
          <w:lang w:eastAsia="ru-RU"/>
        </w:rPr>
        <w:t xml:space="preserve"> міської територіальної громади                                                    на 2026-2028 роки (далі – Прогноз бюджету) розроблено </w:t>
      </w:r>
      <w:r w:rsidRPr="00674A6B">
        <w:rPr>
          <w:rFonts w:ascii="Times New Roman" w:eastAsia="Calibri" w:hAnsi="Times New Roman" w:cs="Times New Roman"/>
          <w:sz w:val="28"/>
          <w:szCs w:val="28"/>
          <w:lang w:eastAsia="en-US"/>
        </w:rPr>
        <w:t>на основі положень Податкового та  Бюджетного кодексів України, ст. 75</w:t>
      </w:r>
      <w:r w:rsidRPr="00674A6B">
        <w:rPr>
          <w:rFonts w:ascii="Times New Roman" w:eastAsia="Calibri" w:hAnsi="Times New Roman" w:cs="Times New Roman"/>
          <w:sz w:val="28"/>
          <w:szCs w:val="28"/>
          <w:vertAlign w:val="superscript"/>
          <w:lang w:eastAsia="en-US"/>
        </w:rPr>
        <w:t>1</w:t>
      </w:r>
      <w:r w:rsidRPr="00674A6B">
        <w:rPr>
          <w:rFonts w:ascii="Times New Roman" w:eastAsia="Calibri" w:hAnsi="Times New Roman" w:cs="Times New Roman"/>
          <w:sz w:val="28"/>
          <w:szCs w:val="28"/>
          <w:lang w:eastAsia="en-US"/>
        </w:rPr>
        <w:t xml:space="preserve"> Бюджетного кодексу України, дію якої відновлено Законом України від 18.09.2024 № 3979-ІХ «Про внесення змін до Бюджетного кодексу України щодо відновлення середньострокового бюджетного планування на місцевому рівні та приведення окремих його положень у відповідність із законами України», Основних прогнозних макропоказниках економічного і соціального розвитку України на 2026-2028 роки (лист Мінекономіки від 14.04.2025 № 3011-02/30287-03), Програми діяльності Кабінету Міністрів України, Цілей сталого розвитку України на період до 2034 року, Національної економічної стратегії на період до 2030 року</w:t>
      </w:r>
      <w:r w:rsidRPr="00674A6B">
        <w:rPr>
          <w:rFonts w:ascii="Times New Roman" w:eastAsia="Times New Roman" w:hAnsi="Times New Roman" w:cs="Times New Roman"/>
          <w:sz w:val="28"/>
          <w:szCs w:val="28"/>
          <w:lang w:eastAsia="ru-RU"/>
        </w:rPr>
        <w:t xml:space="preserve">, постанови Кабінету Міністрів України від 27 червня 2025 року № 774 «Про схвалення Бюджетної декларації на 2026-2028 роки», </w:t>
      </w:r>
      <w:r w:rsidRPr="00674A6B">
        <w:rPr>
          <w:rFonts w:ascii="Times New Roman" w:eastAsia="Calibri" w:hAnsi="Times New Roman" w:cs="Times New Roman"/>
          <w:sz w:val="28"/>
          <w:szCs w:val="28"/>
          <w:lang w:eastAsia="en-US"/>
        </w:rPr>
        <w:t>враховуючи Методичні рекомендації та Інструкцію щодо складання місцевих бюджетів на середньострокову перспективу, затверджених наказом Міністерства фінансів України від  02.06.2021  № 314   (зі змінами</w:t>
      </w:r>
      <w:r w:rsidRPr="00674A6B">
        <w:rPr>
          <w:rFonts w:ascii="Times New Roman" w:eastAsia="Times New Roman" w:hAnsi="Times New Roman" w:cs="Times New Roman"/>
          <w:sz w:val="28"/>
          <w:szCs w:val="28"/>
          <w:lang w:eastAsia="ru-RU"/>
        </w:rPr>
        <w:t xml:space="preserve"> та доповненнями</w:t>
      </w:r>
      <w:r w:rsidRPr="00674A6B">
        <w:rPr>
          <w:rFonts w:ascii="Times New Roman" w:eastAsia="Calibri" w:hAnsi="Times New Roman" w:cs="Times New Roman"/>
          <w:sz w:val="28"/>
          <w:szCs w:val="28"/>
          <w:lang w:eastAsia="en-US"/>
        </w:rPr>
        <w:t xml:space="preserve">), Методичні рекомендації щодо організації середньострокового бюджетного планування на місцевому рівні, затверджених наказом Міністерства фінансів України від  23.05.2025  № 271, </w:t>
      </w:r>
      <w:r w:rsidRPr="00674A6B">
        <w:rPr>
          <w:rFonts w:ascii="Times New Roman" w:eastAsia="Times New Roman" w:hAnsi="Times New Roman" w:cs="Times New Roman"/>
          <w:sz w:val="28"/>
          <w:szCs w:val="28"/>
          <w:lang w:eastAsia="ru-RU"/>
        </w:rPr>
        <w:t xml:space="preserve"> лист Міністерства фінансів України від 09 липня 2025 року № 05120-08-6/19235 «Щодо особливостей середньострокового бюджетного планування та складання розрахунків до прогнозів місцевих бюджетів» </w:t>
      </w:r>
      <w:r w:rsidRPr="00674A6B">
        <w:rPr>
          <w:rFonts w:ascii="Times New Roman" w:eastAsia="Calibri" w:hAnsi="Times New Roman" w:cs="Times New Roman"/>
          <w:sz w:val="28"/>
          <w:szCs w:val="28"/>
          <w:lang w:eastAsia="en-US"/>
        </w:rPr>
        <w:t>та інші документи, що стосуються середньострокового планування.</w:t>
      </w:r>
    </w:p>
    <w:p w:rsidR="00674A6B" w:rsidRPr="00674A6B" w:rsidP="00674A6B" w14:paraId="25615320" w14:textId="77777777">
      <w:pPr>
        <w:tabs>
          <w:tab w:val="left" w:pos="709"/>
        </w:tabs>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val="ru-RU" w:eastAsia="en-US"/>
        </w:rPr>
        <w:t xml:space="preserve">Запровадження середньострокового бюджетного планування сприятиме забезпеченню фінансової стабільності та зміцненню економічного зростання у середньостроковій перспективі. </w:t>
      </w:r>
      <w:r w:rsidRPr="00674A6B">
        <w:rPr>
          <w:rFonts w:ascii="Times New Roman" w:eastAsia="Times New Roman" w:hAnsi="Times New Roman" w:cs="Times New Roman"/>
          <w:sz w:val="28"/>
          <w:szCs w:val="28"/>
          <w:lang w:eastAsia="ru-RU"/>
        </w:rPr>
        <w:t xml:space="preserve">Процес планування бюджету на середньострокову перспективу, як метод удосконалення процесу прийняття бюджетних </w:t>
      </w:r>
      <w:r w:rsidRPr="00674A6B">
        <w:rPr>
          <w:rFonts w:ascii="Times New Roman" w:eastAsia="Times New Roman" w:hAnsi="Times New Roman" w:cs="Times New Roman"/>
          <w:sz w:val="28"/>
          <w:szCs w:val="28"/>
          <w:lang w:eastAsia="ru-RU"/>
        </w:rPr>
        <w:t>р</w:t>
      </w:r>
      <w:r w:rsidRPr="00674A6B">
        <w:rPr>
          <w:rFonts w:ascii="Times New Roman" w:eastAsia="Times New Roman" w:hAnsi="Times New Roman" w:cs="Times New Roman"/>
          <w:sz w:val="28"/>
          <w:szCs w:val="28"/>
          <w:lang w:eastAsia="ru-RU"/>
        </w:rPr>
        <w:t xml:space="preserve">ішень, </w:t>
      </w:r>
      <w:r w:rsidRPr="00674A6B">
        <w:rPr>
          <w:rFonts w:ascii="Times New Roman" w:eastAsia="Calibri" w:hAnsi="Times New Roman" w:cs="Times New Roman"/>
          <w:sz w:val="28"/>
          <w:szCs w:val="28"/>
          <w:lang w:eastAsia="en-US"/>
        </w:rPr>
        <w:t>с</w:t>
      </w:r>
      <w:r w:rsidRPr="00674A6B">
        <w:rPr>
          <w:rFonts w:ascii="Times New Roman" w:eastAsia="Calibri" w:hAnsi="Times New Roman" w:cs="Times New Roman"/>
          <w:sz w:val="28"/>
          <w:szCs w:val="28"/>
          <w:lang w:val="ru-RU" w:eastAsia="en-US"/>
        </w:rPr>
        <w:t>прямован</w:t>
      </w:r>
      <w:r w:rsidRPr="00674A6B">
        <w:rPr>
          <w:rFonts w:ascii="Times New Roman" w:eastAsia="Calibri" w:hAnsi="Times New Roman" w:cs="Times New Roman"/>
          <w:sz w:val="28"/>
          <w:szCs w:val="28"/>
          <w:lang w:eastAsia="en-US"/>
        </w:rPr>
        <w:t>ий</w:t>
      </w:r>
      <w:r w:rsidRPr="00674A6B">
        <w:rPr>
          <w:rFonts w:ascii="Times New Roman" w:eastAsia="Calibri" w:hAnsi="Times New Roman" w:cs="Times New Roman"/>
          <w:sz w:val="28"/>
          <w:szCs w:val="28"/>
          <w:lang w:val="ru-RU" w:eastAsia="en-US"/>
        </w:rPr>
        <w:t xml:space="preserve"> на забезпечення економічного зростання та сталого розвитку </w:t>
      </w:r>
      <w:r w:rsidRPr="00674A6B">
        <w:rPr>
          <w:rFonts w:ascii="Times New Roman" w:eastAsia="Calibri" w:hAnsi="Times New Roman" w:cs="Times New Roman"/>
          <w:sz w:val="28"/>
          <w:szCs w:val="28"/>
          <w:lang w:eastAsia="en-US"/>
        </w:rPr>
        <w:t>громади</w:t>
      </w:r>
      <w:r w:rsidRPr="00674A6B">
        <w:rPr>
          <w:rFonts w:ascii="Times New Roman" w:eastAsia="Calibri" w:hAnsi="Times New Roman" w:cs="Times New Roman"/>
          <w:sz w:val="28"/>
          <w:szCs w:val="28"/>
          <w:lang w:val="ru-RU" w:eastAsia="en-US"/>
        </w:rPr>
        <w:t xml:space="preserve">. </w:t>
      </w:r>
    </w:p>
    <w:p w:rsidR="00674A6B" w:rsidRPr="00674A6B" w:rsidP="00674A6B" w14:paraId="21BEB6D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Законом України від 16 січня 2025 № 4225-IX «Про внесення змін до Бюджетного кодексу України щодо актуалізації та удосконалення деяких положень» внесено зміни до Бюджетного кодексу України у частині здійснення публічних інвестицій, якими вдосконалено визначення, що стосуються публічних інвестицій, публічних інвестиційних проектів, програм публічних інвестицій, введено нові категорійні поняття, такі як середньостроковий план пріоритетних публічних інвестицій територіальної громади, єдиний проектний портфель тощо. </w:t>
      </w:r>
    </w:p>
    <w:p w:rsidR="00674A6B" w:rsidRPr="00674A6B" w:rsidP="00674A6B" w14:paraId="2C78084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Прогноз бюджету Броварської  міської територіальної громади на 2026-2028 роки сформовано як дієвий механізм управління бюджетним процесом, з метою встановлення взаємозв'язку між стратегічними цілями розвитку громади та можливостями бюджету у середньостроковій перспективі, забезпечення прозорості, передбачуваності та послідовності бюджетної політики, досягнення економічної і соціальної ефективності політики розвитку громади, визначення довгострокових фінансових та інвестиційних програм, досягнення організаційної чіткості і ефективності виконання завдань, поставлених перед територіальною громадою. Середньострокове бюджетне планування передбачає раціональне залучення коштів та розподіл ресурсів щодо визначених пріоритетів Броварської міської територіальної громади.</w:t>
      </w:r>
    </w:p>
    <w:p w:rsidR="00674A6B" w:rsidRPr="00674A6B" w:rsidP="00674A6B" w14:paraId="13E266E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Метою Прогнозу є </w:t>
      </w:r>
      <w:r w:rsidRPr="00674A6B">
        <w:rPr>
          <w:rFonts w:ascii="Times New Roman" w:eastAsia="Calibri" w:hAnsi="Times New Roman" w:cs="Times New Roman"/>
          <w:sz w:val="28"/>
          <w:szCs w:val="28"/>
          <w:lang w:eastAsia="en-US"/>
        </w:rPr>
        <w:t>запровадження середньострокового бюджетного прогнозування для встановлення взаємозв’язку між стратегічними цілями розвитку міста та можливостями бюджету</w:t>
      </w:r>
      <w:r w:rsidRPr="00674A6B">
        <w:rPr>
          <w:rFonts w:ascii="Times New Roman" w:eastAsia="Times New Roman" w:hAnsi="Times New Roman" w:cs="Times New Roman"/>
          <w:sz w:val="28"/>
          <w:szCs w:val="28"/>
          <w:lang w:eastAsia="ru-RU"/>
        </w:rPr>
        <w:t xml:space="preserve"> у середньостроковій перспективі, забезпечення послідовності та передбачуваності бюджетної політики, створення дієвого механізму управління бюджетним процесом.</w:t>
      </w:r>
    </w:p>
    <w:p w:rsidR="00674A6B" w:rsidRPr="00674A6B" w:rsidP="00674A6B" w14:paraId="6F92A75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Прогноз є стратегічним документом планування показників бюджету Броварської міської територіальної громади на середньостроковий період і основою для складання проєкту бюджету Броварської міської територіальної громади на 2026 рік.</w:t>
      </w:r>
    </w:p>
    <w:p w:rsidR="00674A6B" w:rsidRPr="00674A6B" w:rsidP="00674A6B" w14:paraId="6829FB3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Основними цілями  бюджетної політики Броварської міської територіальної громади є:</w:t>
      </w:r>
    </w:p>
    <w:p w:rsidR="00674A6B" w:rsidRPr="00674A6B" w:rsidP="00674A6B" w14:paraId="2D971B3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забезпечення надходжень до бюджету Броварської міської територіальної громади з урахуванням позитивної динаміки у порівнянні з попередніми роками, </w:t>
      </w:r>
      <w:r w:rsidRPr="00674A6B">
        <w:rPr>
          <w:rFonts w:ascii="Times New Roman" w:eastAsia="Calibri" w:hAnsi="Times New Roman" w:cs="Times New Roman"/>
          <w:sz w:val="28"/>
          <w:szCs w:val="28"/>
          <w:lang w:eastAsia="en-US"/>
        </w:rPr>
        <w:t>визначення резервів росту доходів бюджету Броварської міської територіальної громади;</w:t>
      </w:r>
    </w:p>
    <w:p w:rsidR="00674A6B" w:rsidRPr="00674A6B" w:rsidP="00674A6B" w14:paraId="18FBC33B"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вжиття заходів до залучення додаткових надходжень до бюджету Броварської міської територіальної громади, зокрема, шляхом забезпечення ефективного управління об’єктами комунальної власності та земельними ресурсами;</w:t>
      </w:r>
    </w:p>
    <w:p w:rsidR="00674A6B" w:rsidRPr="00674A6B" w:rsidP="00674A6B" w14:paraId="0D7D756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врахування основних положень бюджетно-податкової політики, дотримання фінансової дисципліни, підвищення рівня прозорості та раціональності бюджетного процесу;</w:t>
      </w:r>
    </w:p>
    <w:p w:rsidR="00674A6B" w:rsidRPr="00674A6B" w:rsidP="00674A6B" w14:paraId="210D57B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концентрація ресурсів бюджету на виконанні пріоритетних цілей та завдань, спрямованих на соціально-економічний розвиток Броварської міської територіальної громади, передбачених Стратегією розвитку Броварської міської територіальної громади;</w:t>
      </w:r>
    </w:p>
    <w:p w:rsidR="00674A6B" w:rsidRPr="00674A6B" w:rsidP="00674A6B" w14:paraId="17E9FD6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підвищення рівня обґрунтованості бюджетного планування шляхом встановлення взаємозв'язку бюджетних показників із стратегічними цілями соціально-економічного розвитку Броварської міської територіальної громади та планування бюджету на середньострокову перспективу;</w:t>
      </w:r>
    </w:p>
    <w:p w:rsidR="00674A6B" w:rsidRPr="00674A6B" w:rsidP="00674A6B" w14:paraId="06AAA1E0"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здійснення видатків бюджету відповідно до соціальних стандартів; </w:t>
      </w:r>
    </w:p>
    <w:p w:rsidR="00674A6B" w:rsidRPr="00674A6B" w:rsidP="00674A6B" w14:paraId="5B10B8D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підвищення фінансової дисципліни, посилення прозорості, ефективності витрачання бюджетних коштів та якісне надання публічних послуг, здійснення оптимізації витрат шляхом виключення непріоритетних та неефективних видатків; </w:t>
      </w:r>
    </w:p>
    <w:p w:rsidR="00674A6B" w:rsidRPr="00674A6B" w:rsidP="00674A6B" w14:paraId="2B90A96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забезпечення гендерної рівності, кліматичної стійкості та соціальної справедливості, а також підвищенню якості життя населення Броварської міської територіальної громади;</w:t>
      </w:r>
    </w:p>
    <w:p w:rsidR="00674A6B" w:rsidRPr="00674A6B" w:rsidP="00674A6B" w14:paraId="67BF102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забезпечення стабільного функціонування бюджетних установ Броварської міської територіальної громади та виконання заходів, передбачених місцевими цільовими програмами;</w:t>
      </w:r>
    </w:p>
    <w:p w:rsidR="00674A6B" w:rsidRPr="00674A6B" w:rsidP="00674A6B" w14:paraId="27DBBC8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забезпечення фінансування проектів (програм), що мають термін реалізації більше одного року;</w:t>
      </w:r>
    </w:p>
    <w:p w:rsidR="00674A6B" w:rsidRPr="00674A6B" w:rsidP="00674A6B" w14:paraId="33DC536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впровадження нової моделі управління публічними інвестиціями з метою створення прозорої, єдиної системи управління фінансовими ресурсами бюджету.</w:t>
      </w:r>
    </w:p>
    <w:p w:rsidR="00674A6B" w:rsidRPr="00674A6B" w:rsidP="00674A6B" w14:paraId="2678270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Основними завданнями Прогнозу бюджету </w:t>
      </w:r>
      <w:r w:rsidRPr="00674A6B">
        <w:rPr>
          <w:rFonts w:ascii="Times New Roman" w:eastAsia="Calibri" w:hAnsi="Times New Roman" w:cs="Times New Roman"/>
          <w:sz w:val="28"/>
          <w:szCs w:val="28"/>
          <w:lang w:eastAsia="en-US"/>
        </w:rPr>
        <w:t>Броварської</w:t>
      </w:r>
      <w:r w:rsidRPr="00674A6B">
        <w:rPr>
          <w:rFonts w:ascii="Times New Roman" w:eastAsia="Times New Roman" w:hAnsi="Times New Roman" w:cs="Times New Roman"/>
          <w:sz w:val="28"/>
          <w:szCs w:val="28"/>
          <w:lang w:eastAsia="ru-RU"/>
        </w:rPr>
        <w:t xml:space="preserve"> міської територіальної громади є: </w:t>
      </w:r>
    </w:p>
    <w:p w:rsidR="00674A6B" w:rsidRPr="00674A6B" w:rsidP="00674A6B" w14:paraId="6A7F03F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планування реальних надходжень бюджету </w:t>
      </w:r>
      <w:r w:rsidRPr="00674A6B">
        <w:rPr>
          <w:rFonts w:ascii="Times New Roman" w:eastAsia="Calibri" w:hAnsi="Times New Roman" w:cs="Times New Roman"/>
          <w:sz w:val="28"/>
          <w:szCs w:val="28"/>
          <w:lang w:eastAsia="en-US"/>
        </w:rPr>
        <w:t>Броварської</w:t>
      </w:r>
      <w:r w:rsidRPr="00674A6B">
        <w:rPr>
          <w:rFonts w:ascii="Times New Roman" w:eastAsia="Times New Roman" w:hAnsi="Times New Roman" w:cs="Times New Roman"/>
          <w:sz w:val="28"/>
          <w:szCs w:val="28"/>
          <w:lang w:eastAsia="ru-RU"/>
        </w:rPr>
        <w:t xml:space="preserve"> міської територіальної громади на основі макроекономічних показників економічного і соціального розвитку територіальної громади з урахування норм бюджетного та податкового законодавства і фактичного рівня відповідних надходжень;</w:t>
      </w:r>
    </w:p>
    <w:p w:rsidR="00674A6B" w:rsidRPr="00674A6B" w:rsidP="00674A6B" w14:paraId="25C94B8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вжиття заходів до залучення додаткових надходжень до бюджету </w:t>
      </w:r>
      <w:r w:rsidRPr="00674A6B">
        <w:rPr>
          <w:rFonts w:ascii="Times New Roman" w:eastAsia="Calibri" w:hAnsi="Times New Roman" w:cs="Times New Roman"/>
          <w:sz w:val="28"/>
          <w:szCs w:val="28"/>
          <w:lang w:eastAsia="en-US"/>
        </w:rPr>
        <w:t>Броварської</w:t>
      </w:r>
      <w:r w:rsidRPr="00674A6B">
        <w:rPr>
          <w:rFonts w:ascii="Times New Roman" w:eastAsia="Times New Roman" w:hAnsi="Times New Roman" w:cs="Times New Roman"/>
          <w:sz w:val="28"/>
          <w:szCs w:val="28"/>
          <w:lang w:eastAsia="ru-RU"/>
        </w:rPr>
        <w:t xml:space="preserve"> міської територіальної громади, зокрема, шляхом забезпечення ефективного управління об’єктами комунальної власності та земельними ресурсами; </w:t>
      </w:r>
    </w:p>
    <w:p w:rsidR="00674A6B" w:rsidRPr="00674A6B" w:rsidP="00674A6B" w14:paraId="3662E6CA"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забезпечення макроекономічної стабільності, стійкості та збалансованості бюджетної системи;</w:t>
      </w:r>
    </w:p>
    <w:p w:rsidR="00674A6B" w:rsidRPr="00674A6B" w:rsidP="00674A6B" w14:paraId="0B3C931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підвищення прозорості та ефективності управління бюджетними коштами шляхом використання елементів програмно-цільового методу планування і виконання місцевих бюджетів;</w:t>
      </w:r>
    </w:p>
    <w:p w:rsidR="00674A6B" w:rsidRPr="00674A6B" w:rsidP="00674A6B" w14:paraId="2DE3028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посилення бюджетної дисципліни та контролю за витратами бюджету; </w:t>
      </w:r>
    </w:p>
    <w:p w:rsidR="00674A6B" w:rsidRPr="00674A6B" w:rsidP="00674A6B" w14:paraId="78E447C8"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забезпечення стабільного функціонування бюджетних установ та виконання заходів, передбачених міськими цільовими (комплексними) програмами; </w:t>
      </w:r>
    </w:p>
    <w:p w:rsidR="00674A6B" w:rsidRPr="00674A6B" w:rsidP="00674A6B" w14:paraId="68A2CEF2"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Times New Roman" w:hAnsi="Times New Roman" w:cs="Times New Roman"/>
          <w:sz w:val="28"/>
          <w:szCs w:val="28"/>
          <w:lang w:eastAsia="ru-RU"/>
        </w:rPr>
        <w:t>забезпечення у повному обсязі видатків на оплату праці працівників бюджетних установ відповідно до умов оплати праці та розміру мінімальної заробітної плати, інших соціальних виплат, а також, розрахунків за енергоносії та комунальні послуги;</w:t>
      </w:r>
      <w:r w:rsidRPr="00674A6B">
        <w:rPr>
          <w:rFonts w:ascii="Times New Roman" w:eastAsia="Calibri" w:hAnsi="Times New Roman" w:cs="Times New Roman"/>
          <w:sz w:val="28"/>
          <w:szCs w:val="28"/>
          <w:lang w:eastAsia="en-US"/>
        </w:rPr>
        <w:t xml:space="preserve"> </w:t>
      </w:r>
    </w:p>
    <w:p w:rsidR="00674A6B" w:rsidRPr="00674A6B" w:rsidP="00674A6B" w14:paraId="48EA0D87"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запровадження дієвих заходів з енергозбереження; </w:t>
      </w:r>
    </w:p>
    <w:p w:rsidR="00674A6B" w:rsidRPr="00674A6B" w:rsidP="00674A6B" w14:paraId="5615D84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впровадження нової моделі управління публічними інвестиціями з метою створення прозорої, єдиної системи управління фінансовими ресурсами бюджету.</w:t>
      </w:r>
    </w:p>
    <w:p w:rsidR="00674A6B" w:rsidRPr="00674A6B" w:rsidP="00674A6B" w14:paraId="1F17B6CD"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Прогноз бюджету Броварської міської територіальної громади на 2026-2028 роки зорієнтований на:</w:t>
      </w:r>
    </w:p>
    <w:p w:rsidR="00674A6B" w:rsidRPr="00674A6B" w:rsidP="00674A6B" w14:paraId="6BCC8C1E"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формування сприятливого економічного середовища, забезпечення збалансованості та стабільного функціонування бюджетної системи Броварської міської територіальної громади;</w:t>
      </w:r>
    </w:p>
    <w:p w:rsidR="00674A6B" w:rsidRPr="00674A6B" w:rsidP="00674A6B" w14:paraId="21285D33"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забезпечення виконання гарантованих державою соціальних зобов’язань;</w:t>
      </w:r>
    </w:p>
    <w:p w:rsidR="00674A6B" w:rsidRPr="00674A6B" w:rsidP="00674A6B" w14:paraId="248C429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забезпечення балансу між надходженнями та видатками до бюджету Броварської міської територіальної громади на кожний рік Прогнозу; </w:t>
      </w:r>
    </w:p>
    <w:p w:rsidR="00674A6B" w:rsidRPr="00674A6B" w:rsidP="00674A6B" w14:paraId="33E2BB1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формування головними розпорядниками бюджетних коштів плану своєї діяльності на середньостроковий період, визначення обсягів необхідних коштів для досягнення поставлених цілей у середньостроковій перспективі;</w:t>
      </w:r>
    </w:p>
    <w:p w:rsidR="00674A6B" w:rsidRPr="00674A6B" w:rsidP="00674A6B" w14:paraId="1C3082A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досягнення максимальної ефективності використання бюджетних коштів в процесі виконання бюджетних програм (з врахуванням змін у бюджетному законодавстві), забезпечення ефективності розподілу ресурсів бюджету Броварської  міської територіальної громади;</w:t>
      </w:r>
    </w:p>
    <w:p w:rsidR="00674A6B" w:rsidRPr="00674A6B" w:rsidP="00674A6B" w14:paraId="0C12037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сприяння розвитку інноваційного потенціалу та інвестиційної привабливості.</w:t>
      </w:r>
    </w:p>
    <w:p w:rsidR="00674A6B" w:rsidRPr="00674A6B" w:rsidP="00674A6B" w14:paraId="2A1B8CD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Невиконання прогнозних показників бюджету Броварської міської територіальної громади на 2026 – 2028 роки може відбутись у разі змін в макроекономічному середовищі, спричинених продовженням країною-агресором бойових дій та ракетних атак на енергосистему та цілеспрямованим руйнуванням об’єктів критичної інфраструктури, промисловості, змінами бюджетного та податкового законодавства, з погіршенням внутрішніх та зовнішніх умов функціонування економіки, ризики бюджетної системи, поширення неплатоспроможності реального сектору економіки, невідповідності основних прогнозних показників економічного і соціального розвитку громади показникам, врахованим під час формування прогнозу. </w:t>
      </w:r>
    </w:p>
    <w:p w:rsidR="00674A6B" w:rsidP="00674A6B" w14:paraId="7DF65503" w14:textId="77777777">
      <w:pPr>
        <w:spacing w:after="0" w:line="240" w:lineRule="auto"/>
        <w:ind w:firstLine="567"/>
        <w:jc w:val="both"/>
        <w:rPr>
          <w:rFonts w:ascii="Times New Roman" w:eastAsia="Calibri" w:hAnsi="Times New Roman" w:cs="Times New Roman"/>
          <w:sz w:val="28"/>
          <w:szCs w:val="28"/>
          <w:lang w:eastAsia="en-US"/>
        </w:rPr>
      </w:pPr>
    </w:p>
    <w:p w:rsidR="00674A6B" w:rsidP="00674A6B" w14:paraId="3F675CED" w14:textId="77777777">
      <w:pPr>
        <w:spacing w:after="0" w:line="240" w:lineRule="auto"/>
        <w:ind w:firstLine="567"/>
        <w:jc w:val="both"/>
        <w:rPr>
          <w:rFonts w:ascii="Times New Roman" w:eastAsia="Calibri" w:hAnsi="Times New Roman" w:cs="Times New Roman"/>
          <w:sz w:val="28"/>
          <w:szCs w:val="28"/>
          <w:lang w:eastAsia="en-US"/>
        </w:rPr>
      </w:pPr>
    </w:p>
    <w:p w:rsidR="00674A6B" w:rsidP="00674A6B" w14:paraId="7B64B7F3" w14:textId="77777777">
      <w:pPr>
        <w:spacing w:after="0" w:line="240" w:lineRule="auto"/>
        <w:ind w:firstLine="567"/>
        <w:jc w:val="both"/>
        <w:rPr>
          <w:rFonts w:ascii="Times New Roman" w:eastAsia="Calibri" w:hAnsi="Times New Roman" w:cs="Times New Roman"/>
          <w:sz w:val="28"/>
          <w:szCs w:val="28"/>
          <w:lang w:eastAsia="en-US"/>
        </w:rPr>
      </w:pPr>
    </w:p>
    <w:p w:rsidR="00674A6B" w:rsidP="00674A6B" w14:paraId="61F1ECE5" w14:textId="77777777">
      <w:pPr>
        <w:spacing w:after="0" w:line="240" w:lineRule="auto"/>
        <w:ind w:firstLine="567"/>
        <w:jc w:val="both"/>
        <w:rPr>
          <w:rFonts w:ascii="Times New Roman" w:eastAsia="Calibri" w:hAnsi="Times New Roman" w:cs="Times New Roman"/>
          <w:sz w:val="28"/>
          <w:szCs w:val="28"/>
          <w:lang w:eastAsia="en-US"/>
        </w:rPr>
      </w:pPr>
    </w:p>
    <w:p w:rsidR="00674A6B" w:rsidP="00674A6B" w14:paraId="191A048E" w14:textId="77777777">
      <w:pPr>
        <w:spacing w:after="0" w:line="240" w:lineRule="auto"/>
        <w:ind w:firstLine="567"/>
        <w:jc w:val="both"/>
        <w:rPr>
          <w:rFonts w:ascii="Times New Roman" w:eastAsia="Calibri" w:hAnsi="Times New Roman" w:cs="Times New Roman"/>
          <w:sz w:val="28"/>
          <w:szCs w:val="28"/>
          <w:lang w:eastAsia="en-US"/>
        </w:rPr>
      </w:pPr>
    </w:p>
    <w:p w:rsidR="00674A6B" w:rsidP="00674A6B" w14:paraId="162D7CA0" w14:textId="77777777">
      <w:pPr>
        <w:spacing w:after="0" w:line="240" w:lineRule="auto"/>
        <w:ind w:firstLine="567"/>
        <w:jc w:val="both"/>
        <w:rPr>
          <w:rFonts w:ascii="Times New Roman" w:eastAsia="Calibri" w:hAnsi="Times New Roman" w:cs="Times New Roman"/>
          <w:sz w:val="28"/>
          <w:szCs w:val="28"/>
          <w:lang w:eastAsia="en-US"/>
        </w:rPr>
      </w:pPr>
    </w:p>
    <w:p w:rsidR="00674A6B" w:rsidRPr="00674A6B" w:rsidP="00674A6B" w14:paraId="6E28568A" w14:textId="77777777">
      <w:pPr>
        <w:spacing w:after="0" w:line="240" w:lineRule="auto"/>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eastAsia="en-US"/>
        </w:rPr>
        <w:t>ІІ. Основні прогнозні показники економічного та соціального розвитку</w:t>
      </w:r>
    </w:p>
    <w:p w:rsidR="00674A6B" w:rsidRPr="00674A6B" w:rsidP="00674A6B" w14:paraId="1C8CCF1E" w14:textId="77777777">
      <w:pPr>
        <w:spacing w:after="0" w:line="240" w:lineRule="auto"/>
        <w:ind w:firstLine="567"/>
        <w:jc w:val="both"/>
        <w:rPr>
          <w:rFonts w:ascii="Times New Roman" w:eastAsia="Calibri" w:hAnsi="Times New Roman" w:cs="Times New Roman"/>
          <w:b/>
          <w:sz w:val="28"/>
          <w:szCs w:val="28"/>
          <w:lang w:eastAsia="en-US"/>
        </w:rPr>
      </w:pPr>
    </w:p>
    <w:p w:rsidR="00674A6B" w:rsidP="00674A6B" w14:paraId="60F2636D" w14:textId="77777777">
      <w:pPr>
        <w:spacing w:after="0" w:line="240" w:lineRule="auto"/>
        <w:ind w:firstLine="567"/>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eastAsia="en-US"/>
        </w:rPr>
        <w:t>Поточний стан соціально-економічного розвитку</w:t>
      </w:r>
    </w:p>
    <w:p w:rsidR="00674A6B" w:rsidRPr="00674A6B" w:rsidP="00674A6B" w14:paraId="0B1B68DF" w14:textId="77777777">
      <w:pPr>
        <w:spacing w:after="0" w:line="240" w:lineRule="auto"/>
        <w:ind w:firstLine="567"/>
        <w:jc w:val="center"/>
        <w:rPr>
          <w:rFonts w:ascii="Times New Roman" w:eastAsia="Calibri" w:hAnsi="Times New Roman" w:cs="Times New Roman"/>
          <w:b/>
          <w:sz w:val="16"/>
          <w:szCs w:val="16"/>
          <w:lang w:eastAsia="en-US"/>
        </w:rPr>
      </w:pPr>
    </w:p>
    <w:p w:rsidR="00674A6B" w:rsidRPr="00674A6B" w:rsidP="00674A6B" w14:paraId="4DDD28E9"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У ході адміністративно-територіальної реформи розпорядженням Кабінету Міністрів України № 715-р від 12.06.2020 р. утворено Броварську міську територіальну громаду шляхом об’єднання чотирьох адміністративних одиниць Броварського району Київської області: міста Бровари, сіл Княжичі, Требухів та Сотницьке, яка фактично сформувалась     9 лютого 2021 року. Бровари -  адміністративний центр громади, центр Броварського району. </w:t>
      </w:r>
    </w:p>
    <w:p w:rsidR="00674A6B" w:rsidRPr="00674A6B" w:rsidP="00674A6B" w14:paraId="38774418"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xml:space="preserve">Громада займає площу 124,138 </w:t>
      </w:r>
      <w:r w:rsidRPr="00674A6B">
        <w:rPr>
          <w:rFonts w:ascii="Times New Roman" w:eastAsia="Times New Roman" w:hAnsi="Times New Roman" w:cs="Times New Roman"/>
          <w:sz w:val="28"/>
          <w:szCs w:val="28"/>
          <w:shd w:val="clear" w:color="auto" w:fill="FFFFFF"/>
        </w:rPr>
        <w:t>км²</w:t>
      </w:r>
      <w:r w:rsidRPr="00674A6B">
        <w:rPr>
          <w:rFonts w:ascii="Times New Roman" w:eastAsia="Times New Roman" w:hAnsi="Times New Roman" w:cs="Times New Roman"/>
          <w:sz w:val="28"/>
          <w:szCs w:val="28"/>
        </w:rPr>
        <w:t xml:space="preserve">, що становить 4,3% площі Броварського району.  Загальна площа земель м. Бровари складає  34 </w:t>
      </w:r>
      <w:r w:rsidRPr="00674A6B">
        <w:rPr>
          <w:rFonts w:ascii="Times New Roman" w:eastAsia="Times New Roman" w:hAnsi="Times New Roman" w:cs="Times New Roman"/>
          <w:sz w:val="28"/>
          <w:szCs w:val="28"/>
          <w:shd w:val="clear" w:color="auto" w:fill="FFFFFF"/>
        </w:rPr>
        <w:t>км²</w:t>
      </w:r>
      <w:r w:rsidRPr="00674A6B">
        <w:rPr>
          <w:rFonts w:ascii="Times New Roman" w:eastAsia="Times New Roman" w:hAnsi="Times New Roman" w:cs="Times New Roman"/>
          <w:sz w:val="28"/>
          <w:szCs w:val="28"/>
        </w:rPr>
        <w:t xml:space="preserve"> ,    с. Княжичі – 35,4697 </w:t>
      </w:r>
      <w:r w:rsidRPr="00674A6B">
        <w:rPr>
          <w:rFonts w:ascii="Times New Roman" w:eastAsia="Times New Roman" w:hAnsi="Times New Roman" w:cs="Times New Roman"/>
          <w:sz w:val="28"/>
          <w:szCs w:val="28"/>
          <w:shd w:val="clear" w:color="auto" w:fill="FFFFFF"/>
        </w:rPr>
        <w:t xml:space="preserve">км², </w:t>
      </w:r>
      <w:r w:rsidRPr="00674A6B">
        <w:rPr>
          <w:rFonts w:ascii="Times New Roman" w:eastAsia="Times New Roman" w:hAnsi="Times New Roman" w:cs="Times New Roman"/>
          <w:sz w:val="28"/>
          <w:szCs w:val="28"/>
        </w:rPr>
        <w:t xml:space="preserve"> с. Требухів  14,0906 </w:t>
      </w:r>
      <w:r w:rsidRPr="00674A6B">
        <w:rPr>
          <w:rFonts w:ascii="Times New Roman" w:eastAsia="Times New Roman" w:hAnsi="Times New Roman" w:cs="Times New Roman"/>
          <w:sz w:val="28"/>
          <w:szCs w:val="28"/>
          <w:shd w:val="clear" w:color="auto" w:fill="FFFFFF"/>
        </w:rPr>
        <w:t>км², с. Сотницьке</w:t>
      </w:r>
      <w:r w:rsidRPr="00674A6B">
        <w:rPr>
          <w:rFonts w:ascii="Times New Roman" w:eastAsia="Times New Roman" w:hAnsi="Times New Roman" w:cs="Times New Roman"/>
          <w:sz w:val="28"/>
          <w:szCs w:val="28"/>
        </w:rPr>
        <w:t xml:space="preserve"> – 0,3818 </w:t>
      </w:r>
      <w:r w:rsidRPr="00674A6B">
        <w:rPr>
          <w:rFonts w:ascii="Times New Roman" w:eastAsia="Times New Roman" w:hAnsi="Times New Roman" w:cs="Times New Roman"/>
          <w:sz w:val="28"/>
          <w:szCs w:val="28"/>
          <w:shd w:val="clear" w:color="auto" w:fill="FFFFFF"/>
        </w:rPr>
        <w:t>км², землі за межами населених пунктів сіл громади – 40,1959 км².</w:t>
      </w:r>
    </w:p>
    <w:p w:rsidR="00674A6B" w:rsidRPr="00674A6B" w:rsidP="00674A6B" w14:paraId="527C1134"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Броварська міська територіальна громада за чисельністю населення – це друга громада з 69-ох в Київській області і найбільша з 8-ми громад у Броварському районі.</w:t>
      </w:r>
    </w:p>
    <w:p w:rsidR="00674A6B" w:rsidRPr="00674A6B" w:rsidP="00674A6B" w14:paraId="7CACD27A"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Відповідно реєстру Броварської міської територіальної громади станом на 01.01.2025 року в громаді зареєстровано 116 664 особи.</w:t>
      </w:r>
    </w:p>
    <w:p w:rsidR="00674A6B" w:rsidRPr="00674A6B" w:rsidP="00674A6B" w14:paraId="0D138351"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Станом на 01.01.2025 в Єдиній інформаційній базі даних внутрішньо переміщених осіб (далі - ВПО) починаючи з 2014 року на обліку перебувало 22097  осіб, в тому числі 15483 особи переміщені після 24.02.2022, в тому числі 4459 дітей.</w:t>
      </w:r>
    </w:p>
    <w:p w:rsidR="00674A6B" w:rsidRPr="00674A6B" w:rsidP="00674A6B" w14:paraId="40A16A9B" w14:textId="77777777">
      <w:pPr>
        <w:spacing w:after="0" w:line="240" w:lineRule="auto"/>
        <w:ind w:firstLine="567"/>
        <w:jc w:val="both"/>
        <w:rPr>
          <w:rFonts w:ascii="Times New Roman" w:eastAsia="Times New Roman" w:hAnsi="Times New Roman" w:cs="Times New Roman"/>
          <w:sz w:val="28"/>
          <w:szCs w:val="28"/>
        </w:rPr>
      </w:pPr>
    </w:p>
    <w:p w:rsidR="00674A6B" w:rsidP="00674A6B" w14:paraId="0B838E49" w14:textId="77777777">
      <w:pPr>
        <w:spacing w:after="0" w:line="240" w:lineRule="auto"/>
        <w:ind w:firstLine="567"/>
        <w:jc w:val="center"/>
        <w:rPr>
          <w:rFonts w:ascii="Times New Roman" w:eastAsia="Times New Roman" w:hAnsi="Times New Roman" w:cs="Times New Roman"/>
          <w:b/>
          <w:sz w:val="28"/>
          <w:szCs w:val="28"/>
        </w:rPr>
      </w:pPr>
      <w:r w:rsidRPr="00674A6B">
        <w:rPr>
          <w:rFonts w:ascii="Times New Roman" w:eastAsia="Times New Roman" w:hAnsi="Times New Roman" w:cs="Times New Roman"/>
          <w:b/>
          <w:sz w:val="28"/>
          <w:szCs w:val="28"/>
        </w:rPr>
        <w:t>Транспорт та житлово-комунальне господарство</w:t>
      </w:r>
    </w:p>
    <w:p w:rsidR="00674A6B" w:rsidRPr="00674A6B" w:rsidP="00674A6B" w14:paraId="3AAE917F" w14:textId="77777777">
      <w:pPr>
        <w:spacing w:after="0" w:line="240" w:lineRule="auto"/>
        <w:ind w:firstLine="567"/>
        <w:jc w:val="center"/>
        <w:rPr>
          <w:rFonts w:ascii="Times New Roman" w:eastAsia="Times New Roman" w:hAnsi="Times New Roman" w:cs="Times New Roman"/>
          <w:b/>
          <w:sz w:val="28"/>
          <w:szCs w:val="28"/>
        </w:rPr>
      </w:pPr>
    </w:p>
    <w:p w:rsidR="00674A6B" w:rsidRPr="00674A6B" w:rsidP="00674A6B" w14:paraId="50F62F0E"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Зовнішні транспортні звꞌязки громади забезпечуються автомобільним та залізничним сполученням.</w:t>
      </w:r>
    </w:p>
    <w:p w:rsidR="00674A6B" w:rsidRPr="00674A6B" w:rsidP="00674A6B" w14:paraId="0F781032"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Залізничне сполучення забезпечує двоколійна електрифікована лінія «Ніжин-Київ»</w:t>
      </w:r>
      <w:r w:rsidRPr="00674A6B">
        <w:rPr>
          <w:rFonts w:ascii="Times New Roman" w:eastAsia="Times New Roman" w:hAnsi="Times New Roman" w:cs="Times New Roman"/>
          <w:b/>
          <w:bCs/>
          <w:sz w:val="28"/>
          <w:szCs w:val="28"/>
        </w:rPr>
        <w:t xml:space="preserve">, </w:t>
      </w:r>
      <w:r w:rsidRPr="00674A6B">
        <w:rPr>
          <w:rFonts w:ascii="Times New Roman" w:eastAsia="Times New Roman" w:hAnsi="Times New Roman" w:cs="Times New Roman"/>
          <w:sz w:val="28"/>
          <w:szCs w:val="28"/>
        </w:rPr>
        <w:t>пасажирська та вантажна станція «Бровари», пасажирські платформи «Княжичі» та «Ялинка».</w:t>
      </w:r>
    </w:p>
    <w:p w:rsidR="00674A6B" w:rsidRPr="00674A6B" w:rsidP="00674A6B" w14:paraId="0C11F50E"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xml:space="preserve">Послуги з перевезення пасажирів на території Броварської міської територіальної громади надають виключно приватні перевізники. </w:t>
      </w:r>
    </w:p>
    <w:p w:rsidR="00674A6B" w:rsidRPr="00674A6B" w:rsidP="00674A6B" w14:paraId="27F2D7FA" w14:textId="77777777">
      <w:pPr>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Забезпечення населення якісними комунальними послугами є одним з пріоритетних завдань міської влади. </w:t>
      </w:r>
    </w:p>
    <w:p w:rsidR="00674A6B" w:rsidRPr="00674A6B" w:rsidP="00674A6B" w14:paraId="2A546D02" w14:textId="77777777">
      <w:pPr>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Станом на 01.01.2025 року у житловому фонді Броварської міської територіальної громади знаходиться 514 багатоквартирних житлових будинків, 56 котелень, 5 артезіанських свердловин, на прибудинкових територіях житлових багатоквартирних будинків розміщені водозабірні колонки.</w:t>
      </w:r>
    </w:p>
    <w:p w:rsidR="00674A6B" w:rsidRPr="00674A6B" w:rsidP="00674A6B" w14:paraId="03E6C1BE"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xml:space="preserve">Комунальні послуги з постачання та розподілу природного газу, електричної енергії, теплової енергії, централізованого водопостачання та водовідведення, поводження з побутовими відходами та управління </w:t>
      </w:r>
      <w:r w:rsidRPr="00674A6B">
        <w:rPr>
          <w:rFonts w:ascii="Times New Roman" w:eastAsia="Times New Roman" w:hAnsi="Times New Roman" w:cs="Times New Roman"/>
          <w:sz w:val="28"/>
          <w:szCs w:val="28"/>
        </w:rPr>
        <w:t>багатоквартирними будинками на території Броварської міської територіальної громади надаються у повному обсязі. </w:t>
      </w:r>
    </w:p>
    <w:p w:rsidR="00674A6B" w:rsidRPr="00674A6B" w:rsidP="00674A6B" w14:paraId="46A34B99" w14:textId="77777777">
      <w:pPr>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 xml:space="preserve">На території міста Бровари є 4 парки, 4 сквери, пішохідний бульвар в 34-му мікрорайоні, 4 зони відпочинку та парк відпочинку в с. Княжичі. Прибирання території та догляд за зеленими насадженнями на територіях парків та скверів здійснює КП «Бровари-Благоустрій». </w:t>
      </w:r>
    </w:p>
    <w:p w:rsidR="00674A6B" w:rsidRPr="00674A6B" w:rsidP="00674A6B" w14:paraId="0198018E" w14:textId="77777777">
      <w:pPr>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 xml:space="preserve">Надавачем послуг з вивезення побутових відходів у Броварській територіальній громаді є ТОВ «Селтік ТБО».  </w:t>
      </w:r>
    </w:p>
    <w:p w:rsidR="00674A6B" w:rsidRPr="00674A6B" w:rsidP="00674A6B" w14:paraId="3F805750" w14:textId="77777777">
      <w:pPr>
        <w:spacing w:after="0" w:line="240" w:lineRule="auto"/>
        <w:ind w:firstLine="567"/>
        <w:jc w:val="both"/>
        <w:rPr>
          <w:rFonts w:ascii="Times New Roman" w:eastAsia="Times New Roman" w:hAnsi="Times New Roman" w:cs="Times New Roman"/>
          <w:sz w:val="28"/>
          <w:szCs w:val="28"/>
        </w:rPr>
      </w:pPr>
    </w:p>
    <w:p w:rsidR="00674A6B" w:rsidP="00674A6B" w14:paraId="39A270C8" w14:textId="77777777">
      <w:pPr>
        <w:spacing w:after="0" w:line="240" w:lineRule="auto"/>
        <w:ind w:firstLine="567"/>
        <w:jc w:val="center"/>
        <w:rPr>
          <w:rFonts w:ascii="Times New Roman" w:eastAsia="Times New Roman" w:hAnsi="Times New Roman" w:cs="Times New Roman"/>
          <w:b/>
          <w:sz w:val="28"/>
          <w:szCs w:val="28"/>
        </w:rPr>
      </w:pPr>
      <w:r w:rsidRPr="00674A6B">
        <w:rPr>
          <w:rFonts w:ascii="Times New Roman" w:eastAsia="Times New Roman" w:hAnsi="Times New Roman" w:cs="Times New Roman"/>
          <w:b/>
          <w:sz w:val="28"/>
          <w:szCs w:val="28"/>
        </w:rPr>
        <w:t>Освіта</w:t>
      </w:r>
    </w:p>
    <w:p w:rsidR="00674A6B" w:rsidRPr="00674A6B" w:rsidP="00674A6B" w14:paraId="1F0335CE" w14:textId="77777777">
      <w:pPr>
        <w:spacing w:after="0" w:line="240" w:lineRule="auto"/>
        <w:ind w:firstLine="567"/>
        <w:jc w:val="center"/>
        <w:rPr>
          <w:rFonts w:ascii="Times New Roman" w:eastAsia="Times New Roman" w:hAnsi="Times New Roman" w:cs="Times New Roman"/>
          <w:b/>
          <w:sz w:val="28"/>
          <w:szCs w:val="28"/>
        </w:rPr>
      </w:pPr>
    </w:p>
    <w:p w:rsidR="00674A6B" w:rsidRPr="00674A6B" w:rsidP="00674A6B" w14:paraId="27CD69FF"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xml:space="preserve">Мережу закладів дошкільної освіти громади складають 23 заклади комунальної власності та 9 інших форм власності. Різними формами дошкільної освіти охоплено 4676 дітей (243 групи), з них у комунальних закладах – 4340 дітей (213 груп). За останні роки  мережа ЗДО поповнилася двома приватними закладами. </w:t>
      </w:r>
    </w:p>
    <w:p w:rsidR="00674A6B" w:rsidRPr="00674A6B" w:rsidP="00674A6B" w14:paraId="0E681E1A" w14:textId="77777777">
      <w:pPr>
        <w:spacing w:after="0" w:line="240" w:lineRule="auto"/>
        <w:ind w:right="-12"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Мережу  закладів загальної середньої освіти становлять 13 ліцеїв і 1 гімназія. У 2024–2025 навчальному році на навчання зараховано 17810 мешканців громади (665 класів), для 1604 учнів відкрито 51 групу подовженого дня. У 2024–2025 навчальному році для 5745 учнів (196 класів) організовано навчання у другу зміну.</w:t>
      </w:r>
    </w:p>
    <w:p w:rsidR="00674A6B" w:rsidRPr="00674A6B" w:rsidP="00674A6B" w14:paraId="4B578357" w14:textId="77777777">
      <w:pPr>
        <w:shd w:val="clear" w:color="auto" w:fill="FFFFFF"/>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 xml:space="preserve">У громаді налагоджено роботу щодо інклюзивної освіти дітей з особливими освітніми потребами. </w:t>
      </w:r>
    </w:p>
    <w:p w:rsidR="00674A6B" w:rsidRPr="00674A6B" w:rsidP="00674A6B" w14:paraId="77568DC6" w14:textId="77777777">
      <w:pPr>
        <w:shd w:val="clear" w:color="auto" w:fill="FFFFFF"/>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 xml:space="preserve">Кількість дітей ВПО, які відвідують ЗЗСО, зросла за останні чотири роки майже в 2 рази, також на 62 % збільшилася кількість дітей у інклюзивних класах. </w:t>
      </w:r>
    </w:p>
    <w:p w:rsidR="00674A6B" w:rsidRPr="00674A6B" w:rsidP="00674A6B" w14:paraId="4E89D7B8" w14:textId="77777777">
      <w:pPr>
        <w:shd w:val="clear" w:color="auto" w:fill="FFFFFF"/>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 xml:space="preserve">У громаді працює 5 закладів позашкільної освіти комунальної власності, приватний позашкільний заклад ТОВ «Центр іноземних мов «Спік Інглиш». </w:t>
      </w:r>
    </w:p>
    <w:p w:rsidR="00674A6B" w:rsidRPr="00674A6B" w:rsidP="00674A6B" w14:paraId="1925922D"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shd w:val="clear" w:color="auto" w:fill="FFFFFF"/>
        </w:rPr>
        <w:t>На належному рівні у закладах освіти громади організовано харчування дітей. В усіх комунальних закладах</w:t>
      </w:r>
      <w:r w:rsidRPr="00674A6B">
        <w:rPr>
          <w:rFonts w:ascii="Times New Roman" w:eastAsia="Times New Roman" w:hAnsi="Times New Roman" w:cs="Times New Roman"/>
          <w:sz w:val="28"/>
          <w:szCs w:val="28"/>
        </w:rPr>
        <w:t xml:space="preserve"> освіти громади організовано безкоштовне харчування дітей пільгової категорії та учнів 1-4 класів закладів загальної середньої освіти. </w:t>
      </w:r>
    </w:p>
    <w:p w:rsidR="00674A6B" w:rsidRPr="00674A6B" w:rsidP="00674A6B" w14:paraId="51658424"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xml:space="preserve">В закладах освіти в 2022-2024 роках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w:t>
      </w:r>
    </w:p>
    <w:p w:rsidR="00674A6B" w:rsidRPr="00674A6B" w:rsidP="00674A6B" w14:paraId="3E8B30F8" w14:textId="77777777">
      <w:pPr>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Потребує подальшого розвитку мережа закладів освіти, створення інклюзивного освітнього середовища у закладах освіти, безбар’єрного простору для дітей з особливими освітніми потребами. </w:t>
      </w:r>
    </w:p>
    <w:p w:rsidR="00674A6B" w:rsidRPr="00674A6B" w:rsidP="00674A6B" w14:paraId="7CE27667" w14:textId="77777777">
      <w:pPr>
        <w:spacing w:after="0" w:line="240" w:lineRule="auto"/>
        <w:ind w:firstLine="567"/>
        <w:jc w:val="both"/>
        <w:rPr>
          <w:rFonts w:ascii="Times New Roman" w:eastAsia="Times New Roman" w:hAnsi="Times New Roman" w:cs="Times New Roman"/>
          <w:sz w:val="28"/>
          <w:szCs w:val="28"/>
        </w:rPr>
      </w:pPr>
    </w:p>
    <w:p w:rsidR="00674A6B" w:rsidP="00674A6B" w14:paraId="16E5453B" w14:textId="77777777">
      <w:pPr>
        <w:spacing w:after="0" w:line="240" w:lineRule="auto"/>
        <w:jc w:val="center"/>
        <w:rPr>
          <w:rFonts w:ascii="Times New Roman" w:eastAsia="Times New Roman" w:hAnsi="Times New Roman" w:cs="Times New Roman"/>
          <w:b/>
          <w:bCs/>
          <w:sz w:val="28"/>
          <w:szCs w:val="28"/>
        </w:rPr>
      </w:pPr>
      <w:r w:rsidRPr="00674A6B">
        <w:rPr>
          <w:rFonts w:ascii="Times New Roman" w:eastAsia="Times New Roman" w:hAnsi="Times New Roman" w:cs="Times New Roman"/>
          <w:b/>
          <w:bCs/>
          <w:sz w:val="28"/>
          <w:szCs w:val="28"/>
        </w:rPr>
        <w:t>Охорона здоров’я</w:t>
      </w:r>
    </w:p>
    <w:p w:rsidR="00674A6B" w:rsidRPr="00674A6B" w:rsidP="00674A6B" w14:paraId="5363EA1B" w14:textId="77777777">
      <w:pPr>
        <w:spacing w:after="0" w:line="240" w:lineRule="auto"/>
        <w:jc w:val="center"/>
        <w:rPr>
          <w:rFonts w:ascii="Times New Roman" w:eastAsia="Times New Roman" w:hAnsi="Times New Roman" w:cs="Times New Roman"/>
          <w:b/>
          <w:bCs/>
          <w:sz w:val="28"/>
          <w:szCs w:val="28"/>
        </w:rPr>
      </w:pPr>
    </w:p>
    <w:p w:rsidR="00674A6B" w:rsidRPr="00674A6B" w:rsidP="00674A6B" w14:paraId="749DACFD"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станція екстреної медичної </w:t>
      </w:r>
      <w:r w:rsidRPr="00674A6B">
        <w:rPr>
          <w:rFonts w:ascii="Times New Roman" w:eastAsia="Times New Roman" w:hAnsi="Times New Roman" w:cs="Times New Roman"/>
          <w:sz w:val="28"/>
          <w:szCs w:val="28"/>
        </w:rPr>
        <w:t xml:space="preserve">допомоги, Комунальне некомерційне підприємство </w:t>
      </w:r>
      <w:r w:rsidRPr="00674A6B">
        <w:rPr>
          <w:rFonts w:ascii="Times New Roman" w:eastAsia="Times New Roman" w:hAnsi="Times New Roman" w:cs="Times New Roman"/>
          <w:sz w:val="28"/>
          <w:szCs w:val="28"/>
          <w:shd w:val="clear" w:color="auto" w:fill="FFFFFF"/>
        </w:rPr>
        <w:t>Броварської міської ради Броварського району Київської області</w:t>
      </w:r>
      <w:r w:rsidRPr="00674A6B">
        <w:rPr>
          <w:rFonts w:ascii="Times New Roman" w:eastAsia="Times New Roman" w:hAnsi="Times New Roman" w:cs="Times New Roman"/>
          <w:shd w:val="clear" w:color="auto" w:fill="FFFFFF"/>
        </w:rPr>
        <w:t> </w:t>
      </w:r>
      <w:r w:rsidRPr="00674A6B">
        <w:rPr>
          <w:rFonts w:ascii="Times New Roman" w:eastAsia="Times New Roman" w:hAnsi="Times New Roman" w:cs="Times New Roman"/>
          <w:sz w:val="28"/>
          <w:szCs w:val="28"/>
        </w:rPr>
        <w:t>«Броварський міський центр первинної медико-санітарної допомоги» та Комунальне некомерційне підприємство Броварської міської ради Броварського району Київської області «Броварська стоматологічна поліклініка». </w:t>
      </w:r>
    </w:p>
    <w:p w:rsidR="00674A6B" w:rsidRPr="00674A6B" w:rsidP="00674A6B" w14:paraId="60026DD4"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Комунальне некомерційне підприємство «Броварська багатопрофільна клінічна лікарня» надає медичну допомогу жителям Броварської міської територіальної громади та Броварського району.</w:t>
      </w:r>
      <w:r w:rsidRPr="00674A6B">
        <w:rPr>
          <w:rFonts w:ascii="Times New Roman" w:eastAsia="Times New Roman" w:hAnsi="Times New Roman" w:cs="Times New Roman"/>
        </w:rPr>
        <w:t xml:space="preserve"> </w:t>
      </w:r>
      <w:r w:rsidRPr="00674A6B">
        <w:rPr>
          <w:rFonts w:ascii="Times New Roman" w:eastAsia="Times New Roman" w:hAnsi="Times New Roman" w:cs="Times New Roman"/>
          <w:sz w:val="28"/>
          <w:szCs w:val="28"/>
        </w:rPr>
        <w:t>В стаціонарних відділеннях «дорослої» лікарні - 628 ліжок та в Центрі «Дитяча лікарня» - 80 ліжок.  </w:t>
      </w:r>
    </w:p>
    <w:p w:rsidR="00674A6B" w:rsidRPr="00674A6B" w:rsidP="00674A6B" w14:paraId="583C4AE3"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shd w:val="clear" w:color="auto" w:fill="FFFFFF"/>
        </w:rPr>
        <w:t>Основною метою діяльності</w:t>
      </w:r>
      <w:r w:rsidRPr="00674A6B">
        <w:rPr>
          <w:rFonts w:ascii="Times New Roman" w:eastAsia="Times New Roman" w:hAnsi="Times New Roman" w:cs="Times New Roman"/>
          <w:sz w:val="28"/>
          <w:szCs w:val="28"/>
        </w:rPr>
        <w:t xml:space="preserve"> Комунальне некомерційне підприємство </w:t>
      </w:r>
      <w:r w:rsidRPr="00674A6B">
        <w:rPr>
          <w:rFonts w:ascii="Times New Roman" w:eastAsia="Times New Roman" w:hAnsi="Times New Roman" w:cs="Times New Roman"/>
          <w:sz w:val="28"/>
          <w:szCs w:val="28"/>
          <w:shd w:val="clear" w:color="auto" w:fill="FFFFFF"/>
        </w:rPr>
        <w:t>Броварської міської ради Броварського району Київської області</w:t>
      </w:r>
      <w:r w:rsidRPr="00674A6B">
        <w:rPr>
          <w:rFonts w:ascii="Times New Roman" w:eastAsia="Times New Roman" w:hAnsi="Times New Roman" w:cs="Times New Roman"/>
          <w:shd w:val="clear" w:color="auto" w:fill="FFFFFF"/>
        </w:rPr>
        <w:t> </w:t>
      </w:r>
      <w:r w:rsidRPr="00674A6B">
        <w:rPr>
          <w:rFonts w:ascii="Times New Roman" w:eastAsia="Times New Roman" w:hAnsi="Times New Roman" w:cs="Times New Roman"/>
          <w:sz w:val="28"/>
          <w:szCs w:val="28"/>
        </w:rPr>
        <w:t>«Броварський міський центр первинної медико-санітарної допомоги»</w:t>
      </w:r>
      <w:r w:rsidRPr="00674A6B">
        <w:rPr>
          <w:rFonts w:ascii="Times New Roman" w:eastAsia="Times New Roman" w:hAnsi="Times New Roman" w:cs="Times New Roman"/>
          <w:sz w:val="28"/>
          <w:szCs w:val="28"/>
          <w:shd w:val="clear" w:color="auto" w:fill="FFFFFF"/>
        </w:rPr>
        <w:t xml:space="preserve"> є забезпечення населення </w:t>
      </w:r>
      <w:r w:rsidRPr="00674A6B">
        <w:rPr>
          <w:rFonts w:ascii="Times New Roman" w:eastAsia="Times New Roman" w:hAnsi="Times New Roman" w:cs="Times New Roman"/>
          <w:sz w:val="28"/>
          <w:szCs w:val="28"/>
        </w:rPr>
        <w:t>первинною медичною допомогою.</w:t>
      </w:r>
      <w:r w:rsidRPr="00674A6B">
        <w:rPr>
          <w:rFonts w:ascii="Times New Roman" w:eastAsia="Times New Roman" w:hAnsi="Times New Roman" w:cs="Times New Roman"/>
          <w:sz w:val="28"/>
          <w:szCs w:val="28"/>
          <w:shd w:val="clear" w:color="auto" w:fill="FFFFFF"/>
        </w:rPr>
        <w:t xml:space="preserve"> </w:t>
      </w:r>
      <w:r w:rsidRPr="00674A6B">
        <w:rPr>
          <w:rFonts w:ascii="Times New Roman" w:eastAsia="Times New Roman" w:hAnsi="Times New Roman" w:cs="Times New Roman"/>
          <w:sz w:val="28"/>
          <w:szCs w:val="28"/>
        </w:rPr>
        <w:t xml:space="preserve">В його структурі функціонує 9 амбулаторій, відділення невідкладної допомоги, клініко-діагностична  лабораторія, кабінети акушерів – гінекологів, консультативно-діагностичні кабінети лікарів з ультразвукової діагностики,  кардіолога, гастроентеролога, невропатолога, ендокринолога, лікаря-ендоскопіста, лікаря-фтизіатра. </w:t>
      </w:r>
    </w:p>
    <w:p w:rsidR="00674A6B" w:rsidRPr="00674A6B" w:rsidP="00674A6B" w14:paraId="1C11BD62" w14:textId="77777777">
      <w:pPr>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 xml:space="preserve">Станом на 01.01.2025 згідно приписної кампанії «Лікар для кожної сім’ї» укладено 102398 декларацій з лікарями закладу. </w:t>
      </w:r>
    </w:p>
    <w:p w:rsidR="00674A6B" w:rsidRPr="00674A6B" w:rsidP="00674A6B" w14:paraId="6F9B270D"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Комунальне некомерційне підприємство Броварської міської ради Броварського району Київської області «Броварська стоматологічна поліклініка» проводить свою діяльність у сфері надання стоматологічних, ортопедичних та ортодонтичних послуг дорослому та дитячому населенню громади. Для забезпечення надання кваліфікованої стоматологічної допомоги закуплено сучасне</w:t>
      </w:r>
      <w:r w:rsidRPr="00674A6B">
        <w:rPr>
          <w:rFonts w:ascii="Calibri" w:eastAsia="Times New Roman" w:hAnsi="Calibri" w:cs="Calibri"/>
          <w:sz w:val="28"/>
          <w:szCs w:val="28"/>
        </w:rPr>
        <w:t xml:space="preserve"> </w:t>
      </w:r>
      <w:r w:rsidRPr="00674A6B">
        <w:rPr>
          <w:rFonts w:ascii="Times New Roman" w:eastAsia="Times New Roman" w:hAnsi="Times New Roman" w:cs="Times New Roman"/>
          <w:sz w:val="28"/>
          <w:szCs w:val="28"/>
        </w:rPr>
        <w:t>стоматологічне обладнання. Великий спектр послуг надається окремим  громадянам пільгових категорій громади безкоштовно. </w:t>
      </w:r>
    </w:p>
    <w:p w:rsidR="00674A6B" w:rsidRPr="00674A6B" w:rsidP="00674A6B" w14:paraId="2E35FE62"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який релоковано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rsidR="00674A6B" w:rsidRPr="00674A6B" w:rsidP="00674A6B" w14:paraId="686CB537" w14:textId="77777777">
      <w:pPr>
        <w:shd w:val="clear" w:color="auto" w:fill="FFFFFF"/>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Також в громаді активно розвиваються приватні медичні заклади.</w:t>
      </w:r>
    </w:p>
    <w:p w:rsidR="00674A6B" w:rsidRPr="00674A6B" w:rsidP="00674A6B" w14:paraId="2D70E0FD" w14:textId="77777777">
      <w:pPr>
        <w:shd w:val="clear" w:color="auto" w:fill="FFFFFF"/>
        <w:spacing w:after="0" w:line="240" w:lineRule="auto"/>
        <w:ind w:firstLine="567"/>
        <w:jc w:val="both"/>
        <w:rPr>
          <w:rFonts w:ascii="Times New Roman" w:eastAsia="Times New Roman" w:hAnsi="Times New Roman" w:cs="Times New Roman"/>
          <w:sz w:val="24"/>
          <w:szCs w:val="24"/>
        </w:rPr>
      </w:pPr>
    </w:p>
    <w:p w:rsidR="00674A6B" w:rsidP="00674A6B" w14:paraId="5E7413DD" w14:textId="77777777">
      <w:pPr>
        <w:spacing w:after="0" w:line="240" w:lineRule="auto"/>
        <w:jc w:val="center"/>
        <w:rPr>
          <w:rFonts w:ascii="Times New Roman" w:eastAsia="Times New Roman" w:hAnsi="Times New Roman" w:cs="Times New Roman"/>
          <w:b/>
          <w:bCs/>
          <w:sz w:val="28"/>
          <w:szCs w:val="28"/>
        </w:rPr>
      </w:pPr>
      <w:r w:rsidRPr="00674A6B">
        <w:rPr>
          <w:rFonts w:ascii="Times New Roman" w:eastAsia="Times New Roman" w:hAnsi="Times New Roman" w:cs="Times New Roman"/>
          <w:b/>
          <w:bCs/>
          <w:sz w:val="28"/>
          <w:szCs w:val="28"/>
        </w:rPr>
        <w:t>Соціальна сфера</w:t>
      </w:r>
    </w:p>
    <w:p w:rsidR="00674A6B" w:rsidRPr="00674A6B" w:rsidP="00674A6B" w14:paraId="3BE5A834" w14:textId="77777777">
      <w:pPr>
        <w:spacing w:after="0" w:line="240" w:lineRule="auto"/>
        <w:jc w:val="center"/>
        <w:rPr>
          <w:rFonts w:ascii="Times New Roman" w:eastAsia="Times New Roman" w:hAnsi="Times New Roman" w:cs="Times New Roman"/>
          <w:b/>
          <w:bCs/>
          <w:sz w:val="28"/>
          <w:szCs w:val="28"/>
        </w:rPr>
      </w:pPr>
    </w:p>
    <w:p w:rsidR="00674A6B" w:rsidRPr="00674A6B" w:rsidP="00674A6B" w14:paraId="262AE9D7"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xml:space="preserve">В основу пріоритетів соціальної політики громади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 </w:t>
      </w:r>
    </w:p>
    <w:p w:rsidR="00674A6B" w:rsidRPr="00674A6B" w:rsidP="00674A6B" w14:paraId="5759ADCD"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xml:space="preserve">З метою підтримки найбільш вразливих та соціально-незахищених верств населення в громаді діє Програма «З турботою про кожного», для забезпечення всебічною підтримкою Захисників та Захисниць України та </w:t>
      </w:r>
      <w:r w:rsidRPr="00674A6B">
        <w:rPr>
          <w:rFonts w:ascii="Times New Roman" w:eastAsia="Times New Roman" w:hAnsi="Times New Roman" w:cs="Times New Roman"/>
          <w:sz w:val="28"/>
          <w:szCs w:val="28"/>
        </w:rPr>
        <w:t xml:space="preserve">членів їх сімей діє Програма </w:t>
      </w:r>
      <w:r w:rsidRPr="00674A6B">
        <w:rPr>
          <w:rFonts w:ascii="Times New Roman" w:eastAsia="Times New Roman" w:hAnsi="Times New Roman" w:cs="Times New Roman"/>
          <w:sz w:val="28"/>
          <w:szCs w:val="28"/>
          <w:shd w:val="clear" w:color="auto" w:fill="FFFFFF"/>
        </w:rPr>
        <w:t>підтримки Захисників та Захисниць України, членів сімей загиблих</w:t>
      </w:r>
      <w:r w:rsidRPr="00674A6B">
        <w:rPr>
          <w:rFonts w:ascii="Times New Roman" w:eastAsia="Times New Roman" w:hAnsi="Times New Roman" w:cs="Times New Roman"/>
          <w:sz w:val="28"/>
          <w:szCs w:val="28"/>
        </w:rPr>
        <w:t xml:space="preserve"> на 2024-2026 роки. </w:t>
      </w:r>
    </w:p>
    <w:p w:rsidR="00674A6B" w:rsidRPr="00674A6B" w:rsidP="00674A6B" w14:paraId="266D835E" w14:textId="77777777">
      <w:pPr>
        <w:spacing w:after="0" w:line="240" w:lineRule="auto"/>
        <w:ind w:right="-141"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xml:space="preserve">В громаді налагоджений механізм підтримки ВПО, який забезпечує надання гуманітарної допомоги, юридичних консультацій, медичних послуг тощо. З листопада 2022 року для тимчасового проживання ВПО в громаді функціонує модульне містечко, розраховане на 352 людини. </w:t>
      </w:r>
      <w:r w:rsidRPr="00674A6B">
        <w:rPr>
          <w:rFonts w:ascii="Times New Roman" w:eastAsia="Times New Roman" w:hAnsi="Times New Roman" w:cs="Times New Roman"/>
          <w:sz w:val="28"/>
          <w:szCs w:val="28"/>
          <w:shd w:val="clear" w:color="auto" w:fill="FFFFFF"/>
        </w:rPr>
        <w:t xml:space="preserve">Проживання в модульному містечку безкоштовне. </w:t>
      </w:r>
    </w:p>
    <w:p w:rsidR="00674A6B" w:rsidRPr="00674A6B" w:rsidP="00674A6B" w14:paraId="52556438"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xml:space="preserve">Особлива увага в громаді приділяється розвитку соціальних послуг. </w:t>
      </w:r>
    </w:p>
    <w:p w:rsidR="00674A6B" w:rsidRPr="00674A6B" w:rsidP="00674A6B" w14:paraId="30F2A597" w14:textId="77777777">
      <w:pPr>
        <w:spacing w:after="0" w:line="240" w:lineRule="auto"/>
        <w:ind w:firstLine="567"/>
        <w:jc w:val="both"/>
        <w:rPr>
          <w:rFonts w:ascii="Times New Roman" w:eastAsia="Times New Roman" w:hAnsi="Times New Roman" w:cs="Times New Roman"/>
          <w:color w:val="FF0000"/>
          <w:sz w:val="28"/>
          <w:szCs w:val="28"/>
        </w:rPr>
      </w:pPr>
      <w:r w:rsidRPr="00674A6B">
        <w:rPr>
          <w:rFonts w:ascii="Times New Roman" w:eastAsia="Times New Roman" w:hAnsi="Times New Roman" w:cs="Times New Roman"/>
          <w:sz w:val="28"/>
          <w:szCs w:val="28"/>
        </w:rPr>
        <w:t>Мережа закладів комунальної форми власності, що надають соціальні послуги в громаді, представлена Броварським міським територіальним центром соціального обслуговування Броварського району Київської області, Міським центром комплексної реабілітації дітей з інвалідністю Броварської міської ради Броварського району Київської області,  Центром соціальних служб Броварської міської ради Броварського району Київської області.</w:t>
      </w:r>
      <w:r w:rsidRPr="00674A6B">
        <w:rPr>
          <w:rFonts w:ascii="Times New Roman" w:eastAsia="Times New Roman" w:hAnsi="Times New Roman" w:cs="Times New Roman"/>
          <w:color w:val="FF0000"/>
          <w:sz w:val="28"/>
          <w:szCs w:val="28"/>
        </w:rPr>
        <w:t xml:space="preserve"> </w:t>
      </w:r>
    </w:p>
    <w:p w:rsidR="00674A6B" w:rsidRPr="00674A6B" w:rsidP="00674A6B" w14:paraId="67C76540" w14:textId="77777777">
      <w:pPr>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Мережа закладів приватної форми власності, що надають соціальні послуги в громаді, представлена</w:t>
      </w:r>
      <w:r w:rsidRPr="00674A6B">
        <w:rPr>
          <w:rFonts w:ascii="Calibri" w:eastAsia="Times New Roman" w:hAnsi="Calibri" w:cs="Calibri"/>
        </w:rPr>
        <w:t xml:space="preserve"> </w:t>
      </w:r>
      <w:r w:rsidRPr="00674A6B">
        <w:rPr>
          <w:rFonts w:ascii="Times New Roman" w:eastAsia="Times New Roman" w:hAnsi="Times New Roman" w:cs="Times New Roman"/>
          <w:sz w:val="28"/>
          <w:szCs w:val="28"/>
        </w:rPr>
        <w:t>Благодійною</w:t>
      </w:r>
      <w:r w:rsidRPr="00674A6B">
        <w:rPr>
          <w:rFonts w:ascii="Calibri" w:eastAsia="Times New Roman" w:hAnsi="Calibri" w:cs="Calibri"/>
        </w:rPr>
        <w:t xml:space="preserve"> </w:t>
      </w:r>
      <w:r w:rsidRPr="00674A6B">
        <w:rPr>
          <w:rFonts w:ascii="Times New Roman" w:eastAsia="Times New Roman" w:hAnsi="Times New Roman" w:cs="Times New Roman"/>
          <w:sz w:val="28"/>
          <w:szCs w:val="28"/>
        </w:rPr>
        <w:t>організацією «Перспектива 21.3»,</w:t>
      </w:r>
      <w:r w:rsidRPr="00674A6B">
        <w:rPr>
          <w:rFonts w:ascii="Calibri" w:eastAsia="Times New Roman" w:hAnsi="Calibri" w:cs="Calibri"/>
        </w:rPr>
        <w:t xml:space="preserve"> </w:t>
      </w:r>
      <w:r w:rsidRPr="00674A6B">
        <w:rPr>
          <w:rFonts w:ascii="Times New Roman" w:eastAsia="Times New Roman" w:hAnsi="Times New Roman" w:cs="Times New Roman"/>
          <w:sz w:val="28"/>
          <w:szCs w:val="28"/>
        </w:rPr>
        <w:t>Благодійним фондом «СОС Дитяче Містечко» Бровари, Міжнародним благодійним фондом «Дитячий соціально-реабілітаційний центр «Сонячне світло».</w:t>
      </w:r>
    </w:p>
    <w:p w:rsidR="00674A6B" w:rsidRPr="00674A6B" w:rsidP="00674A6B" w14:paraId="67842875"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в громаді реалізуються дві програми: «Програма відпочинку та оздоровлення дітей на 2022-2026 роки» та «Програма підтримки сім’ї та захисту прав дітей «Щаслива родина – успішна країна» на 2023-2027 роки».</w:t>
      </w:r>
      <w:r w:rsidRPr="00674A6B">
        <w:rPr>
          <w:rFonts w:ascii="Times New Roman" w:eastAsia="Times New Roman" w:hAnsi="Times New Roman" w:cs="Times New Roman"/>
          <w:sz w:val="24"/>
          <w:szCs w:val="24"/>
        </w:rPr>
        <w:t xml:space="preserve"> </w:t>
      </w:r>
    </w:p>
    <w:p w:rsidR="00674A6B" w:rsidRPr="00674A6B" w:rsidP="00674A6B" w14:paraId="5410F309" w14:textId="77777777">
      <w:pPr>
        <w:shd w:val="clear" w:color="auto" w:fill="FFFFFF"/>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На сьогоднішній день актуальним залишається вирішення проблем соціального обслуговування населення, підвищення життєвого рівня малозабезпечених громадян, осіб з інвалідністю, одиноких пенсіонерів, осіб, які перебувають у складних життєвих обставинах, ветеранів війни та праці та членів їхніх родин, забезпечення житлом дітей-сиріт та дітей, позбавлених батьківського піклування, реабілітація та соціальний захист Захисників та Захисниць України, їх сімей.</w:t>
      </w:r>
    </w:p>
    <w:p w:rsidR="00674A6B" w:rsidRPr="00674A6B" w:rsidP="00674A6B" w14:paraId="294874A4" w14:textId="77777777">
      <w:pPr>
        <w:shd w:val="clear" w:color="auto" w:fill="FFFFFF"/>
        <w:spacing w:after="0" w:line="240" w:lineRule="auto"/>
        <w:ind w:firstLine="567"/>
        <w:jc w:val="both"/>
        <w:rPr>
          <w:rFonts w:ascii="Times New Roman" w:eastAsia="Times New Roman" w:hAnsi="Times New Roman" w:cs="Times New Roman"/>
          <w:sz w:val="28"/>
          <w:szCs w:val="28"/>
        </w:rPr>
      </w:pPr>
    </w:p>
    <w:p w:rsidR="00674A6B" w:rsidP="00674A6B" w14:paraId="5BAF7F48" w14:textId="77777777">
      <w:pPr>
        <w:spacing w:after="0" w:line="240" w:lineRule="auto"/>
        <w:jc w:val="center"/>
        <w:rPr>
          <w:rFonts w:ascii="Times New Roman" w:eastAsia="Times New Roman" w:hAnsi="Times New Roman" w:cs="Times New Roman"/>
          <w:b/>
          <w:bCs/>
          <w:sz w:val="28"/>
          <w:szCs w:val="28"/>
        </w:rPr>
      </w:pPr>
      <w:r w:rsidRPr="00674A6B">
        <w:rPr>
          <w:rFonts w:ascii="Times New Roman" w:eastAsia="Times New Roman" w:hAnsi="Times New Roman" w:cs="Times New Roman"/>
          <w:b/>
          <w:bCs/>
          <w:sz w:val="28"/>
          <w:szCs w:val="28"/>
        </w:rPr>
        <w:t>Культура</w:t>
      </w:r>
    </w:p>
    <w:p w:rsidR="00674A6B" w:rsidRPr="00674A6B" w:rsidP="00674A6B" w14:paraId="537F83E0" w14:textId="77777777">
      <w:pPr>
        <w:spacing w:after="0" w:line="240" w:lineRule="auto"/>
        <w:jc w:val="center"/>
        <w:rPr>
          <w:rFonts w:ascii="Times New Roman" w:eastAsia="Times New Roman" w:hAnsi="Times New Roman" w:cs="Times New Roman"/>
          <w:b/>
          <w:bCs/>
          <w:sz w:val="28"/>
          <w:szCs w:val="28"/>
        </w:rPr>
      </w:pPr>
    </w:p>
    <w:p w:rsidR="00674A6B" w:rsidRPr="00674A6B" w:rsidP="00674A6B" w14:paraId="76B2E6D6"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xml:space="preserve">На території Броварської міської територіальної громади діють заклади культури комунальної власності: Броварська міська дитяча музична школа, Броварська міська дитяча школа мистецтв, Броварський будинок творчості та аматорського мистецтва, Броварський краєзнавчий музей, Броварський міський клуб, Комунальний заклад «Міський культурний центр», Комунальний заклад клубного типу «Культурно-інноваційна платформа «ТепЛиця», Культурно-просвітницький центр «СвітЛиця», будинок культури с.Требухів, будинок культури с.Княжичі, сільський клуб с.Сотницьке, </w:t>
      </w:r>
      <w:r w:rsidRPr="00674A6B">
        <w:rPr>
          <w:rFonts w:ascii="Times New Roman" w:eastAsia="Times New Roman" w:hAnsi="Times New Roman" w:cs="Times New Roman"/>
          <w:sz w:val="28"/>
          <w:szCs w:val="28"/>
        </w:rPr>
        <w:t>Броварська міська бібліотека, Броварська міська бібліотека для дітей, Броварська міська публічна бібліотека, бібліотека с.Требухів, бібліотека        с. Княжичі.</w:t>
      </w:r>
    </w:p>
    <w:p w:rsidR="00674A6B" w:rsidRPr="00674A6B" w:rsidP="00674A6B" w14:paraId="484E9F58" w14:textId="77777777">
      <w:pPr>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Для подальшого розвитку культури в громаді є потреба у розширенні мережі культурних закладів, капітальні ремонти діючих закладів, будівництво мистецьких шкіл в нових мікрорайонах міста, хореографічних залів, створення нових клубних формувань різних форм власності, активізація діяльності в селах громади.</w:t>
      </w:r>
    </w:p>
    <w:p w:rsidR="00674A6B" w:rsidRPr="00674A6B" w:rsidP="00674A6B" w14:paraId="4B6D1315" w14:textId="77777777">
      <w:pPr>
        <w:spacing w:after="0" w:line="240" w:lineRule="auto"/>
        <w:ind w:firstLine="567"/>
        <w:jc w:val="both"/>
        <w:rPr>
          <w:rFonts w:ascii="Times New Roman" w:eastAsia="Times New Roman" w:hAnsi="Times New Roman" w:cs="Times New Roman"/>
          <w:sz w:val="24"/>
          <w:szCs w:val="24"/>
        </w:rPr>
      </w:pPr>
    </w:p>
    <w:p w:rsidR="00674A6B" w:rsidP="00674A6B" w14:paraId="45035CA1" w14:textId="77777777">
      <w:pPr>
        <w:spacing w:after="0" w:line="240" w:lineRule="auto"/>
        <w:jc w:val="center"/>
        <w:rPr>
          <w:rFonts w:ascii="Times New Roman" w:eastAsia="Times New Roman" w:hAnsi="Times New Roman" w:cs="Times New Roman"/>
          <w:b/>
          <w:bCs/>
          <w:sz w:val="28"/>
          <w:szCs w:val="28"/>
        </w:rPr>
      </w:pPr>
      <w:r w:rsidRPr="00674A6B">
        <w:rPr>
          <w:rFonts w:ascii="Times New Roman" w:eastAsia="Times New Roman" w:hAnsi="Times New Roman" w:cs="Times New Roman"/>
          <w:b/>
          <w:bCs/>
          <w:sz w:val="28"/>
          <w:szCs w:val="28"/>
        </w:rPr>
        <w:t>Фізична культура та спорт</w:t>
      </w:r>
    </w:p>
    <w:p w:rsidR="00674A6B" w:rsidRPr="00674A6B" w:rsidP="00674A6B" w14:paraId="3281D875" w14:textId="77777777">
      <w:pPr>
        <w:spacing w:after="0" w:line="240" w:lineRule="auto"/>
        <w:jc w:val="center"/>
        <w:rPr>
          <w:rFonts w:ascii="Times New Roman" w:eastAsia="Times New Roman" w:hAnsi="Times New Roman" w:cs="Times New Roman"/>
          <w:b/>
          <w:bCs/>
          <w:sz w:val="28"/>
          <w:szCs w:val="28"/>
        </w:rPr>
      </w:pPr>
    </w:p>
    <w:p w:rsidR="00674A6B" w:rsidRPr="00674A6B" w:rsidP="00674A6B" w14:paraId="2D055399"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Броварська міська територіальна громада налічує понад 111 спортивних закладів: 3 ДЮСШ, 17 спортзалів, 1 стадіон, 72 спортмайданчика, 2 басейни, 1 шаховий клуб, 15 інших спортивних об’єктів.</w:t>
      </w:r>
    </w:p>
    <w:p w:rsidR="00674A6B" w:rsidRPr="00674A6B" w:rsidP="00674A6B" w14:paraId="4064D685"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У спортивних закладах працює 92 тренери та відвідує 4683 особи.</w:t>
      </w:r>
    </w:p>
    <w:p w:rsidR="00674A6B" w:rsidRPr="00674A6B" w:rsidP="00674A6B" w14:paraId="77868028"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xml:space="preserve">На базі спортивного комплексу «Світлотехнік» діють секції та гуртки з акробатики, боксу, гандболу, тенісу, таїландського боксу, фехтування, футболу, а також проводить свою роботу дитячо-юнацька спортивна школа з ушу та єдиноборств. </w:t>
      </w:r>
    </w:p>
    <w:p w:rsidR="00674A6B" w:rsidRPr="00674A6B" w:rsidP="00674A6B" w14:paraId="7DEF888C" w14:textId="77777777">
      <w:pPr>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 xml:space="preserve">Працює Міський футбольний клуб «Бровари», в якому тренується 400 вихованців від 4 до 16 років. </w:t>
      </w:r>
    </w:p>
    <w:p w:rsidR="00674A6B" w:rsidRPr="00674A6B" w:rsidP="00674A6B" w14:paraId="69565306" w14:textId="77777777">
      <w:pPr>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 xml:space="preserve">Одним із найбільших центрів оздоровлення жителів м. Бровари є фізкультурно-оздоровчий заклад «Оздоровчо-реабілітаційний центр» та «Плавальний басейн «Купава». У басейні «Купава» тренуються учні ДЮСШ, Київського спортивно-фахового коледжу, ЦОПУ, Іваспорту, збірні команди Київської області та України. Басейн приймає змагання найвищого рівня.  Щоденно «Купаву» відвідує 500-700 чоловік. </w:t>
      </w:r>
    </w:p>
    <w:p w:rsidR="00674A6B" w:rsidRPr="00674A6B" w:rsidP="00674A6B" w14:paraId="2FBC0A3C"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Також на території громади працює Київський обласний спортивний фаховий коледж, де викладаються наступні види спорту: бокс, вільна боротьба, гандбол, легка атлетика, лижні гонки, плавання, веслування академічне, хокей з шайбою.</w:t>
      </w:r>
    </w:p>
    <w:p w:rsidR="00674A6B" w:rsidRPr="00674A6B" w:rsidP="00674A6B" w14:paraId="5BE17FB4" w14:textId="77777777">
      <w:pPr>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У громаді буде продовжено роботу в впровадженні здорового способу життя мешканців громади, активного їх долучення до занять фізкультурою та спортом.</w:t>
      </w:r>
    </w:p>
    <w:p w:rsidR="00674A6B" w:rsidRPr="00674A6B" w:rsidP="00674A6B" w14:paraId="74ED0969" w14:textId="77777777">
      <w:pPr>
        <w:spacing w:after="0" w:line="240" w:lineRule="auto"/>
        <w:ind w:firstLine="567"/>
        <w:jc w:val="both"/>
        <w:rPr>
          <w:rFonts w:ascii="Times New Roman" w:eastAsia="Times New Roman" w:hAnsi="Times New Roman" w:cs="Times New Roman"/>
          <w:sz w:val="28"/>
          <w:szCs w:val="28"/>
        </w:rPr>
      </w:pPr>
    </w:p>
    <w:p w:rsidR="00674A6B" w:rsidP="00674A6B" w14:paraId="448EE600" w14:textId="77777777">
      <w:pPr>
        <w:spacing w:after="0" w:line="240" w:lineRule="auto"/>
        <w:jc w:val="center"/>
        <w:rPr>
          <w:rFonts w:ascii="Times New Roman" w:eastAsia="Times New Roman" w:hAnsi="Times New Roman" w:cs="Times New Roman"/>
          <w:b/>
          <w:bCs/>
          <w:sz w:val="28"/>
          <w:szCs w:val="28"/>
        </w:rPr>
      </w:pPr>
      <w:r w:rsidRPr="00674A6B">
        <w:rPr>
          <w:rFonts w:ascii="Times New Roman" w:eastAsia="Times New Roman" w:hAnsi="Times New Roman" w:cs="Times New Roman"/>
          <w:b/>
          <w:bCs/>
          <w:sz w:val="28"/>
          <w:szCs w:val="28"/>
        </w:rPr>
        <w:t>Промисловість та сільське господарство</w:t>
      </w:r>
    </w:p>
    <w:p w:rsidR="00674A6B" w:rsidRPr="00674A6B" w:rsidP="00674A6B" w14:paraId="3443CCA1" w14:textId="77777777">
      <w:pPr>
        <w:spacing w:after="0" w:line="240" w:lineRule="auto"/>
        <w:jc w:val="center"/>
        <w:rPr>
          <w:rFonts w:ascii="Times New Roman" w:eastAsia="Times New Roman" w:hAnsi="Times New Roman" w:cs="Times New Roman"/>
          <w:b/>
          <w:bCs/>
          <w:sz w:val="28"/>
          <w:szCs w:val="28"/>
        </w:rPr>
      </w:pPr>
    </w:p>
    <w:p w:rsidR="00674A6B" w:rsidRPr="00674A6B" w:rsidP="00674A6B" w14:paraId="391A5435"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shd w:val="clear" w:color="auto" w:fill="FFFFFF"/>
        </w:rPr>
        <w:t xml:space="preserve">Провідною галуззю економіки громади є промисловість. </w:t>
      </w:r>
      <w:r w:rsidRPr="00674A6B">
        <w:rPr>
          <w:rFonts w:ascii="Times New Roman" w:eastAsia="Times New Roman" w:hAnsi="Times New Roman" w:cs="Times New Roman"/>
          <w:sz w:val="28"/>
          <w:szCs w:val="28"/>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w:t>
      </w:r>
      <w:r w:rsidRPr="00674A6B">
        <w:rPr>
          <w:rFonts w:ascii="Times New Roman" w:eastAsia="Times New Roman" w:hAnsi="Times New Roman" w:cs="Times New Roman"/>
          <w:sz w:val="28"/>
          <w:szCs w:val="28"/>
        </w:rPr>
        <w:t>пластмасових виробів, іншої неметалевої мінеральної продукції, металургією та виробництвом готових металевих виробів,  машинобудуванням.</w:t>
      </w:r>
    </w:p>
    <w:p w:rsidR="00674A6B" w:rsidRPr="00674A6B" w:rsidP="00674A6B" w14:paraId="421D56A9"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За оперативними даними найбільшими за обсягами реалізації продукції  в 2024 році стали: ТОВ «Орієнтир-Буделемент» (виробництво виробів із бетону для будівництва), ТОВ «Спецбудмаш» (виробництво комунальної, дорожньої, будівельної та спеціальної техніки), ТОВ «Київгума» (виготовлення гумових виробів медичного призначення та товарів для дітей, виробів сільськогосподарського призначення, формових та неформових гумотехнічних виробів для різних галузей промисловості, виробів з силікону, ПВХ та ТЕП, гумових виробів захисту людей від ураження струмом), ТОВ «Київський Пекарний Дім» (випуск хлібобулочних та кондитерських виробів). </w:t>
      </w:r>
    </w:p>
    <w:p w:rsidR="00674A6B" w:rsidRPr="00674A6B" w:rsidP="00674A6B" w14:paraId="7A927053"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У 2024 році почали свою роботу на території громади такі нові промислові підприємства: ТОВ «Патріот-Пласт», яке займається виготовленням сучасних підвіконь німецької якості різної цінової категорії та ТОВ «Хатжет», яке виготовляє модульні будинки під ключ, застосовуючи енергоефективні технології. Будинки облаштовані усіма зручностями, меблями, та побутовою технікою.</w:t>
      </w:r>
    </w:p>
    <w:p w:rsidR="00674A6B" w:rsidRPr="00674A6B" w:rsidP="00674A6B" w14:paraId="5EEC25AC" w14:textId="77777777">
      <w:pPr>
        <w:spacing w:after="0" w:line="240" w:lineRule="auto"/>
        <w:ind w:right="141"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Проблемним питанням для бізнесу залишається непрогнозованість розвитку ситуації в країні, складність передбачити, як будуть розвиватися події в майбутньому, що викликано умовами війни, у яких перебуває Україна. Також перешкодами для бізнесу залишаються: брак кадрів, зростання цін на сировину, зниження попиту, порушення ланцюгів постачання.</w:t>
      </w:r>
    </w:p>
    <w:p w:rsidR="00674A6B" w:rsidP="00674A6B" w14:paraId="246E2B8D" w14:textId="77777777">
      <w:pPr>
        <w:spacing w:after="0" w:line="240" w:lineRule="auto"/>
        <w:ind w:right="140"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На території Броварської міської територіальної громади в селах Княжичі та Требухів працюють чотири суб’єкти господарювання, пріоритетами розвитку яких є рослинництво. Мешканці громади займаються бджільництвом. В громаді зареєстровано 11 пасік.</w:t>
      </w:r>
    </w:p>
    <w:p w:rsidR="00674A6B" w:rsidRPr="00674A6B" w:rsidP="00674A6B" w14:paraId="008DE49D" w14:textId="77777777">
      <w:pPr>
        <w:spacing w:after="0" w:line="240" w:lineRule="auto"/>
        <w:ind w:right="140" w:firstLine="567"/>
        <w:jc w:val="both"/>
        <w:rPr>
          <w:rFonts w:ascii="Times New Roman" w:eastAsia="Times New Roman" w:hAnsi="Times New Roman" w:cs="Times New Roman"/>
          <w:sz w:val="28"/>
          <w:szCs w:val="28"/>
        </w:rPr>
      </w:pPr>
    </w:p>
    <w:p w:rsidR="00674A6B" w:rsidP="00674A6B" w14:paraId="31898190" w14:textId="0D87D7AE">
      <w:pPr>
        <w:spacing w:after="0" w:line="240" w:lineRule="auto"/>
        <w:jc w:val="center"/>
        <w:rPr>
          <w:rFonts w:ascii="Times New Roman" w:eastAsia="Times New Roman" w:hAnsi="Times New Roman" w:cs="Times New Roman"/>
          <w:b/>
          <w:bCs/>
          <w:sz w:val="28"/>
          <w:szCs w:val="28"/>
        </w:rPr>
      </w:pPr>
      <w:r w:rsidRPr="00674A6B">
        <w:rPr>
          <w:rFonts w:ascii="Times New Roman" w:eastAsia="Times New Roman" w:hAnsi="Times New Roman" w:cs="Times New Roman"/>
          <w:b/>
          <w:bCs/>
          <w:sz w:val="28"/>
          <w:szCs w:val="28"/>
        </w:rPr>
        <w:t xml:space="preserve">Інвестиційна діяльність, зовнішньо-економічна діяльність </w:t>
      </w:r>
      <w:r>
        <w:rPr>
          <w:rFonts w:ascii="Times New Roman" w:eastAsia="Times New Roman" w:hAnsi="Times New Roman" w:cs="Times New Roman"/>
          <w:b/>
          <w:bCs/>
          <w:sz w:val="28"/>
          <w:szCs w:val="28"/>
        </w:rPr>
        <w:t xml:space="preserve">                        </w:t>
      </w:r>
      <w:r w:rsidRPr="00674A6B">
        <w:rPr>
          <w:rFonts w:ascii="Times New Roman" w:eastAsia="Times New Roman" w:hAnsi="Times New Roman" w:cs="Times New Roman"/>
          <w:b/>
          <w:bCs/>
          <w:sz w:val="28"/>
          <w:szCs w:val="28"/>
        </w:rPr>
        <w:t>та міжнародне співробітництво</w:t>
      </w:r>
    </w:p>
    <w:p w:rsidR="00674A6B" w:rsidRPr="00674A6B" w:rsidP="00674A6B" w14:paraId="2F69D83F" w14:textId="77777777">
      <w:pPr>
        <w:spacing w:after="0" w:line="240" w:lineRule="auto"/>
        <w:jc w:val="center"/>
        <w:rPr>
          <w:rFonts w:ascii="Times New Roman" w:eastAsia="Times New Roman" w:hAnsi="Times New Roman" w:cs="Times New Roman"/>
          <w:sz w:val="28"/>
          <w:szCs w:val="28"/>
        </w:rPr>
      </w:pPr>
    </w:p>
    <w:p w:rsidR="00674A6B" w:rsidRPr="00674A6B" w:rsidP="00674A6B" w14:paraId="033C33C7"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У Броварській міській територіальній громаді сприяння залученню інвестицій визнається одним з пріоритетних завдань.</w:t>
      </w:r>
    </w:p>
    <w:p w:rsidR="00674A6B" w:rsidRPr="00674A6B" w:rsidP="00674A6B" w14:paraId="379B1131"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Головними галузями інвестування в економіку громади у довоєнний період були промисловість, будівництво, логістика, торгівля та складське господарство. Протягом 2022-2024 років завершувались проєкти розпочаті в довоєнному періоді. Реалізацію інвестиційних проєктів суб’єкти підприємницької діяльності здійснюють переважно за рахунок власних, кредитних та інших коштів.</w:t>
      </w:r>
    </w:p>
    <w:p w:rsidR="00674A6B" w:rsidRPr="00674A6B" w:rsidP="00674A6B" w14:paraId="52EF4B9C"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xml:space="preserve">У громаді впроваджено низку ініціатив для сприяння інвестиційній діяльності та покращенню бізнес-іміджу громади: оновлено інвестиційний паспорт громади, формується набір інвестиційних проєктів, земельних ділянок </w:t>
      </w:r>
      <w:r w:rsidRPr="00674A6B">
        <w:rPr>
          <w:rFonts w:ascii="Times New Roman" w:eastAsia="Times New Roman" w:hAnsi="Times New Roman" w:cs="Times New Roman"/>
          <w:sz w:val="28"/>
          <w:szCs w:val="28"/>
        </w:rPr>
        <w:t>для пропозиції інвесторам, впроваджуються заходи щодо промоції інвестиційних пропозицій громади. </w:t>
      </w:r>
    </w:p>
    <w:p w:rsidR="00674A6B" w:rsidRPr="00674A6B" w:rsidP="00674A6B" w14:paraId="4134831A"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Здійснюють діяльність понад 80 підприємств із засновниками з країн близького та далекого зарубіжжя. Основними країнами–інвесторами виступають Кіпр, Німеччина, США, Туреччина, Австрія, Польща, Бельгія, Беліз та Латвія. </w:t>
      </w:r>
    </w:p>
    <w:p w:rsidR="00674A6B" w:rsidRPr="00674A6B" w:rsidP="00674A6B" w14:paraId="169657B6" w14:textId="77777777">
      <w:pPr>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 xml:space="preserve">Громада має потужний промисловий сектор, з якого до 40% - експортоорієнтовані підприємства, які відправляють свою продукцію до більше ніж 30 країн Європейського Союзу, Північної Америки, Азії та Африки. </w:t>
      </w:r>
    </w:p>
    <w:p w:rsidR="00674A6B" w:rsidRPr="00674A6B" w:rsidP="00674A6B" w14:paraId="20AF9DBD"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Активно розширюється співпраця із міжнародною донорською спільнотою. </w:t>
      </w:r>
    </w:p>
    <w:p w:rsidR="00674A6B" w:rsidRPr="00674A6B" w:rsidP="00674A6B" w14:paraId="0C430D1E"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Броварська міська територіальна громада стала асоційованим партнером Європейського альянсу міст і регіонів, створеним Європейським союзом для відбудови України задля зміцнення місцевої демократії та підтримки цінностей, які є спільними з ЄС.</w:t>
      </w:r>
    </w:p>
    <w:p w:rsidR="00674A6B" w:rsidRPr="00674A6B" w:rsidP="00674A6B" w14:paraId="035AE6E2"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Також громада приєдналась до Міланського Пакту про  продовольчу політику у містах (MUFPP), який є міжнародною угодою мерів щодо розвитку стійких безпечних інклюзивних продовольчих систем. </w:t>
      </w:r>
    </w:p>
    <w:p w:rsidR="00674A6B" w:rsidRPr="00674A6B" w:rsidP="00674A6B" w14:paraId="51581B4E" w14:textId="77777777">
      <w:pPr>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 xml:space="preserve">Співробітництво здебільшого включає як соціально-гуманітарні питання, так і питання в сфері економіки, розвитку підприємництва, водовідведення та водопостачання, поводження з відходами, роботи комунальної  сфери тощо. </w:t>
      </w:r>
    </w:p>
    <w:p w:rsidR="00674A6B" w:rsidP="00674A6B" w14:paraId="3C1C69CF" w14:textId="77777777">
      <w:pPr>
        <w:spacing w:after="0" w:line="240" w:lineRule="auto"/>
        <w:jc w:val="center"/>
        <w:rPr>
          <w:rFonts w:ascii="Times New Roman" w:eastAsia="Times New Roman" w:hAnsi="Times New Roman" w:cs="Times New Roman"/>
          <w:b/>
          <w:bCs/>
          <w:sz w:val="28"/>
          <w:szCs w:val="28"/>
        </w:rPr>
      </w:pPr>
      <w:r w:rsidRPr="00674A6B">
        <w:rPr>
          <w:rFonts w:ascii="Times New Roman" w:eastAsia="Times New Roman" w:hAnsi="Times New Roman" w:cs="Times New Roman"/>
          <w:sz w:val="24"/>
          <w:szCs w:val="24"/>
        </w:rPr>
        <w:br/>
      </w:r>
      <w:r w:rsidRPr="00674A6B">
        <w:rPr>
          <w:rFonts w:ascii="Times New Roman" w:eastAsia="Times New Roman" w:hAnsi="Times New Roman" w:cs="Times New Roman"/>
          <w:b/>
          <w:bCs/>
          <w:sz w:val="28"/>
          <w:szCs w:val="28"/>
        </w:rPr>
        <w:t>Підприємництво, споживчий ринок та туризм</w:t>
      </w:r>
    </w:p>
    <w:p w:rsidR="00674A6B" w:rsidRPr="00674A6B" w:rsidP="00674A6B" w14:paraId="3D528EF7" w14:textId="77777777">
      <w:pPr>
        <w:spacing w:after="0" w:line="240" w:lineRule="auto"/>
        <w:jc w:val="center"/>
        <w:rPr>
          <w:rFonts w:ascii="Times New Roman" w:eastAsia="Times New Roman" w:hAnsi="Times New Roman" w:cs="Times New Roman"/>
          <w:b/>
          <w:bCs/>
          <w:sz w:val="28"/>
          <w:szCs w:val="28"/>
        </w:rPr>
      </w:pPr>
    </w:p>
    <w:p w:rsidR="00674A6B" w:rsidRPr="00674A6B" w:rsidP="00674A6B" w14:paraId="29140850"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Пристоличне розташування громади надає низку переваг для місцевого економічного розвитку. У рейтингу найкращих міст для ведення бізнесу Forbes за 2021 рік Бровари зайняли 10 місце серед громад України з населенням більше 90 тисяч мешканців.</w:t>
      </w:r>
    </w:p>
    <w:p w:rsidR="00674A6B" w:rsidRPr="00674A6B" w:rsidP="00674A6B" w14:paraId="008F9DF0" w14:textId="77777777">
      <w:pPr>
        <w:spacing w:after="0" w:line="240" w:lineRule="auto"/>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З метою підтримки бізнесу та мешканців громади працює Центр надання адміністративних послуг (далі ЦНАП), який створений у 2013 році. </w:t>
      </w:r>
    </w:p>
    <w:p w:rsidR="00674A6B" w:rsidRPr="00674A6B" w:rsidP="00674A6B" w14:paraId="20AAAE7F" w14:textId="77777777">
      <w:pPr>
        <w:spacing w:after="0" w:line="240" w:lineRule="auto"/>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       Сектор туризму у довоєнний час розглядався як один із перспективних. Наразі прогнозувати жвавість цього сектору є проблематичним. Втім громада має туристичний потенціал. Це крафтове виробництво «Медовий спас»,  голландська пекарня «21.3»,  культурно-інноваційна платформа «ТепЛиця» та  культурно-просвітницький центр «СвітЛиця», парк ім. Т.Г. Шевченка, міський краєзнавчий музей, Майдан Свободи, Парк культури та відпочинку «Перемога», пам’ятний знак «Захисникам України», пам’ятний знак жертвам голодомору та політичних репресій, пам’ятник «Героям Чорнобиля», приватний музей «Історія зброї та етнографії», торговельно-розважальний центр «Термінал», низка закладів ресторанного, готельного господарства, торгівлі, ресторанно-готельних комплексів, бізнес-центрів, фітнес центрів тощо.</w:t>
      </w:r>
    </w:p>
    <w:p w:rsidR="00674A6B" w:rsidP="00674A6B" w14:paraId="4EF4FB5B" w14:textId="77777777">
      <w:pPr>
        <w:spacing w:after="0" w:line="240" w:lineRule="auto"/>
        <w:jc w:val="both"/>
        <w:rPr>
          <w:rFonts w:ascii="Times New Roman" w:eastAsia="Times New Roman" w:hAnsi="Times New Roman" w:cs="Times New Roman"/>
          <w:sz w:val="16"/>
          <w:szCs w:val="16"/>
        </w:rPr>
      </w:pPr>
    </w:p>
    <w:p w:rsidR="00674A6B" w:rsidRPr="00674A6B" w:rsidP="00674A6B" w14:paraId="2E397CC3" w14:textId="77777777">
      <w:pPr>
        <w:spacing w:after="0" w:line="240" w:lineRule="auto"/>
        <w:jc w:val="both"/>
        <w:rPr>
          <w:rFonts w:ascii="Times New Roman" w:eastAsia="Times New Roman" w:hAnsi="Times New Roman" w:cs="Times New Roman"/>
          <w:sz w:val="16"/>
          <w:szCs w:val="16"/>
        </w:rPr>
      </w:pPr>
    </w:p>
    <w:p w:rsidR="00674A6B" w:rsidP="00674A6B" w14:paraId="275BA066" w14:textId="77777777">
      <w:pPr>
        <w:spacing w:after="0" w:line="240" w:lineRule="auto"/>
        <w:jc w:val="center"/>
        <w:rPr>
          <w:rFonts w:ascii="Times New Roman" w:eastAsia="Times New Roman" w:hAnsi="Times New Roman" w:cs="Times New Roman"/>
          <w:b/>
          <w:bCs/>
          <w:sz w:val="28"/>
          <w:szCs w:val="28"/>
        </w:rPr>
      </w:pPr>
      <w:r w:rsidRPr="00674A6B">
        <w:rPr>
          <w:rFonts w:ascii="Times New Roman" w:eastAsia="Times New Roman" w:hAnsi="Times New Roman" w:cs="Times New Roman"/>
          <w:b/>
          <w:bCs/>
          <w:sz w:val="28"/>
          <w:szCs w:val="28"/>
        </w:rPr>
        <w:t>Безпека життєдіяльності та цивільний захист</w:t>
      </w:r>
    </w:p>
    <w:p w:rsidR="00674A6B" w:rsidRPr="00674A6B" w:rsidP="00674A6B" w14:paraId="3CD19E2E" w14:textId="77777777">
      <w:pPr>
        <w:spacing w:after="0" w:line="240" w:lineRule="auto"/>
        <w:jc w:val="center"/>
        <w:rPr>
          <w:rFonts w:ascii="Times New Roman" w:eastAsia="Times New Roman" w:hAnsi="Times New Roman" w:cs="Times New Roman"/>
          <w:b/>
          <w:bCs/>
          <w:sz w:val="28"/>
          <w:szCs w:val="28"/>
        </w:rPr>
      </w:pPr>
    </w:p>
    <w:p w:rsidR="00674A6B" w:rsidRPr="00674A6B" w:rsidP="00674A6B" w14:paraId="01252C1F" w14:textId="77777777">
      <w:pPr>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 xml:space="preserve">В умовах війни вжиття заходів щодо цивільного захисту, безпеки та оборони має домінуюче значення. </w:t>
      </w:r>
    </w:p>
    <w:p w:rsidR="00674A6B" w:rsidRPr="00674A6B" w:rsidP="00674A6B" w14:paraId="0A1A442F"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 У Броварській міській територіальній громаді створено місцеву систему центрального оповіщення, діє система відеоспостереження  на дорогах, як засіб профілактики та протидії злочинності, запобігання дорожньо-транспортних аварій, створено місцевий матеріальний резерв для запобігання, ліквідації надзвичайних ситуацій техногенного і природного характеру та їх наслідків,  надається допомога військовим.</w:t>
      </w:r>
    </w:p>
    <w:p w:rsidR="00674A6B" w:rsidRPr="00674A6B" w:rsidP="00674A6B" w14:paraId="2CB664EA"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У селах Требухів та Княжичі працюють поліцейські станції, які мають необхідне обладнання та транспорт. Правопорядок у м. Бровари забезпечується Броварським районним управлінням поліції ГУ Національної поліції України в Київській області.</w:t>
      </w:r>
    </w:p>
    <w:p w:rsidR="00674A6B" w:rsidRPr="00674A6B" w:rsidP="00674A6B" w14:paraId="6C4A3FEE" w14:textId="77777777">
      <w:pPr>
        <w:spacing w:after="0" w:line="240" w:lineRule="auto"/>
        <w:ind w:firstLine="567"/>
        <w:jc w:val="both"/>
        <w:rPr>
          <w:rFonts w:ascii="Times New Roman" w:eastAsia="Times New Roman" w:hAnsi="Times New Roman" w:cs="Times New Roman"/>
          <w:sz w:val="24"/>
          <w:szCs w:val="24"/>
        </w:rPr>
      </w:pPr>
      <w:r w:rsidRPr="00674A6B">
        <w:rPr>
          <w:rFonts w:ascii="Times New Roman" w:eastAsia="Times New Roman" w:hAnsi="Times New Roman" w:cs="Times New Roman"/>
          <w:sz w:val="28"/>
          <w:szCs w:val="28"/>
        </w:rPr>
        <w:t>З метою сприяння обороні України шляхом максимально широкого залучення громадян до дій, спрямованих на забезпечення воєнної безпеки, суверенітету і територіальної цілісності держави створено Комунальний заклад Броварської міської ради Броварського району Київської області «Броварський міський центр підготовки населення до національного спротиву».</w:t>
      </w:r>
    </w:p>
    <w:p w:rsidR="00674A6B" w:rsidRPr="00674A6B" w:rsidP="00674A6B" w14:paraId="77838AA0" w14:textId="77777777">
      <w:pPr>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укриттів в закладах освіти, приміщеннях комунальної власності, житлово-експлуатаційних контор, тощо.  </w:t>
      </w:r>
    </w:p>
    <w:p w:rsidR="00674A6B" w:rsidRPr="00674A6B" w:rsidP="00674A6B" w14:paraId="0C6A19A2" w14:textId="77777777">
      <w:pPr>
        <w:spacing w:after="0" w:line="240" w:lineRule="auto"/>
        <w:ind w:firstLine="567"/>
        <w:jc w:val="both"/>
        <w:rPr>
          <w:rFonts w:ascii="Times New Roman" w:eastAsia="Times New Roman" w:hAnsi="Times New Roman" w:cs="Times New Roman"/>
          <w:sz w:val="28"/>
          <w:szCs w:val="28"/>
        </w:rPr>
      </w:pPr>
    </w:p>
    <w:p w:rsidR="00674A6B" w:rsidP="00674A6B" w14:paraId="5D6618EB" w14:textId="77777777">
      <w:pPr>
        <w:spacing w:after="0" w:line="240" w:lineRule="auto"/>
        <w:ind w:firstLine="567"/>
        <w:jc w:val="center"/>
        <w:rPr>
          <w:rFonts w:ascii="Times New Roman" w:eastAsia="Times New Roman" w:hAnsi="Times New Roman" w:cs="Times New Roman"/>
          <w:b/>
          <w:sz w:val="28"/>
          <w:szCs w:val="28"/>
        </w:rPr>
      </w:pPr>
      <w:r w:rsidRPr="00674A6B">
        <w:rPr>
          <w:rFonts w:ascii="Times New Roman" w:eastAsia="Times New Roman" w:hAnsi="Times New Roman" w:cs="Times New Roman"/>
          <w:b/>
          <w:sz w:val="28"/>
          <w:szCs w:val="28"/>
        </w:rPr>
        <w:t>Цілі та пріоритети соціально-економічного розвитку на середньостроковий період та очікувані результати їх досягнення</w:t>
      </w:r>
    </w:p>
    <w:p w:rsidR="00674A6B" w:rsidRPr="00674A6B" w:rsidP="00674A6B" w14:paraId="15B94496" w14:textId="77777777">
      <w:pPr>
        <w:spacing w:after="0" w:line="240" w:lineRule="auto"/>
        <w:ind w:firstLine="567"/>
        <w:jc w:val="center"/>
        <w:rPr>
          <w:rFonts w:ascii="Times New Roman" w:eastAsia="Times New Roman" w:hAnsi="Times New Roman" w:cs="Times New Roman"/>
          <w:b/>
          <w:sz w:val="28"/>
          <w:szCs w:val="28"/>
        </w:rPr>
      </w:pPr>
    </w:p>
    <w:p w:rsidR="00674A6B" w:rsidRPr="00674A6B" w:rsidP="00674A6B" w14:paraId="30D6CAA3" w14:textId="77777777">
      <w:pPr>
        <w:spacing w:after="0" w:line="240" w:lineRule="auto"/>
        <w:jc w:val="both"/>
        <w:rPr>
          <w:rFonts w:ascii="Times New Roman" w:eastAsia="Calibri" w:hAnsi="Times New Roman" w:cs="Times New Roman"/>
          <w:sz w:val="28"/>
          <w:szCs w:val="28"/>
          <w:lang w:eastAsia="en-US"/>
        </w:rPr>
      </w:pPr>
      <w:r w:rsidRPr="00674A6B">
        <w:rPr>
          <w:rFonts w:ascii="Times New Roman" w:eastAsia="Times New Roman" w:hAnsi="Times New Roman" w:cs="Times New Roman"/>
          <w:sz w:val="28"/>
          <w:szCs w:val="28"/>
        </w:rPr>
        <w:t>       </w:t>
      </w:r>
      <w:r w:rsidRPr="00674A6B">
        <w:rPr>
          <w:rFonts w:ascii="Times New Roman" w:eastAsia="Calibri" w:hAnsi="Times New Roman" w:cs="Times New Roman"/>
          <w:sz w:val="28"/>
          <w:szCs w:val="28"/>
          <w:lang w:eastAsia="en-US"/>
        </w:rPr>
        <w:t>Соціально – економічний розвиток громади в 2026 – 2028 роках, перш за все, має відповідати Стратегії розвитку Броварської міської територіальної громади до 2027 року, при розробці якої</w:t>
      </w:r>
      <w:r w:rsidRPr="00674A6B">
        <w:rPr>
          <w:rFonts w:ascii="Times New Roman" w:eastAsia="Calibri" w:hAnsi="Times New Roman" w:cs="Times New Roman"/>
          <w:b/>
          <w:sz w:val="28"/>
          <w:szCs w:val="28"/>
          <w:lang w:eastAsia="en-US"/>
        </w:rPr>
        <w:t xml:space="preserve">  </w:t>
      </w:r>
      <w:r w:rsidRPr="00674A6B">
        <w:rPr>
          <w:rFonts w:ascii="Times New Roman" w:eastAsia="Calibri" w:hAnsi="Times New Roman" w:cs="Times New Roman"/>
          <w:sz w:val="28"/>
          <w:szCs w:val="28"/>
          <w:lang w:eastAsia="en-US"/>
        </w:rPr>
        <w:t>було проведено детальний аналіз всіх напрямків та сфер діяльності громади, визначено стратегічні пріоритети розвитку, напрацювано алгоритм дій на майбутнє та розроблено План заходів з її реалізації.</w:t>
      </w:r>
    </w:p>
    <w:p w:rsidR="00674A6B" w:rsidRPr="00674A6B" w:rsidP="00674A6B" w14:paraId="3B288BD5"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Стратегія є документом стратегічного планування місцевого рівня, що визначає стратегічні, оперативні цілі та завдання для сталого розвитку територіальної громади відповідно до Державної стратегії регіонального розвитку та оновленої Стратегії розвитку Київської області, та враховує спільні інтереси та бачення розвитку громади в умовах воєнної агресії росії та повоєнного відновлення,  зорієнтована на забезпечення економічного розвитку громади і покращення рівня життя її мешканців.</w:t>
      </w:r>
    </w:p>
    <w:p w:rsidR="00674A6B" w:rsidRPr="00674A6B" w:rsidP="00674A6B" w14:paraId="1D894233" w14:textId="77777777">
      <w:pPr>
        <w:spacing w:after="0" w:line="240" w:lineRule="auto"/>
        <w:ind w:firstLine="567"/>
        <w:jc w:val="both"/>
        <w:rPr>
          <w:rFonts w:ascii="Times New Roman" w:eastAsia="Times New Roman" w:hAnsi="Times New Roman" w:cs="Times New Roman"/>
          <w:sz w:val="28"/>
          <w:szCs w:val="28"/>
        </w:rPr>
      </w:pPr>
      <w:r w:rsidRPr="00674A6B">
        <w:rPr>
          <w:rFonts w:ascii="Times New Roman" w:eastAsia="Times New Roman" w:hAnsi="Times New Roman" w:cs="Times New Roman"/>
          <w:sz w:val="28"/>
          <w:szCs w:val="28"/>
        </w:rPr>
        <w:t>За результатами стратегічного бачення громади сформовано стратегічні та оперативні цілі, які у середньостроковій перспективі сприятимуть підвищенню якості життя населення в умовах обраного сценарію розвитку. </w:t>
      </w:r>
    </w:p>
    <w:p w:rsidR="00674A6B" w:rsidRPr="00674A6B" w:rsidP="00674A6B" w14:paraId="009ADEB2" w14:textId="77777777">
      <w:pPr>
        <w:spacing w:after="0" w:line="240" w:lineRule="auto"/>
        <w:ind w:firstLine="567"/>
        <w:jc w:val="both"/>
        <w:rPr>
          <w:rFonts w:ascii="Times New Roman" w:eastAsia="Times New Roman" w:hAnsi="Times New Roman" w:cs="Times New Roman"/>
          <w:sz w:val="16"/>
          <w:szCs w:val="16"/>
        </w:rPr>
      </w:pPr>
    </w:p>
    <w:p w:rsidR="00674A6B" w:rsidRPr="00674A6B" w:rsidP="00674A6B" w14:paraId="3A5349CC" w14:textId="77777777">
      <w:pPr>
        <w:spacing w:after="0" w:line="240" w:lineRule="auto"/>
        <w:jc w:val="center"/>
        <w:rPr>
          <w:rFonts w:ascii="Times New Roman" w:eastAsia="Times New Roman" w:hAnsi="Times New Roman" w:cs="Times New Roman"/>
          <w:b/>
          <w:bCs/>
          <w:sz w:val="28"/>
          <w:szCs w:val="28"/>
        </w:rPr>
      </w:pPr>
      <w:r w:rsidRPr="00674A6B">
        <w:rPr>
          <w:rFonts w:ascii="Times New Roman" w:eastAsia="Times New Roman" w:hAnsi="Times New Roman" w:cs="Times New Roman"/>
          <w:b/>
          <w:bCs/>
          <w:sz w:val="28"/>
          <w:szCs w:val="28"/>
        </w:rPr>
        <w:t xml:space="preserve">Стратегічні, оперативні цілі та пріоритети соціально-економічного розвитку Броварської міської територіальної громади </w:t>
      </w:r>
    </w:p>
    <w:tbl>
      <w:tblPr>
        <w:tblW w:w="9645" w:type="dxa"/>
        <w:tblInd w:w="-34" w:type="dxa"/>
        <w:tblLayout w:type="fixed"/>
        <w:tblLook w:val="04A0"/>
      </w:tblPr>
      <w:tblGrid>
        <w:gridCol w:w="1136"/>
        <w:gridCol w:w="2552"/>
        <w:gridCol w:w="5957"/>
      </w:tblGrid>
      <w:tr w14:paraId="2B8FED8C" w14:textId="77777777" w:rsidTr="00674A6B">
        <w:tblPrEx>
          <w:tblW w:w="9645" w:type="dxa"/>
          <w:tblInd w:w="-34" w:type="dxa"/>
          <w:tblLayout w:type="fixed"/>
          <w:tblLook w:val="04A0"/>
        </w:tblPrEx>
        <w:trPr>
          <w:trHeight w:val="1084"/>
        </w:trPr>
        <w:tc>
          <w:tcPr>
            <w:tcW w:w="1135" w:type="dxa"/>
            <w:tcBorders>
              <w:top w:val="single" w:sz="4" w:space="0" w:color="auto"/>
              <w:left w:val="single" w:sz="4" w:space="0" w:color="auto"/>
              <w:bottom w:val="single" w:sz="4" w:space="0" w:color="auto"/>
              <w:right w:val="single" w:sz="4" w:space="0" w:color="auto"/>
            </w:tcBorders>
            <w:textDirection w:val="btLr"/>
            <w:vAlign w:val="center"/>
            <w:hideMark/>
          </w:tcPr>
          <w:p w:rsidR="00674A6B" w:rsidRPr="00674A6B" w:rsidP="00674A6B" w14:paraId="2842DB39" w14:textId="77777777">
            <w:pPr>
              <w:rPr>
                <w:rFonts w:ascii="Times New Roman" w:eastAsia="Calibri" w:hAnsi="Times New Roman" w:cs="Times New Roman"/>
                <w:lang w:val="ru-RU" w:eastAsia="en-US"/>
              </w:rPr>
            </w:pPr>
            <w:r w:rsidRPr="00674A6B">
              <w:rPr>
                <w:rFonts w:ascii="Times New Roman" w:eastAsia="Calibri" w:hAnsi="Times New Roman" w:cs="Times New Roman"/>
                <w:sz w:val="20"/>
                <w:szCs w:val="20"/>
                <w:lang w:val="ru-RU" w:eastAsia="en-US"/>
              </w:rPr>
              <w:t>Стратегічні</w:t>
            </w:r>
            <w:r w:rsidRPr="00674A6B">
              <w:rPr>
                <w:rFonts w:ascii="Times New Roman" w:eastAsia="Calibri" w:hAnsi="Times New Roman" w:cs="Times New Roman"/>
                <w:lang w:val="ru-RU" w:eastAsia="en-US"/>
              </w:rPr>
              <w:t xml:space="preserve"> </w:t>
            </w:r>
            <w:r w:rsidRPr="00674A6B">
              <w:rPr>
                <w:rFonts w:ascii="Times New Roman" w:eastAsia="Calibri" w:hAnsi="Times New Roman" w:cs="Times New Roman"/>
                <w:sz w:val="20"/>
                <w:szCs w:val="20"/>
                <w:lang w:val="ru-RU" w:eastAsia="en-US"/>
              </w:rPr>
              <w:t>цілі</w:t>
            </w:r>
          </w:p>
        </w:tc>
        <w:tc>
          <w:tcPr>
            <w:tcW w:w="2551" w:type="dxa"/>
            <w:tcBorders>
              <w:top w:val="single" w:sz="4" w:space="0" w:color="auto"/>
              <w:left w:val="nil"/>
              <w:bottom w:val="single" w:sz="4" w:space="0" w:color="auto"/>
              <w:right w:val="single" w:sz="4" w:space="0" w:color="auto"/>
            </w:tcBorders>
            <w:vAlign w:val="center"/>
            <w:hideMark/>
          </w:tcPr>
          <w:p w:rsidR="00674A6B" w:rsidRPr="00674A6B" w:rsidP="00674A6B" w14:paraId="27E0D175"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Оперативні цілі</w:t>
            </w:r>
          </w:p>
        </w:tc>
        <w:tc>
          <w:tcPr>
            <w:tcW w:w="5954" w:type="dxa"/>
            <w:tcBorders>
              <w:top w:val="single" w:sz="4" w:space="0" w:color="auto"/>
              <w:left w:val="nil"/>
              <w:bottom w:val="single" w:sz="4" w:space="0" w:color="auto"/>
              <w:right w:val="single" w:sz="4" w:space="0" w:color="auto"/>
            </w:tcBorders>
            <w:vAlign w:val="center"/>
            <w:hideMark/>
          </w:tcPr>
          <w:p w:rsidR="00674A6B" w:rsidRPr="00674A6B" w:rsidP="00674A6B" w14:paraId="76D02E5F"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Пріоритети</w:t>
            </w:r>
          </w:p>
        </w:tc>
      </w:tr>
      <w:tr w14:paraId="2C870AA4" w14:textId="77777777" w:rsidTr="00674A6B">
        <w:tblPrEx>
          <w:tblW w:w="9645" w:type="dxa"/>
          <w:tblInd w:w="-34" w:type="dxa"/>
          <w:tblLayout w:type="fixed"/>
          <w:tblLook w:val="04A0"/>
        </w:tblPrEx>
        <w:trPr>
          <w:trHeight w:val="945"/>
        </w:trPr>
        <w:tc>
          <w:tcPr>
            <w:tcW w:w="1135" w:type="dxa"/>
            <w:vMerge w:val="restart"/>
            <w:tcBorders>
              <w:top w:val="nil"/>
              <w:left w:val="single" w:sz="4" w:space="0" w:color="auto"/>
              <w:bottom w:val="single" w:sz="4" w:space="0" w:color="000000"/>
              <w:right w:val="single" w:sz="4" w:space="0" w:color="auto"/>
            </w:tcBorders>
            <w:textDirection w:val="btLr"/>
            <w:vAlign w:val="center"/>
            <w:hideMark/>
          </w:tcPr>
          <w:p w:rsidR="00674A6B" w:rsidRPr="00674A6B" w:rsidP="00674A6B" w14:paraId="4B98D113"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 Відновлення та розвиток людського потенціалу</w:t>
            </w: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4099AF1A"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1.1. Розбудова освіченого, інклюзивного та інноваційного суспільства, в якому кожен громадянин має рівні можливості для навчання та розвитку</w:t>
            </w:r>
          </w:p>
        </w:tc>
        <w:tc>
          <w:tcPr>
            <w:tcW w:w="5954" w:type="dxa"/>
            <w:tcBorders>
              <w:top w:val="nil"/>
              <w:left w:val="nil"/>
              <w:bottom w:val="single" w:sz="4" w:space="0" w:color="auto"/>
              <w:right w:val="single" w:sz="4" w:space="0" w:color="auto"/>
            </w:tcBorders>
            <w:vAlign w:val="center"/>
            <w:hideMark/>
          </w:tcPr>
          <w:p w:rsidR="00674A6B" w:rsidRPr="00674A6B" w:rsidP="00674A6B" w14:paraId="62DF532F"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1.1.1. Забезпечення функціонування оптимальної мережі різних типів надавачів освітніх послуг для дітей раннього і дошкільного віку у безпечних умовах.</w:t>
            </w:r>
          </w:p>
        </w:tc>
      </w:tr>
      <w:tr w14:paraId="41F1E177" w14:textId="77777777" w:rsidTr="00674A6B">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53B003E1"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2291A176"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47EBF3B9"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1.1.2. Сприяння створенню оптимальної мережі закладів загальної середньої освіти, яка забезпечить здобуття її третього рівня.</w:t>
            </w:r>
          </w:p>
        </w:tc>
      </w:tr>
      <w:tr w14:paraId="3D357007"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7763633A"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3AE28F79"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20A6E1E9"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1.1.3. Підвищення матеріально-технічного забезпечення навчальних закладів, якості надання освітніх послуг.</w:t>
            </w:r>
          </w:p>
        </w:tc>
      </w:tr>
      <w:tr w14:paraId="2537E3F5"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461781DA"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0EDD62B6"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5E20A3C7"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 xml:space="preserve">1.1.4. Підтримка процесів цифровізації освіти, застосування сучасних інформаційних технологій в освітньому процесі. </w:t>
            </w:r>
          </w:p>
        </w:tc>
      </w:tr>
      <w:tr w14:paraId="6D80AC83"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6C30FF99"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2ECA895E"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2B04AD7F"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1.1.5. Сприяння розвитку кадрового потенціалу у сфері освіти.</w:t>
            </w:r>
          </w:p>
        </w:tc>
      </w:tr>
      <w:tr w14:paraId="0CEE7659"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7C671373"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19621858"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634C9B4B"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1.1.6. Сприяння розвитку сучасної позашкільної освіти відповідно до інтересів та запитів дітей.</w:t>
            </w:r>
          </w:p>
        </w:tc>
      </w:tr>
      <w:tr w14:paraId="161F0FBC" w14:textId="77777777" w:rsidTr="00674A6B">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333EEF9A"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107AB46D"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4E686608"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1.1.7. Забезпечення доступності освітніх послуг для дітей з особливими освітніми потребами, сприяння створенню інклюзивного освітнього середовища в закладах освіти.</w:t>
            </w:r>
          </w:p>
        </w:tc>
      </w:tr>
      <w:tr w14:paraId="04805265" w14:textId="77777777" w:rsidTr="00674A6B">
        <w:tblPrEx>
          <w:tblW w:w="9645" w:type="dxa"/>
          <w:tblInd w:w="-34" w:type="dxa"/>
          <w:tblLayout w:type="fixed"/>
          <w:tblLook w:val="04A0"/>
        </w:tblPrEx>
        <w:trPr>
          <w:trHeight w:val="414"/>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40AB5612"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0811C1EA"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2C48EB87"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1.1.8. Сприяння розвитку професійної (професійно-технічної) освіти у відповідності до потреб  ринку праці, сприяння здобуттю професійної підготовки за дуальною формою навчання.</w:t>
            </w:r>
          </w:p>
        </w:tc>
      </w:tr>
      <w:tr w14:paraId="063ACA45"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49E59095"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06E87E32"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203E0461"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 xml:space="preserve">1.1.9. Поширення ефективних профорієнтаційних заходів у закладах загальної середньої освіти. </w:t>
            </w:r>
          </w:p>
        </w:tc>
      </w:tr>
      <w:tr w14:paraId="41F715EE"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186E620E"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5DB47446"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6EDD7C51"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1.1.10. Створення рівних можливостей для особистого та професійного розвитку особи впродовж життя.</w:t>
            </w:r>
          </w:p>
        </w:tc>
      </w:tr>
      <w:tr w14:paraId="6A6B6892"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3F111185"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0CD9EECA"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1FAA7C33"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1.1.11. Сприяння розвитку національно-патріотичного виховання населення.</w:t>
            </w:r>
          </w:p>
        </w:tc>
      </w:tr>
      <w:tr w14:paraId="6430AC05"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3597A426"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158109FE"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1.2. Формування доступної та спроможної мережі для надання якісних медичних послуг з урахуванням потреб різних верств населення</w:t>
            </w:r>
          </w:p>
        </w:tc>
        <w:tc>
          <w:tcPr>
            <w:tcW w:w="5954" w:type="dxa"/>
            <w:tcBorders>
              <w:top w:val="nil"/>
              <w:left w:val="nil"/>
              <w:bottom w:val="single" w:sz="4" w:space="0" w:color="auto"/>
              <w:right w:val="single" w:sz="4" w:space="0" w:color="auto"/>
            </w:tcBorders>
            <w:vAlign w:val="center"/>
            <w:hideMark/>
          </w:tcPr>
          <w:p w:rsidR="00674A6B" w:rsidRPr="00674A6B" w:rsidP="00674A6B" w14:paraId="126913FE"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1.2.1. Забезпечення функціонування спроможної системи громадського здоров’я у громаді.</w:t>
            </w:r>
          </w:p>
        </w:tc>
      </w:tr>
      <w:tr w14:paraId="297142B9"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3A443739"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660765C3"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44D7E4CC"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1.2.2. Розвиток мережі медичних закладів на території громади.</w:t>
            </w:r>
          </w:p>
        </w:tc>
      </w:tr>
      <w:tr w14:paraId="3BA369BD"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79197A29"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6170779F"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32A9EADA"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1.2.3. Розвиток реабілітаційної та паліативної допомоги.</w:t>
            </w:r>
          </w:p>
        </w:tc>
      </w:tr>
      <w:tr w14:paraId="3A213AC5"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071C4883"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63167CB0"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70BA677E"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1.2.4. Впровадження систем інформатизації у галузі охорони здоров′я</w:t>
            </w:r>
          </w:p>
        </w:tc>
      </w:tr>
      <w:tr w14:paraId="3D104E22"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27D863EC"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337E0BBC"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0594EB37"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1.2.5. Створення умов для профілактики інфекційних та неінфекційних хвороб, забезпечення імунізації населення.</w:t>
            </w:r>
          </w:p>
        </w:tc>
      </w:tr>
      <w:tr w14:paraId="7EAAFCC6"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35924E30"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48CE4720"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2C8B7F9A"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1.2.6. Підвищення кадрового потенціалу закладів охорони здоров’я.</w:t>
            </w:r>
          </w:p>
        </w:tc>
      </w:tr>
      <w:tr w14:paraId="37E3B7AB"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00B0433A"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050FAEF6"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45B7D142"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1.2.7. Забезпечення доступу населення до лікарських засобів та медичних виробів.</w:t>
            </w:r>
          </w:p>
        </w:tc>
      </w:tr>
      <w:tr w14:paraId="67F34A35"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3609DF75"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33CE5828"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1.3. Створення належних умов для розвитку системи закладів фізичної культури і спорту, у тому числі для осіб з інвалідністю</w:t>
            </w:r>
          </w:p>
        </w:tc>
        <w:tc>
          <w:tcPr>
            <w:tcW w:w="5954" w:type="dxa"/>
            <w:tcBorders>
              <w:top w:val="nil"/>
              <w:left w:val="nil"/>
              <w:bottom w:val="single" w:sz="4" w:space="0" w:color="auto"/>
              <w:right w:val="single" w:sz="4" w:space="0" w:color="auto"/>
            </w:tcBorders>
            <w:vAlign w:val="center"/>
            <w:hideMark/>
          </w:tcPr>
          <w:p w:rsidR="00674A6B" w:rsidRPr="00674A6B" w:rsidP="00674A6B" w14:paraId="0E18C968"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1.3.1. Забезпечення розвитку фізичної культури та спорту на рівні територіальних громад.</w:t>
            </w:r>
          </w:p>
        </w:tc>
      </w:tr>
      <w:tr w14:paraId="15C9329A" w14:textId="77777777" w:rsidTr="00674A6B">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7B72D2A1"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7F076298"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595E6803"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1.3.2. Створення умов для залучення осіб та дітей з інвалідністю до занять фізичною культурою, спортом та фізкультурно-спортивною реабілітацією.</w:t>
            </w:r>
          </w:p>
        </w:tc>
      </w:tr>
      <w:tr w14:paraId="76774D1F"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62A70CEB"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3DA77E72"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5DAAA48B"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1.3.3. Сприяння здоровому способу життя.</w:t>
            </w:r>
          </w:p>
        </w:tc>
      </w:tr>
      <w:tr w14:paraId="139B360C" w14:textId="77777777" w:rsidTr="00674A6B">
        <w:tblPrEx>
          <w:tblW w:w="9645" w:type="dxa"/>
          <w:tblInd w:w="-34" w:type="dxa"/>
          <w:tblLayout w:type="fixed"/>
          <w:tblLook w:val="04A0"/>
        </w:tblPrEx>
        <w:trPr>
          <w:trHeight w:val="126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59D69C4A"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1936B0A8"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1.4. Створення умов для забезпечення рівних можливостей для розвитку всіх груп населення та формування згуртованого суспільства</w:t>
            </w:r>
          </w:p>
        </w:tc>
        <w:tc>
          <w:tcPr>
            <w:tcW w:w="5954" w:type="dxa"/>
            <w:tcBorders>
              <w:top w:val="nil"/>
              <w:left w:val="nil"/>
              <w:bottom w:val="single" w:sz="4" w:space="0" w:color="auto"/>
              <w:right w:val="single" w:sz="4" w:space="0" w:color="auto"/>
            </w:tcBorders>
            <w:vAlign w:val="center"/>
            <w:hideMark/>
          </w:tcPr>
          <w:p w:rsidR="00674A6B" w:rsidRPr="00674A6B" w:rsidP="00674A6B" w14:paraId="6223D47A"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 xml:space="preserve">1.4.1. Створення безбарʼєрного середовища для всіх груп населення в громаді, забезпечення рівних можливостей кожній людині реалізовувати свої права, отримувати послуги на рівні з іншими. </w:t>
            </w:r>
          </w:p>
        </w:tc>
      </w:tr>
      <w:tr w14:paraId="3D2B4F66" w14:textId="77777777" w:rsidTr="00674A6B">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44752926"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5DB878E2"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09026D64"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 xml:space="preserve">1.4.2. Посилення заходів щодо протидії та запобігання домашньому насильству, дискримінації та насильству за ознакою статі, реабілітації потерпілих від такого насильства. </w:t>
            </w:r>
          </w:p>
        </w:tc>
      </w:tr>
      <w:tr w14:paraId="12FFA95A"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4191CD21"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117732FF"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24EC2978"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1.4.3. Забезпечення конституційних прав дітей, які потребують особливої соціальної уваги та підтримки.</w:t>
            </w:r>
          </w:p>
        </w:tc>
      </w:tr>
      <w:tr w14:paraId="0D413C10"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7510A37B"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1A5C91F5"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6C58299C"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1.4.4. Реалізація державної сімейної політики.</w:t>
            </w:r>
          </w:p>
        </w:tc>
      </w:tr>
      <w:tr w14:paraId="7D6D453C"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1AA9E4FE"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02C29A13"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7E9D8E69"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1.4.5. Посилення соціальної захищеності ветеранів, ветеранок та членів їх сімей.</w:t>
            </w:r>
          </w:p>
        </w:tc>
      </w:tr>
      <w:tr w14:paraId="29E166B9"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6405FF90"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552A1F63"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4C02FE44"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 4.6. Інтеграція ВПО в громаду.</w:t>
            </w:r>
          </w:p>
        </w:tc>
      </w:tr>
      <w:tr w14:paraId="01880268" w14:textId="77777777" w:rsidTr="00674A6B">
        <w:tblPrEx>
          <w:tblW w:w="9645" w:type="dxa"/>
          <w:tblInd w:w="-34" w:type="dxa"/>
          <w:tblLayout w:type="fixed"/>
          <w:tblLook w:val="04A0"/>
        </w:tblPrEx>
        <w:trPr>
          <w:trHeight w:val="88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472E8FE3"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6052D8A5"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1.5. Забезпечення соціально незахищених категорій населення якісними і доступними соціальними послугами, підтримка осіб з інвалідністю та інших маломобільних груп населення</w:t>
            </w:r>
          </w:p>
        </w:tc>
        <w:tc>
          <w:tcPr>
            <w:tcW w:w="5954" w:type="dxa"/>
            <w:tcBorders>
              <w:top w:val="nil"/>
              <w:left w:val="nil"/>
              <w:bottom w:val="single" w:sz="4" w:space="0" w:color="auto"/>
              <w:right w:val="single" w:sz="4" w:space="0" w:color="auto"/>
            </w:tcBorders>
            <w:vAlign w:val="center"/>
            <w:hideMark/>
          </w:tcPr>
          <w:p w:rsidR="00674A6B" w:rsidRPr="00674A6B" w:rsidP="00674A6B" w14:paraId="654E2255"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1.5.1. Підтримка діючих і запровадження нових видів соціальних послуг та сервісів.</w:t>
            </w:r>
          </w:p>
        </w:tc>
      </w:tr>
      <w:tr w14:paraId="63283436" w14:textId="77777777" w:rsidTr="00674A6B">
        <w:tblPrEx>
          <w:tblW w:w="9645" w:type="dxa"/>
          <w:tblInd w:w="-34" w:type="dxa"/>
          <w:tblLayout w:type="fixed"/>
          <w:tblLook w:val="04A0"/>
        </w:tblPrEx>
        <w:trPr>
          <w:trHeight w:val="1259"/>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59D0F5FE"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407A038A"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23E6AA83"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1.5.2. Підтримка розвитку соціальних послуг із залученням громадських об’єднань та приватних організацій.</w:t>
            </w:r>
          </w:p>
        </w:tc>
      </w:tr>
      <w:tr w14:paraId="4A5E3D1E" w14:textId="77777777" w:rsidTr="00674A6B">
        <w:tblPrEx>
          <w:tblW w:w="9645" w:type="dxa"/>
          <w:tblInd w:w="-34" w:type="dxa"/>
          <w:tblLayout w:type="fixed"/>
          <w:tblLook w:val="04A0"/>
        </w:tblPrEx>
        <w:trPr>
          <w:trHeight w:val="99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1867E68B"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65041DB0"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69F3D5CE"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1.5.3. Сприяння розвитку якісних і доступних послуг з догляду.</w:t>
            </w:r>
          </w:p>
        </w:tc>
      </w:tr>
      <w:tr w14:paraId="36C9CD8C"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1C5B765A"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7BD814FC"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 xml:space="preserve">1.6. Формування всебічно розвиненої людини, сприяння її культурному та духовному розвитку, створення </w:t>
            </w:r>
            <w:r w:rsidRPr="00674A6B">
              <w:rPr>
                <w:rFonts w:ascii="Times New Roman" w:eastAsia="Times New Roman" w:hAnsi="Times New Roman" w:cs="Times New Roman"/>
                <w:sz w:val="24"/>
                <w:szCs w:val="24"/>
              </w:rPr>
              <w:t>можливостей для творчого самовираження і самореалізації</w:t>
            </w:r>
          </w:p>
        </w:tc>
        <w:tc>
          <w:tcPr>
            <w:tcW w:w="5954" w:type="dxa"/>
            <w:tcBorders>
              <w:top w:val="nil"/>
              <w:left w:val="nil"/>
              <w:bottom w:val="single" w:sz="4" w:space="0" w:color="auto"/>
              <w:right w:val="single" w:sz="4" w:space="0" w:color="auto"/>
            </w:tcBorders>
            <w:vAlign w:val="center"/>
            <w:hideMark/>
          </w:tcPr>
          <w:p w:rsidR="00674A6B" w:rsidRPr="00674A6B" w:rsidP="00674A6B" w14:paraId="2BAA13E4"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1.6.1. Сприяння розвитку мережі закладів культури.</w:t>
            </w:r>
          </w:p>
        </w:tc>
      </w:tr>
      <w:tr w14:paraId="03502FEB" w14:textId="77777777" w:rsidTr="00674A6B">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76DF44C7"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6E5E8D16"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3C577C81"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1.6.2. Створення умов для культурного розвитку і творчого самовираження, задоволення творчих, інтелектуальних  та духовних потреб людей.</w:t>
            </w:r>
          </w:p>
        </w:tc>
      </w:tr>
      <w:tr w14:paraId="75EBFAE2"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364AEFB0"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73D9F7F2"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0C09FAED"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1.6.3. Збереження і промоція об’єктів історико-культурної спадщини.</w:t>
            </w:r>
          </w:p>
        </w:tc>
      </w:tr>
      <w:tr w14:paraId="0EA04043" w14:textId="77777777" w:rsidTr="00674A6B">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7904B76B"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44FD85B9"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4CFFDBCE"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1.6.4. Виявлення, збереження та популяризація нематеріальної культурної спадщини (народних традицій, звичаїв, фольклору тощо).</w:t>
            </w:r>
          </w:p>
        </w:tc>
      </w:tr>
      <w:tr w14:paraId="01F22469"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34CDF653"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5C6F9987"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4061C5E8"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1.6.5. Покращення матеріально-технічного забезпечення комунальних закладів культури.</w:t>
            </w:r>
          </w:p>
        </w:tc>
      </w:tr>
      <w:tr w14:paraId="52FC6A89"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416B7C6D"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539148DA"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07A4A937"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1.6.6. Створення умов для розвитку та успішної самореалізації молоді та підвищення рівня її соціальної інтеграції.</w:t>
            </w:r>
          </w:p>
        </w:tc>
      </w:tr>
      <w:tr w14:paraId="58A16E1B"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388FF584"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05CAAA70"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4AF94A3A"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1.6.7. Сприяння розвитку молодіжної інфраструктури.</w:t>
            </w:r>
          </w:p>
        </w:tc>
      </w:tr>
      <w:tr w14:paraId="429D6DD3"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4409F63F"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4D38B311"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1.7. Розвиток туристичного потенціалу</w:t>
            </w:r>
          </w:p>
        </w:tc>
        <w:tc>
          <w:tcPr>
            <w:tcW w:w="5954" w:type="dxa"/>
            <w:tcBorders>
              <w:top w:val="nil"/>
              <w:left w:val="nil"/>
              <w:bottom w:val="single" w:sz="4" w:space="0" w:color="auto"/>
              <w:right w:val="single" w:sz="4" w:space="0" w:color="auto"/>
            </w:tcBorders>
            <w:vAlign w:val="center"/>
            <w:hideMark/>
          </w:tcPr>
          <w:p w:rsidR="00674A6B" w:rsidRPr="00674A6B" w:rsidP="00674A6B" w14:paraId="133A6766"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1.7.1. Створення та промоція туристичних продуктів.</w:t>
            </w:r>
          </w:p>
        </w:tc>
      </w:tr>
      <w:tr w14:paraId="794437B9"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2C8B1337"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6E6CFD78"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6644D249"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1.7.2. Розвиток туристичної інфраструктури.</w:t>
            </w:r>
          </w:p>
        </w:tc>
      </w:tr>
      <w:tr w14:paraId="172707FA" w14:textId="77777777" w:rsidTr="00674A6B">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491AA20D"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1DC7B181"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10F1611B"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1.7.3. Сприяння розробці та реалізації проєктів, спрямованих на розвиток та використання рекреаційно-туристичного потенціалу громади.</w:t>
            </w:r>
          </w:p>
        </w:tc>
      </w:tr>
      <w:tr w14:paraId="464CE2DC" w14:textId="77777777" w:rsidTr="00674A6B">
        <w:tblPrEx>
          <w:tblW w:w="9645" w:type="dxa"/>
          <w:tblInd w:w="-34" w:type="dxa"/>
          <w:tblLayout w:type="fixed"/>
          <w:tblLook w:val="04A0"/>
        </w:tblPrEx>
        <w:trPr>
          <w:trHeight w:val="1260"/>
        </w:trPr>
        <w:tc>
          <w:tcPr>
            <w:tcW w:w="1135" w:type="dxa"/>
            <w:vMerge w:val="restart"/>
            <w:tcBorders>
              <w:top w:val="nil"/>
              <w:left w:val="single" w:sz="4" w:space="0" w:color="auto"/>
              <w:bottom w:val="single" w:sz="4" w:space="0" w:color="000000"/>
              <w:right w:val="single" w:sz="4" w:space="0" w:color="auto"/>
            </w:tcBorders>
            <w:textDirection w:val="btLr"/>
            <w:vAlign w:val="center"/>
            <w:hideMark/>
          </w:tcPr>
          <w:p w:rsidR="00674A6B" w:rsidRPr="00674A6B" w:rsidP="00674A6B" w14:paraId="4F69BA04"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 Створення безпечних та комфортних умов для життя мешканців громади, наближення до європейських стандартів.</w:t>
            </w: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26120E23"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2.1. Розвиток інфраструктури безпеки</w:t>
            </w:r>
          </w:p>
        </w:tc>
        <w:tc>
          <w:tcPr>
            <w:tcW w:w="5954" w:type="dxa"/>
            <w:tcBorders>
              <w:top w:val="nil"/>
              <w:left w:val="nil"/>
              <w:bottom w:val="single" w:sz="4" w:space="0" w:color="auto"/>
              <w:right w:val="single" w:sz="4" w:space="0" w:color="auto"/>
            </w:tcBorders>
            <w:vAlign w:val="center"/>
            <w:hideMark/>
          </w:tcPr>
          <w:p w:rsidR="00674A6B" w:rsidRPr="00674A6B" w:rsidP="00674A6B" w14:paraId="1DB510A9"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2.1.1. Розвиток системи централізованого оповіщення та фонду захисних споруд цивільного захисту (зокрема, в закладах освіти, охорони здоровʼя та соціального захисту, житлового фонду) з урахуванням принципів інклюзивності та безбарʼєрності.</w:t>
            </w:r>
          </w:p>
        </w:tc>
      </w:tr>
      <w:tr w14:paraId="476A0ECC"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0EA7E5FF"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5A2F1378"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5B0AC666"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2.1.2. Продовження роботи поліцейських станцій в громаді.</w:t>
            </w:r>
          </w:p>
        </w:tc>
      </w:tr>
      <w:tr w14:paraId="6840AE52"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4AC6767C"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3ABC4CBD"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64D8B265"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2.1.3. Сприяння функціонуванню у громаді добровільної пожежної охорони.</w:t>
            </w:r>
          </w:p>
        </w:tc>
      </w:tr>
      <w:tr w14:paraId="46747A1B"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146C73A2"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1F9CBA49"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5AA35158"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2.1.4. Захист об’єктів критичної інфраструктури.</w:t>
            </w:r>
          </w:p>
        </w:tc>
      </w:tr>
      <w:tr w14:paraId="4E3E7ACD" w14:textId="77777777" w:rsidTr="00674A6B">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7D7D2F2D"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4687DB97"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65000EA3"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2.1.5.Забезпечення роботи об’єктів критичної інфраструктури комунальної власності  альтернативними джерелами енергопостачання.</w:t>
            </w:r>
          </w:p>
        </w:tc>
      </w:tr>
      <w:tr w14:paraId="58DCE69E"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4DF9E06A"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06232977"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 xml:space="preserve">2.2. Розвиток дорожньої та транспортної інфраструктури </w:t>
            </w:r>
          </w:p>
        </w:tc>
        <w:tc>
          <w:tcPr>
            <w:tcW w:w="5954" w:type="dxa"/>
            <w:tcBorders>
              <w:top w:val="nil"/>
              <w:left w:val="nil"/>
              <w:bottom w:val="single" w:sz="4" w:space="0" w:color="auto"/>
              <w:right w:val="single" w:sz="4" w:space="0" w:color="auto"/>
            </w:tcBorders>
            <w:vAlign w:val="center"/>
            <w:hideMark/>
          </w:tcPr>
          <w:p w:rsidR="00674A6B" w:rsidRPr="00674A6B" w:rsidP="00674A6B" w14:paraId="0DFA5D60"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2.2.1. Утримання доріг громади в належному стані, своєчасне проведення їх капітальних та поточних ремонтів.</w:t>
            </w:r>
          </w:p>
        </w:tc>
      </w:tr>
      <w:tr w14:paraId="15B577F8"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2D8824D3"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5AF97BEE"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30144C07"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2.2.2. Розвиток інженерної, логістичної, дорожньо-транспортної інфраструктури.</w:t>
            </w:r>
          </w:p>
        </w:tc>
      </w:tr>
      <w:tr w14:paraId="74E43E6A"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6DC82D3F"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337CC705"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54EBCB54"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2.2.3. Розвиток громадського транспорту в громаді та велосипедної інфраструктури.</w:t>
            </w:r>
          </w:p>
        </w:tc>
      </w:tr>
      <w:tr w14:paraId="211EF7EC"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733B4DBC"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45220E6C"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2.3. Підвищення енергоефективності за рахунок розвитку енергетичної інфраструктури, стійкої до безпекових загроз</w:t>
            </w:r>
          </w:p>
        </w:tc>
        <w:tc>
          <w:tcPr>
            <w:tcW w:w="5954" w:type="dxa"/>
            <w:tcBorders>
              <w:top w:val="nil"/>
              <w:left w:val="nil"/>
              <w:bottom w:val="single" w:sz="4" w:space="0" w:color="auto"/>
              <w:right w:val="single" w:sz="4" w:space="0" w:color="auto"/>
            </w:tcBorders>
            <w:vAlign w:val="center"/>
            <w:hideMark/>
          </w:tcPr>
          <w:p w:rsidR="00674A6B" w:rsidRPr="00674A6B" w:rsidP="00674A6B" w14:paraId="46901914"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2.3.1. Модернізація систем централізованого теплопостачання.</w:t>
            </w:r>
          </w:p>
        </w:tc>
      </w:tr>
      <w:tr w14:paraId="598FC514" w14:textId="77777777" w:rsidTr="00674A6B">
        <w:tblPrEx>
          <w:tblW w:w="9645" w:type="dxa"/>
          <w:tblInd w:w="-34" w:type="dxa"/>
          <w:tblLayout w:type="fixed"/>
          <w:tblLook w:val="04A0"/>
        </w:tblPrEx>
        <w:trPr>
          <w:trHeight w:val="126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3C19E28A"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48149EC0"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5A1B04B0"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2.3.2. Створення умов для термомодернізації будівель, енергоефективної відбудови пошкоджених будівель та підвищення енергоефективності в закладах комунальної власності.</w:t>
            </w:r>
          </w:p>
        </w:tc>
      </w:tr>
      <w:tr w14:paraId="5F51E2EB"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7B8874BE"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3CF38D1E"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6679878C"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2.3.3. Сприяння розвитку енергосервісу у модернізації об’єктів житлово-комунального господарства.</w:t>
            </w:r>
          </w:p>
        </w:tc>
      </w:tr>
      <w:tr w14:paraId="181121B4" w14:textId="77777777" w:rsidTr="0002782F">
        <w:tblPrEx>
          <w:tblW w:w="9645" w:type="dxa"/>
          <w:tblInd w:w="-34" w:type="dxa"/>
          <w:tblLayout w:type="fixed"/>
          <w:tblLook w:val="04A0"/>
        </w:tblPrEx>
        <w:trPr>
          <w:trHeight w:val="1422"/>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637B4223"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0AA520B8"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2.4. Забезпечення населення якісними комунальними послугами</w:t>
            </w:r>
          </w:p>
        </w:tc>
        <w:tc>
          <w:tcPr>
            <w:tcW w:w="5954" w:type="dxa"/>
            <w:tcBorders>
              <w:top w:val="nil"/>
              <w:left w:val="nil"/>
              <w:bottom w:val="single" w:sz="4" w:space="0" w:color="auto"/>
              <w:right w:val="single" w:sz="4" w:space="0" w:color="auto"/>
            </w:tcBorders>
            <w:vAlign w:val="center"/>
            <w:hideMark/>
          </w:tcPr>
          <w:p w:rsidR="00674A6B" w:rsidRPr="00674A6B" w:rsidP="00674A6B" w14:paraId="7BE4EAD0"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2.4.1. Створення умов для розвитку об’єднань співвласників багатоквартирних будинків  для ефективного управління майном.</w:t>
            </w:r>
          </w:p>
        </w:tc>
      </w:tr>
      <w:tr w14:paraId="7F1D154D" w14:textId="77777777" w:rsidTr="00674A6B">
        <w:tblPrEx>
          <w:tblW w:w="9645" w:type="dxa"/>
          <w:tblInd w:w="-34" w:type="dxa"/>
          <w:tblLayout w:type="fixed"/>
          <w:tblLook w:val="04A0"/>
        </w:tblPrEx>
        <w:trPr>
          <w:trHeight w:val="126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6446BEB2"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090E975F"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0FD1CFC9"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2.4.2. Модернізація систем водопостачання (в т.ч. питного) та водовідведення, теплопостачання, впровадження альтернативних видів водопостачання, теплопостачання, забезпечення їх безперебійного функціонування .</w:t>
            </w:r>
          </w:p>
        </w:tc>
      </w:tr>
      <w:tr w14:paraId="5073D121" w14:textId="77777777" w:rsidTr="00674A6B">
        <w:tblPrEx>
          <w:tblW w:w="9645" w:type="dxa"/>
          <w:tblInd w:w="-34" w:type="dxa"/>
          <w:tblLayout w:type="fixed"/>
          <w:tblLook w:val="04A0"/>
        </w:tblPrEx>
        <w:trPr>
          <w:trHeight w:val="126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19C72F86"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0976E799"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319F89BC"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2.4.3. Забезпечення фінансової підтримки населення щодо термомодернізації житлових будівель, енергоефективної відбудови пошкоджених будівель та здійснення енергоефективних заходів.</w:t>
            </w:r>
          </w:p>
        </w:tc>
      </w:tr>
      <w:tr w14:paraId="35BB88CB" w14:textId="77777777" w:rsidTr="00674A6B">
        <w:tblPrEx>
          <w:tblW w:w="9645" w:type="dxa"/>
          <w:tblInd w:w="-34" w:type="dxa"/>
          <w:tblLayout w:type="fixed"/>
          <w:tblLook w:val="04A0"/>
        </w:tblPrEx>
        <w:trPr>
          <w:trHeight w:val="466"/>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062AC50B"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31D5F99C"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2.5. Екологічна безпека та охорона навколишнього природного середовища</w:t>
            </w:r>
          </w:p>
        </w:tc>
        <w:tc>
          <w:tcPr>
            <w:tcW w:w="5954" w:type="dxa"/>
            <w:tcBorders>
              <w:top w:val="nil"/>
              <w:left w:val="nil"/>
              <w:bottom w:val="single" w:sz="4" w:space="0" w:color="auto"/>
              <w:right w:val="single" w:sz="4" w:space="0" w:color="auto"/>
            </w:tcBorders>
            <w:vAlign w:val="center"/>
            <w:hideMark/>
          </w:tcPr>
          <w:p w:rsidR="00674A6B" w:rsidRPr="00674A6B" w:rsidP="00674A6B" w14:paraId="78D59B80"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2.5.1. Ефективне управління поводження з  відходами.</w:t>
            </w:r>
          </w:p>
        </w:tc>
      </w:tr>
      <w:tr w14:paraId="36C22D8A"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767BA0FF"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7FDC3AE3"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3ECC1804"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2.5.2. Екологічний моніторинг та інформування населення про стан довкілля.</w:t>
            </w:r>
          </w:p>
        </w:tc>
      </w:tr>
      <w:tr w14:paraId="51FE10FF" w14:textId="77777777" w:rsidTr="0002782F">
        <w:tblPrEx>
          <w:tblW w:w="9645" w:type="dxa"/>
          <w:tblInd w:w="-34" w:type="dxa"/>
          <w:tblLayout w:type="fixed"/>
          <w:tblLook w:val="04A0"/>
        </w:tblPrEx>
        <w:trPr>
          <w:trHeight w:val="496"/>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5259EA0A"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5E74527B"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2F8D1226"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2.5.3. Розвиток рекреаційних зон та зон відпочинку.</w:t>
            </w:r>
          </w:p>
        </w:tc>
      </w:tr>
      <w:tr w14:paraId="2FA53487" w14:textId="77777777" w:rsidTr="0002782F">
        <w:tblPrEx>
          <w:tblW w:w="9645" w:type="dxa"/>
          <w:tblInd w:w="-34" w:type="dxa"/>
          <w:tblLayout w:type="fixed"/>
          <w:tblLook w:val="04A0"/>
        </w:tblPrEx>
        <w:trPr>
          <w:trHeight w:val="701"/>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1ADEF4A2"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765BB733"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37902341"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2.5.4. Розробка програми екологічної безпеки та охорони навколишнього середовища.</w:t>
            </w:r>
          </w:p>
        </w:tc>
      </w:tr>
      <w:tr w14:paraId="7BF9D199"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6FDCF68E"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0AEBABC9"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0E29FDC9"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2.5.5. Збереження та відтворення водних ресурсів, захист територій від підтоплення.</w:t>
            </w:r>
          </w:p>
        </w:tc>
      </w:tr>
      <w:tr w14:paraId="7AA5121F" w14:textId="77777777" w:rsidTr="0002782F">
        <w:tblPrEx>
          <w:tblW w:w="9645" w:type="dxa"/>
          <w:tblInd w:w="-34" w:type="dxa"/>
          <w:tblLayout w:type="fixed"/>
          <w:tblLook w:val="04A0"/>
        </w:tblPrEx>
        <w:trPr>
          <w:trHeight w:val="1487"/>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39EAC2A8"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7E3A8C68"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2.6. Забезпечення збалансованого розвитку територій громади</w:t>
            </w:r>
          </w:p>
        </w:tc>
        <w:tc>
          <w:tcPr>
            <w:tcW w:w="5954" w:type="dxa"/>
            <w:tcBorders>
              <w:top w:val="nil"/>
              <w:left w:val="nil"/>
              <w:bottom w:val="single" w:sz="4" w:space="0" w:color="auto"/>
              <w:right w:val="single" w:sz="4" w:space="0" w:color="auto"/>
            </w:tcBorders>
            <w:vAlign w:val="center"/>
            <w:hideMark/>
          </w:tcPr>
          <w:p w:rsidR="00674A6B" w:rsidRPr="00674A6B" w:rsidP="00674A6B" w14:paraId="272968C5"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2.6.1. Розроблення Комплексного плану просторового розвитку Броварської міської територіальної громади, впровадження сучасних практик містобудування на основі принципів збалансованого розвитку, інтегрованого планування.</w:t>
            </w:r>
          </w:p>
        </w:tc>
      </w:tr>
      <w:tr w14:paraId="3A9565CF" w14:textId="77777777" w:rsidTr="0002782F">
        <w:tblPrEx>
          <w:tblW w:w="9645" w:type="dxa"/>
          <w:tblInd w:w="-34" w:type="dxa"/>
          <w:tblLayout w:type="fixed"/>
          <w:tblLook w:val="04A0"/>
        </w:tblPrEx>
        <w:trPr>
          <w:trHeight w:val="1648"/>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29B5372F"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2812CC95"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743F470B"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2.6.2. Сприяння використанню можливостей міжнародного співробітництва, європейської інтеграції для реалізації проєктів для підвищення якості життя населення громади, поглиблення партнерських зв’язків із регіонами іноземних держав.</w:t>
            </w:r>
          </w:p>
        </w:tc>
      </w:tr>
      <w:tr w14:paraId="308DAE74" w14:textId="77777777" w:rsidTr="0002782F">
        <w:tblPrEx>
          <w:tblW w:w="9645" w:type="dxa"/>
          <w:tblInd w:w="-34" w:type="dxa"/>
          <w:tblLayout w:type="fixed"/>
          <w:tblLook w:val="04A0"/>
        </w:tblPrEx>
        <w:trPr>
          <w:trHeight w:val="1527"/>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106F96EF"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23FE1569"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2.7. Наближення системи управління місцевим розвитком до процедур та кращих практик ЄС</w:t>
            </w:r>
          </w:p>
        </w:tc>
        <w:tc>
          <w:tcPr>
            <w:tcW w:w="5954" w:type="dxa"/>
            <w:tcBorders>
              <w:top w:val="nil"/>
              <w:left w:val="nil"/>
              <w:bottom w:val="single" w:sz="4" w:space="0" w:color="auto"/>
              <w:right w:val="single" w:sz="4" w:space="0" w:color="auto"/>
            </w:tcBorders>
            <w:vAlign w:val="center"/>
            <w:hideMark/>
          </w:tcPr>
          <w:p w:rsidR="00674A6B" w:rsidRPr="00674A6B" w:rsidP="00674A6B" w14:paraId="658814AA"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2.7.1. Підвищенню рівня професійних навичок та компетенцій працівників органів місцевого самоврядування з метою прийняття ефективних управлінських рішень та опанування навичками проєктного менеджменту.</w:t>
            </w:r>
          </w:p>
        </w:tc>
      </w:tr>
      <w:tr w14:paraId="392C393A" w14:textId="77777777" w:rsidTr="00674A6B">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466A52CF"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77F7B1A7"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7467476E"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2.7.2. Створення умов для стимулювання активного населення територіальних громад до співробітництва та реалізації спільних громадських проєктів.</w:t>
            </w:r>
          </w:p>
        </w:tc>
      </w:tr>
      <w:tr w14:paraId="3ACC238F" w14:textId="77777777" w:rsidTr="0002782F">
        <w:tblPrEx>
          <w:tblW w:w="9645" w:type="dxa"/>
          <w:tblInd w:w="-34" w:type="dxa"/>
          <w:tblLayout w:type="fixed"/>
          <w:tblLook w:val="04A0"/>
        </w:tblPrEx>
        <w:trPr>
          <w:trHeight w:val="1023"/>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709C400E"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35525F0F"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2.8.  Цифрова трансформація  та удосконалення системи надання публічних послуг</w:t>
            </w:r>
          </w:p>
        </w:tc>
        <w:tc>
          <w:tcPr>
            <w:tcW w:w="5954" w:type="dxa"/>
            <w:tcBorders>
              <w:top w:val="nil"/>
              <w:left w:val="nil"/>
              <w:bottom w:val="single" w:sz="4" w:space="0" w:color="auto"/>
              <w:right w:val="single" w:sz="4" w:space="0" w:color="auto"/>
            </w:tcBorders>
            <w:vAlign w:val="center"/>
            <w:hideMark/>
          </w:tcPr>
          <w:p w:rsidR="00674A6B" w:rsidRPr="00674A6B" w:rsidP="00674A6B" w14:paraId="34159399"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2.8.1. Підвищення рівня цифрової грамотності населення, зокрема шляхом реалізації проєкту «Дія. Цифрова освіта».</w:t>
            </w:r>
          </w:p>
        </w:tc>
      </w:tr>
      <w:tr w14:paraId="2A19AC5E" w14:textId="77777777" w:rsidTr="0002782F">
        <w:tblPrEx>
          <w:tblW w:w="9645" w:type="dxa"/>
          <w:tblInd w:w="-34" w:type="dxa"/>
          <w:tblLayout w:type="fixed"/>
          <w:tblLook w:val="04A0"/>
        </w:tblPrEx>
        <w:trPr>
          <w:trHeight w:val="1548"/>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447CE9A9"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071CC187"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7539164E"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2.8.2. Збільшення переліку послуг, які надаються Центром надання адміністративних послуг громади, включаючи електронні послуги; забезпечення їх доступності для осіб з інвалідністю та інших маломобільних груп населення.</w:t>
            </w:r>
          </w:p>
        </w:tc>
      </w:tr>
      <w:tr w14:paraId="1A8CEDAA" w14:textId="77777777" w:rsidTr="00674A6B">
        <w:tblPrEx>
          <w:tblW w:w="9645" w:type="dxa"/>
          <w:tblInd w:w="-34" w:type="dxa"/>
          <w:tblLayout w:type="fixed"/>
          <w:tblLook w:val="04A0"/>
        </w:tblPrEx>
        <w:trPr>
          <w:trHeight w:val="630"/>
        </w:trPr>
        <w:tc>
          <w:tcPr>
            <w:tcW w:w="1135" w:type="dxa"/>
            <w:vMerge w:val="restart"/>
            <w:tcBorders>
              <w:top w:val="nil"/>
              <w:left w:val="single" w:sz="4" w:space="0" w:color="auto"/>
              <w:bottom w:val="single" w:sz="4" w:space="0" w:color="000000"/>
              <w:right w:val="single" w:sz="4" w:space="0" w:color="auto"/>
            </w:tcBorders>
            <w:textDirection w:val="btLr"/>
            <w:vAlign w:val="center"/>
            <w:hideMark/>
          </w:tcPr>
          <w:p w:rsidR="00674A6B" w:rsidRPr="00674A6B" w:rsidP="00674A6B" w14:paraId="35F6598E"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 Підвищення конкурентоспроможності економіки громади</w:t>
            </w: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46D67A65"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3.1. Відновлення та стимулювання розвитку бізнесу в  громаді</w:t>
            </w:r>
          </w:p>
        </w:tc>
        <w:tc>
          <w:tcPr>
            <w:tcW w:w="5954" w:type="dxa"/>
            <w:tcBorders>
              <w:top w:val="nil"/>
              <w:left w:val="nil"/>
              <w:bottom w:val="single" w:sz="4" w:space="0" w:color="auto"/>
              <w:right w:val="single" w:sz="4" w:space="0" w:color="auto"/>
            </w:tcBorders>
            <w:vAlign w:val="center"/>
            <w:hideMark/>
          </w:tcPr>
          <w:p w:rsidR="00674A6B" w:rsidRPr="00674A6B" w:rsidP="00674A6B" w14:paraId="2D225E6B"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3.1.1. Створення  сприятливих умов та можливостей  для розвитку  бізнесу у громаді.</w:t>
            </w:r>
          </w:p>
        </w:tc>
      </w:tr>
      <w:tr w14:paraId="34E9F114" w14:textId="77777777" w:rsidTr="00674A6B">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2B864E7A"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5A7D6F3E"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19217DF5"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3.1.2. Стимулювання розвитку малого та середнього підприємництва, зокрема із залученням ВПО, ветеранів, безробітних до ведення підприємницької діяльності.</w:t>
            </w:r>
          </w:p>
        </w:tc>
      </w:tr>
      <w:tr w14:paraId="565CC1DE"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0DD25446"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58F7CA42"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35173519"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3.1.3. Розбудова ефективної інфраструктури підтримки підприємництва у громаді.</w:t>
            </w:r>
          </w:p>
        </w:tc>
      </w:tr>
      <w:tr w14:paraId="01A21EED"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3F864DEC"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1E681C45"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1B114C20" w14:textId="77777777">
            <w:pPr>
              <w:spacing w:after="0" w:line="240" w:lineRule="auto"/>
              <w:rPr>
                <w:rFonts w:ascii="Times New Roman" w:eastAsia="Times New Roman" w:hAnsi="Times New Roman" w:cs="Times New Roman"/>
                <w:sz w:val="24"/>
                <w:szCs w:val="24"/>
              </w:rPr>
            </w:pPr>
            <w:r w:rsidRPr="00674A6B">
              <w:rPr>
                <w:rFonts w:ascii="Times New Roman" w:eastAsia="Andika" w:hAnsi="Times New Roman" w:cs="Andika"/>
                <w:sz w:val="24"/>
                <w:szCs w:val="24"/>
              </w:rPr>
              <w:t>3.1.4. Сприяння у підвищенні професійного рівня субꞌєктів  підприємницької діяльності та  підготовці кваліфікованих кадрів.</w:t>
            </w:r>
          </w:p>
        </w:tc>
      </w:tr>
      <w:tr w14:paraId="629698F4"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43891F86"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7E8B1EB6"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3A2618EA"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 xml:space="preserve">3.1.5. Сприяння залученню інвестицій в громаду. </w:t>
            </w:r>
          </w:p>
        </w:tc>
      </w:tr>
      <w:tr w14:paraId="6D858426"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4676C193"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54ED04AF"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23D99713"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3.1.6. Сприяння розвитку індустріальних парків та промислових зон.</w:t>
            </w:r>
          </w:p>
        </w:tc>
      </w:tr>
      <w:tr w14:paraId="5CB8C995"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362B9440"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40E32B0D"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65F7565B"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 xml:space="preserve">3.1.7. Впровадження державних та недержавних механізмів підтримки сільгоспвиробників. </w:t>
            </w:r>
          </w:p>
        </w:tc>
      </w:tr>
      <w:tr w14:paraId="193C52CC"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381A41E1"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625E2C07"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51CBF9D5"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3.1.8. Сприяння діяльності виробників крафтової продукції.</w:t>
            </w:r>
          </w:p>
        </w:tc>
      </w:tr>
      <w:tr w14:paraId="17004F73"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3A411D99"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6F1946FA"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37C4E134"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3.1.9. Сприяння розвитку жіночого підприємництва, соціального підприємництва тощо.</w:t>
            </w:r>
          </w:p>
        </w:tc>
      </w:tr>
      <w:tr w14:paraId="5A892655"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01F4B42A"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23B06A61"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41EDCAC8"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3.1.10. Сприяння розвитку «зеленої» економіки.</w:t>
            </w:r>
          </w:p>
        </w:tc>
      </w:tr>
      <w:tr w14:paraId="111842B8"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5A907640"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73155A40"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3.2. Розвиток інструментів комунікації влади та бізнесу</w:t>
            </w:r>
          </w:p>
        </w:tc>
        <w:tc>
          <w:tcPr>
            <w:tcW w:w="5954" w:type="dxa"/>
            <w:tcBorders>
              <w:top w:val="nil"/>
              <w:left w:val="nil"/>
              <w:bottom w:val="single" w:sz="4" w:space="0" w:color="auto"/>
              <w:right w:val="single" w:sz="4" w:space="0" w:color="auto"/>
            </w:tcBorders>
            <w:vAlign w:val="center"/>
            <w:hideMark/>
          </w:tcPr>
          <w:p w:rsidR="00674A6B" w:rsidRPr="00674A6B" w:rsidP="00674A6B" w14:paraId="153443C3"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3.2.1. Сприяння участі МСП у кластерних ініціативах на рівні області, держави.</w:t>
            </w:r>
          </w:p>
        </w:tc>
      </w:tr>
      <w:tr w14:paraId="4DD4FFBF"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6AC44D21"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07CFE55A"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4D9E52A2"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3.2.2.Забезпечення функціонування Центру підтримки бізнесу та посилення його інституційної спроможності.</w:t>
            </w:r>
          </w:p>
        </w:tc>
      </w:tr>
      <w:tr w14:paraId="62C186E3" w14:textId="77777777" w:rsidTr="00674A6B">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7F6415A1"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3D9EBA20"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0D57220A"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3.2.3. Впровадження загальнодержавних механізмів підтримки бізнесу в громаді  та виконання державних та місцевих програм сприяння розвитку МСП.</w:t>
            </w:r>
          </w:p>
        </w:tc>
      </w:tr>
      <w:tr w14:paraId="4B78F2EE" w14:textId="77777777" w:rsidTr="00674A6B">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3560A794"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674A6B" w:rsidRPr="00674A6B" w:rsidP="00674A6B" w14:paraId="5809AEEF"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3.3. Формування позитивного іміджу підприємництва у громаді</w:t>
            </w:r>
          </w:p>
        </w:tc>
        <w:tc>
          <w:tcPr>
            <w:tcW w:w="5954" w:type="dxa"/>
            <w:tcBorders>
              <w:top w:val="nil"/>
              <w:left w:val="nil"/>
              <w:bottom w:val="single" w:sz="4" w:space="0" w:color="auto"/>
              <w:right w:val="single" w:sz="4" w:space="0" w:color="auto"/>
            </w:tcBorders>
            <w:vAlign w:val="center"/>
            <w:hideMark/>
          </w:tcPr>
          <w:p w:rsidR="00674A6B" w:rsidRPr="00674A6B" w:rsidP="00674A6B" w14:paraId="0688DC52"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3.3.1. Організація промоційних заходів щодо підтримки місцевих виробників (Зроблено в Україні, Зроблено в Броварській МТГ, Броварське – це якісне, тощо).</w:t>
            </w:r>
          </w:p>
        </w:tc>
      </w:tr>
      <w:tr w14:paraId="6571A1D0"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7A0C76B0"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4B324329"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62475415"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3.3.2. Підтримка ініціативи «Експортуй!» для МСП, які мають потенціал для виходу на міжнародний ринок.</w:t>
            </w:r>
          </w:p>
        </w:tc>
      </w:tr>
      <w:tr w14:paraId="055AA41D" w14:textId="77777777" w:rsidTr="00674A6B">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53598FE3"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2DF1E3D0"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33BD6F11"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3.3.3.Інформування МСП про можливості підтримки бізнесу при вступі України до ЄС.</w:t>
            </w:r>
          </w:p>
        </w:tc>
      </w:tr>
      <w:tr w14:paraId="490B4A7A" w14:textId="77777777" w:rsidTr="00674A6B">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674A6B" w:rsidRPr="00674A6B" w:rsidP="00674A6B" w14:paraId="0156A436"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674A6B" w:rsidRPr="00674A6B" w:rsidP="00674A6B" w14:paraId="73E65D84"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74A6B" w:rsidRPr="00674A6B" w:rsidP="00674A6B" w14:paraId="679E901B" w14:textId="77777777">
            <w:pPr>
              <w:spacing w:after="0" w:line="240" w:lineRule="auto"/>
              <w:rPr>
                <w:rFonts w:ascii="Times New Roman" w:eastAsia="Times New Roman" w:hAnsi="Times New Roman" w:cs="Times New Roman"/>
                <w:sz w:val="24"/>
                <w:szCs w:val="24"/>
              </w:rPr>
            </w:pPr>
            <w:r w:rsidRPr="00674A6B">
              <w:rPr>
                <w:rFonts w:ascii="Times New Roman" w:eastAsia="Andika" w:hAnsi="Times New Roman" w:cs="Times New Roman"/>
                <w:sz w:val="24"/>
                <w:szCs w:val="24"/>
              </w:rPr>
              <w:t>3.3.4. Залучення МСП до міжнародних партнерських звꞌязків.</w:t>
            </w:r>
          </w:p>
        </w:tc>
      </w:tr>
    </w:tbl>
    <w:p w:rsidR="00674A6B" w:rsidRPr="00674A6B" w:rsidP="00674A6B" w14:paraId="51350F06" w14:textId="77777777">
      <w:pPr>
        <w:spacing w:after="0" w:line="240" w:lineRule="auto"/>
        <w:ind w:firstLine="567"/>
        <w:jc w:val="both"/>
        <w:rPr>
          <w:rFonts w:ascii="Times New Roman" w:eastAsia="Calibri" w:hAnsi="Times New Roman" w:cs="Times New Roman"/>
          <w:sz w:val="28"/>
          <w:szCs w:val="28"/>
          <w:lang w:eastAsia="en-US"/>
        </w:rPr>
      </w:pPr>
    </w:p>
    <w:p w:rsidR="00674A6B" w:rsidRPr="00674A6B" w:rsidP="00674A6B" w14:paraId="7B8E37D0" w14:textId="77777777">
      <w:pPr>
        <w:spacing w:after="0" w:line="240" w:lineRule="auto"/>
        <w:ind w:firstLine="567"/>
        <w:jc w:val="both"/>
        <w:rPr>
          <w:rFonts w:ascii="Times New Roman" w:eastAsia="Calibri" w:hAnsi="Times New Roman" w:cs="Times New Roman"/>
          <w:sz w:val="28"/>
          <w:szCs w:val="28"/>
          <w:lang w:eastAsia="en-US"/>
        </w:rPr>
      </w:pPr>
    </w:p>
    <w:p w:rsidR="00674A6B" w:rsidRPr="00674A6B" w:rsidP="00674A6B" w14:paraId="1A001037" w14:textId="77777777">
      <w:pPr>
        <w:spacing w:after="0" w:line="240" w:lineRule="auto"/>
        <w:ind w:firstLine="567"/>
        <w:jc w:val="both"/>
        <w:rPr>
          <w:rFonts w:ascii="Times New Roman" w:eastAsia="Calibri" w:hAnsi="Times New Roman" w:cs="Times New Roman"/>
          <w:sz w:val="28"/>
          <w:szCs w:val="28"/>
          <w:lang w:eastAsia="en-US"/>
        </w:rPr>
      </w:pPr>
    </w:p>
    <w:p w:rsidR="00674A6B" w:rsidRPr="00674A6B" w:rsidP="00674A6B" w14:paraId="0F7AC5CE" w14:textId="77777777">
      <w:pPr>
        <w:spacing w:after="0" w:line="240" w:lineRule="auto"/>
        <w:ind w:firstLine="567"/>
        <w:jc w:val="both"/>
        <w:rPr>
          <w:rFonts w:ascii="Times New Roman" w:eastAsia="Calibri" w:hAnsi="Times New Roman" w:cs="Times New Roman"/>
          <w:sz w:val="28"/>
          <w:szCs w:val="28"/>
          <w:lang w:eastAsia="en-US"/>
        </w:rPr>
      </w:pPr>
    </w:p>
    <w:p w:rsidR="00674A6B" w:rsidRPr="00674A6B" w:rsidP="00674A6B" w14:paraId="74032FAC" w14:textId="77777777">
      <w:pPr>
        <w:spacing w:after="0" w:line="240" w:lineRule="auto"/>
        <w:ind w:firstLine="567"/>
        <w:jc w:val="both"/>
        <w:rPr>
          <w:rFonts w:ascii="Times New Roman" w:eastAsia="Calibri" w:hAnsi="Times New Roman" w:cs="Times New Roman"/>
          <w:sz w:val="28"/>
          <w:szCs w:val="28"/>
          <w:lang w:eastAsia="en-US"/>
        </w:rPr>
      </w:pPr>
    </w:p>
    <w:p w:rsidR="00674A6B" w:rsidRPr="00674A6B" w:rsidP="00674A6B" w14:paraId="3948D065" w14:textId="77777777">
      <w:pPr>
        <w:spacing w:after="0" w:line="240" w:lineRule="auto"/>
        <w:ind w:firstLine="567"/>
        <w:jc w:val="both"/>
        <w:rPr>
          <w:rFonts w:ascii="Times New Roman" w:eastAsia="Calibri" w:hAnsi="Times New Roman" w:cs="Times New Roman"/>
          <w:sz w:val="28"/>
          <w:szCs w:val="28"/>
          <w:lang w:eastAsia="en-US"/>
        </w:rPr>
      </w:pPr>
    </w:p>
    <w:p w:rsidR="00674A6B" w:rsidRPr="00674A6B" w:rsidP="00674A6B" w14:paraId="396F96B9" w14:textId="77777777">
      <w:pPr>
        <w:spacing w:after="0" w:line="240" w:lineRule="auto"/>
        <w:ind w:firstLine="567"/>
        <w:jc w:val="both"/>
        <w:rPr>
          <w:rFonts w:ascii="Times New Roman" w:eastAsia="Calibri" w:hAnsi="Times New Roman" w:cs="Times New Roman"/>
          <w:sz w:val="28"/>
          <w:szCs w:val="28"/>
          <w:lang w:eastAsia="en-US"/>
        </w:rPr>
      </w:pPr>
    </w:p>
    <w:p w:rsidR="00674A6B" w:rsidRPr="00674A6B" w:rsidP="00674A6B" w14:paraId="08F5FD7E" w14:textId="77777777">
      <w:pPr>
        <w:spacing w:after="0" w:line="240" w:lineRule="auto"/>
        <w:ind w:firstLine="567"/>
        <w:jc w:val="both"/>
        <w:rPr>
          <w:rFonts w:ascii="Times New Roman" w:eastAsia="Calibri" w:hAnsi="Times New Roman" w:cs="Times New Roman"/>
          <w:sz w:val="28"/>
          <w:szCs w:val="28"/>
          <w:lang w:eastAsia="en-US"/>
        </w:rPr>
      </w:pPr>
    </w:p>
    <w:p w:rsidR="00674A6B" w:rsidRPr="00674A6B" w:rsidP="00674A6B" w14:paraId="600A8CC9" w14:textId="77777777">
      <w:pPr>
        <w:spacing w:after="0" w:line="240" w:lineRule="auto"/>
        <w:ind w:firstLine="567"/>
        <w:jc w:val="both"/>
        <w:rPr>
          <w:rFonts w:ascii="Times New Roman" w:eastAsia="Calibri" w:hAnsi="Times New Roman" w:cs="Times New Roman"/>
          <w:sz w:val="28"/>
          <w:szCs w:val="28"/>
          <w:lang w:val="ru-RU" w:eastAsia="en-US"/>
        </w:rPr>
      </w:pPr>
      <w:r w:rsidRPr="00674A6B">
        <w:rPr>
          <w:rFonts w:ascii="Times New Roman" w:eastAsia="Calibri" w:hAnsi="Times New Roman" w:cs="Times New Roman"/>
          <w:sz w:val="28"/>
          <w:szCs w:val="28"/>
          <w:lang w:val="ru-RU" w:eastAsia="en-US"/>
        </w:rPr>
        <w:t xml:space="preserve">Також в додатку </w:t>
      </w:r>
      <w:r w:rsidRPr="00674A6B">
        <w:rPr>
          <w:rFonts w:ascii="Times New Roman" w:eastAsia="Calibri" w:hAnsi="Times New Roman" w:cs="Times New Roman"/>
          <w:sz w:val="28"/>
          <w:szCs w:val="28"/>
          <w:lang w:val="ru-RU" w:eastAsia="en-US"/>
        </w:rPr>
        <w:t>до</w:t>
      </w:r>
      <w:r w:rsidRPr="00674A6B">
        <w:rPr>
          <w:rFonts w:ascii="Times New Roman" w:eastAsia="Calibri" w:hAnsi="Times New Roman" w:cs="Times New Roman"/>
          <w:sz w:val="28"/>
          <w:szCs w:val="28"/>
          <w:lang w:val="ru-RU" w:eastAsia="en-US"/>
        </w:rPr>
        <w:t xml:space="preserve"> </w:t>
      </w:r>
      <w:r w:rsidRPr="00674A6B">
        <w:rPr>
          <w:rFonts w:ascii="Times New Roman" w:eastAsia="Calibri" w:hAnsi="Times New Roman" w:cs="Times New Roman"/>
          <w:sz w:val="28"/>
          <w:szCs w:val="28"/>
          <w:lang w:val="ru-RU" w:eastAsia="en-US"/>
        </w:rPr>
        <w:t>Стратег</w:t>
      </w:r>
      <w:r w:rsidRPr="00674A6B">
        <w:rPr>
          <w:rFonts w:ascii="Times New Roman" w:eastAsia="Calibri" w:hAnsi="Times New Roman" w:cs="Times New Roman"/>
          <w:sz w:val="28"/>
          <w:szCs w:val="28"/>
          <w:lang w:val="ru-RU" w:eastAsia="en-US"/>
        </w:rPr>
        <w:t>ії передбачені ключові індикативні показники досягнення цілей та виконання завдань в 2025-2027 роках на час дії Стратегії.</w:t>
      </w:r>
    </w:p>
    <w:p w:rsidR="00674A6B" w:rsidRPr="00674A6B" w:rsidP="00674A6B" w14:paraId="0FC7D5D6" w14:textId="77777777">
      <w:pPr>
        <w:spacing w:after="0" w:line="240" w:lineRule="auto"/>
        <w:ind w:firstLine="360"/>
        <w:jc w:val="center"/>
        <w:rPr>
          <w:rFonts w:ascii="Times New Roman" w:eastAsia="Times New Roman" w:hAnsi="Times New Roman" w:cs="Times New Roman"/>
          <w:b/>
          <w:bCs/>
          <w:sz w:val="16"/>
          <w:szCs w:val="16"/>
        </w:rPr>
      </w:pPr>
    </w:p>
    <w:p w:rsidR="00674A6B" w:rsidRPr="00674A6B" w:rsidP="00674A6B" w14:paraId="00632BEB" w14:textId="77777777">
      <w:pPr>
        <w:spacing w:after="0" w:line="240" w:lineRule="auto"/>
        <w:ind w:firstLine="360"/>
        <w:jc w:val="center"/>
        <w:rPr>
          <w:rFonts w:ascii="Times New Roman" w:eastAsia="Times New Roman" w:hAnsi="Times New Roman" w:cs="Times New Roman"/>
          <w:b/>
          <w:bCs/>
          <w:sz w:val="28"/>
          <w:szCs w:val="28"/>
        </w:rPr>
      </w:pPr>
      <w:r w:rsidRPr="00674A6B">
        <w:rPr>
          <w:rFonts w:ascii="Times New Roman" w:eastAsia="Times New Roman" w:hAnsi="Times New Roman" w:cs="Times New Roman"/>
          <w:b/>
          <w:bCs/>
          <w:sz w:val="28"/>
          <w:szCs w:val="28"/>
        </w:rPr>
        <w:t>Реєстр основних соціально-економічних показників</w:t>
      </w:r>
    </w:p>
    <w:p w:rsidR="00674A6B" w:rsidRPr="00674A6B" w:rsidP="00674A6B" w14:paraId="77987A2F" w14:textId="77777777">
      <w:pPr>
        <w:spacing w:after="0" w:line="240" w:lineRule="auto"/>
        <w:ind w:firstLine="360"/>
        <w:jc w:val="center"/>
        <w:rPr>
          <w:rFonts w:ascii="Times New Roman" w:eastAsia="Times New Roman" w:hAnsi="Times New Roman" w:cs="Times New Roman"/>
          <w:b/>
          <w:bCs/>
          <w:sz w:val="28"/>
          <w:szCs w:val="28"/>
        </w:rPr>
      </w:pPr>
      <w:r w:rsidRPr="00674A6B">
        <w:rPr>
          <w:rFonts w:ascii="Times New Roman" w:eastAsia="Times New Roman" w:hAnsi="Times New Roman" w:cs="Times New Roman"/>
          <w:b/>
          <w:bCs/>
          <w:sz w:val="28"/>
          <w:szCs w:val="28"/>
        </w:rPr>
        <w:t xml:space="preserve">Броварської міської територіальної громади </w:t>
      </w:r>
    </w:p>
    <w:tbl>
      <w:tblPr>
        <w:tblW w:w="9360" w:type="dxa"/>
        <w:tblInd w:w="108" w:type="dxa"/>
        <w:tblLayout w:type="fixed"/>
        <w:tblLook w:val="04A0"/>
      </w:tblPr>
      <w:tblGrid>
        <w:gridCol w:w="2977"/>
        <w:gridCol w:w="1134"/>
        <w:gridCol w:w="1419"/>
        <w:gridCol w:w="1276"/>
        <w:gridCol w:w="1277"/>
        <w:gridCol w:w="1277"/>
      </w:tblGrid>
      <w:tr w14:paraId="1443A9B0" w14:textId="77777777" w:rsidTr="00674A6B">
        <w:tblPrEx>
          <w:tblW w:w="9360" w:type="dxa"/>
          <w:tblInd w:w="108" w:type="dxa"/>
          <w:tblLayout w:type="fixed"/>
          <w:tblLook w:val="04A0"/>
        </w:tblPrEx>
        <w:trPr>
          <w:trHeight w:val="945"/>
        </w:trPr>
        <w:tc>
          <w:tcPr>
            <w:tcW w:w="2977"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2F945689"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Найменування показника, одиниця виміру</w:t>
            </w:r>
          </w:p>
        </w:tc>
        <w:tc>
          <w:tcPr>
            <w:tcW w:w="1134" w:type="dxa"/>
            <w:tcBorders>
              <w:top w:val="single" w:sz="4" w:space="0" w:color="auto"/>
              <w:left w:val="nil"/>
              <w:bottom w:val="single" w:sz="4" w:space="0" w:color="auto"/>
              <w:right w:val="single" w:sz="4" w:space="0" w:color="auto"/>
            </w:tcBorders>
            <w:vAlign w:val="center"/>
            <w:hideMark/>
          </w:tcPr>
          <w:p w:rsidR="00674A6B" w:rsidRPr="00674A6B" w:rsidP="00674A6B" w14:paraId="68C8986A"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 xml:space="preserve">2024 </w:t>
            </w:r>
            <w:r w:rsidRPr="00674A6B">
              <w:rPr>
                <w:rFonts w:ascii="Times New Roman" w:eastAsia="Times New Roman" w:hAnsi="Times New Roman" w:cs="Times New Roman"/>
                <w:sz w:val="24"/>
                <w:szCs w:val="24"/>
                <w:lang w:val="ru-RU"/>
              </w:rPr>
              <w:t>р</w:t>
            </w:r>
            <w:r w:rsidRPr="00674A6B">
              <w:rPr>
                <w:rFonts w:ascii="Times New Roman" w:eastAsia="Times New Roman" w:hAnsi="Times New Roman" w:cs="Times New Roman"/>
                <w:sz w:val="24"/>
                <w:szCs w:val="24"/>
                <w:lang w:val="ru-RU"/>
              </w:rPr>
              <w:t>ік (звіт)</w:t>
            </w:r>
          </w:p>
        </w:tc>
        <w:tc>
          <w:tcPr>
            <w:tcW w:w="1418" w:type="dxa"/>
            <w:tcBorders>
              <w:top w:val="single" w:sz="4" w:space="0" w:color="auto"/>
              <w:left w:val="nil"/>
              <w:bottom w:val="single" w:sz="4" w:space="0" w:color="auto"/>
              <w:right w:val="single" w:sz="4" w:space="0" w:color="auto"/>
            </w:tcBorders>
            <w:vAlign w:val="center"/>
            <w:hideMark/>
          </w:tcPr>
          <w:p w:rsidR="00674A6B" w:rsidRPr="00674A6B" w:rsidP="00674A6B" w14:paraId="728C01C2"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 xml:space="preserve">2025 </w:t>
            </w:r>
            <w:r w:rsidRPr="00674A6B">
              <w:rPr>
                <w:rFonts w:ascii="Times New Roman" w:eastAsia="Times New Roman" w:hAnsi="Times New Roman" w:cs="Times New Roman"/>
                <w:sz w:val="24"/>
                <w:szCs w:val="24"/>
                <w:lang w:val="ru-RU"/>
              </w:rPr>
              <w:t>р</w:t>
            </w:r>
            <w:r w:rsidRPr="00674A6B">
              <w:rPr>
                <w:rFonts w:ascii="Times New Roman" w:eastAsia="Times New Roman" w:hAnsi="Times New Roman" w:cs="Times New Roman"/>
                <w:sz w:val="24"/>
                <w:szCs w:val="24"/>
                <w:lang w:val="ru-RU"/>
              </w:rPr>
              <w:t>ік (очікувані)</w:t>
            </w:r>
          </w:p>
        </w:tc>
        <w:tc>
          <w:tcPr>
            <w:tcW w:w="1275" w:type="dxa"/>
            <w:tcBorders>
              <w:top w:val="single" w:sz="4" w:space="0" w:color="auto"/>
              <w:left w:val="nil"/>
              <w:bottom w:val="single" w:sz="4" w:space="0" w:color="auto"/>
              <w:right w:val="single" w:sz="4" w:space="0" w:color="auto"/>
            </w:tcBorders>
            <w:vAlign w:val="center"/>
            <w:hideMark/>
          </w:tcPr>
          <w:p w:rsidR="00674A6B" w:rsidRPr="00674A6B" w:rsidP="00674A6B" w14:paraId="002C54DC"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 xml:space="preserve">2026 </w:t>
            </w:r>
            <w:r w:rsidRPr="00674A6B">
              <w:rPr>
                <w:rFonts w:ascii="Times New Roman" w:eastAsia="Times New Roman" w:hAnsi="Times New Roman" w:cs="Times New Roman"/>
                <w:sz w:val="24"/>
                <w:szCs w:val="24"/>
                <w:lang w:val="ru-RU"/>
              </w:rPr>
              <w:t>р</w:t>
            </w:r>
            <w:r w:rsidRPr="00674A6B">
              <w:rPr>
                <w:rFonts w:ascii="Times New Roman" w:eastAsia="Times New Roman" w:hAnsi="Times New Roman" w:cs="Times New Roman"/>
                <w:sz w:val="24"/>
                <w:szCs w:val="24"/>
                <w:lang w:val="ru-RU"/>
              </w:rPr>
              <w:t>ік (прогноз)</w:t>
            </w:r>
          </w:p>
        </w:tc>
        <w:tc>
          <w:tcPr>
            <w:tcW w:w="1276" w:type="dxa"/>
            <w:tcBorders>
              <w:top w:val="single" w:sz="4" w:space="0" w:color="auto"/>
              <w:left w:val="nil"/>
              <w:bottom w:val="single" w:sz="4" w:space="0" w:color="auto"/>
              <w:right w:val="single" w:sz="4" w:space="0" w:color="auto"/>
            </w:tcBorders>
            <w:vAlign w:val="center"/>
            <w:hideMark/>
          </w:tcPr>
          <w:p w:rsidR="00674A6B" w:rsidRPr="00674A6B" w:rsidP="00674A6B" w14:paraId="3FC02642"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 xml:space="preserve">2027 </w:t>
            </w:r>
            <w:r w:rsidRPr="00674A6B">
              <w:rPr>
                <w:rFonts w:ascii="Times New Roman" w:eastAsia="Times New Roman" w:hAnsi="Times New Roman" w:cs="Times New Roman"/>
                <w:sz w:val="24"/>
                <w:szCs w:val="24"/>
                <w:lang w:val="ru-RU"/>
              </w:rPr>
              <w:t>р</w:t>
            </w:r>
            <w:r w:rsidRPr="00674A6B">
              <w:rPr>
                <w:rFonts w:ascii="Times New Roman" w:eastAsia="Times New Roman" w:hAnsi="Times New Roman" w:cs="Times New Roman"/>
                <w:sz w:val="24"/>
                <w:szCs w:val="24"/>
                <w:lang w:val="ru-RU"/>
              </w:rPr>
              <w:t>ік (прогноз)</w:t>
            </w:r>
          </w:p>
        </w:tc>
        <w:tc>
          <w:tcPr>
            <w:tcW w:w="1276" w:type="dxa"/>
            <w:tcBorders>
              <w:top w:val="single" w:sz="4" w:space="0" w:color="auto"/>
              <w:left w:val="nil"/>
              <w:bottom w:val="single" w:sz="4" w:space="0" w:color="auto"/>
              <w:right w:val="single" w:sz="4" w:space="0" w:color="auto"/>
            </w:tcBorders>
            <w:vAlign w:val="center"/>
            <w:hideMark/>
          </w:tcPr>
          <w:p w:rsidR="00674A6B" w:rsidRPr="00674A6B" w:rsidP="00674A6B" w14:paraId="49887D81"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 xml:space="preserve">2028 </w:t>
            </w:r>
            <w:r w:rsidRPr="00674A6B">
              <w:rPr>
                <w:rFonts w:ascii="Times New Roman" w:eastAsia="Times New Roman" w:hAnsi="Times New Roman" w:cs="Times New Roman"/>
                <w:sz w:val="24"/>
                <w:szCs w:val="24"/>
                <w:lang w:val="ru-RU"/>
              </w:rPr>
              <w:t>р</w:t>
            </w:r>
            <w:r w:rsidRPr="00674A6B">
              <w:rPr>
                <w:rFonts w:ascii="Times New Roman" w:eastAsia="Times New Roman" w:hAnsi="Times New Roman" w:cs="Times New Roman"/>
                <w:sz w:val="24"/>
                <w:szCs w:val="24"/>
                <w:lang w:val="ru-RU"/>
              </w:rPr>
              <w:t>ік (прогноз)</w:t>
            </w:r>
          </w:p>
        </w:tc>
      </w:tr>
      <w:tr w14:paraId="608276F7" w14:textId="77777777" w:rsidTr="00674A6B">
        <w:tblPrEx>
          <w:tblW w:w="9360" w:type="dxa"/>
          <w:tblInd w:w="108" w:type="dxa"/>
          <w:tblLayout w:type="fixed"/>
          <w:tblLook w:val="04A0"/>
        </w:tblPrEx>
        <w:trPr>
          <w:trHeight w:val="714"/>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02D18707"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Чисельність населення (тис. чол.)</w:t>
            </w:r>
          </w:p>
        </w:tc>
        <w:tc>
          <w:tcPr>
            <w:tcW w:w="1134" w:type="dxa"/>
            <w:tcBorders>
              <w:top w:val="nil"/>
              <w:left w:val="nil"/>
              <w:bottom w:val="single" w:sz="4" w:space="0" w:color="auto"/>
              <w:right w:val="single" w:sz="4" w:space="0" w:color="auto"/>
            </w:tcBorders>
            <w:vAlign w:val="center"/>
            <w:hideMark/>
          </w:tcPr>
          <w:p w:rsidR="00674A6B" w:rsidRPr="00674A6B" w:rsidP="00674A6B" w14:paraId="3B35D2F6"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116 664</w:t>
            </w:r>
          </w:p>
        </w:tc>
        <w:tc>
          <w:tcPr>
            <w:tcW w:w="1418" w:type="dxa"/>
            <w:tcBorders>
              <w:top w:val="nil"/>
              <w:left w:val="nil"/>
              <w:bottom w:val="single" w:sz="4" w:space="0" w:color="auto"/>
              <w:right w:val="single" w:sz="4" w:space="0" w:color="auto"/>
            </w:tcBorders>
            <w:vAlign w:val="center"/>
            <w:hideMark/>
          </w:tcPr>
          <w:p w:rsidR="00674A6B" w:rsidRPr="00674A6B" w:rsidP="00674A6B" w14:paraId="1AEB02C9"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116 649</w:t>
            </w:r>
          </w:p>
        </w:tc>
        <w:tc>
          <w:tcPr>
            <w:tcW w:w="1275" w:type="dxa"/>
            <w:tcBorders>
              <w:top w:val="nil"/>
              <w:left w:val="nil"/>
              <w:bottom w:val="single" w:sz="4" w:space="0" w:color="auto"/>
              <w:right w:val="single" w:sz="4" w:space="0" w:color="auto"/>
            </w:tcBorders>
            <w:vAlign w:val="center"/>
            <w:hideMark/>
          </w:tcPr>
          <w:p w:rsidR="00674A6B" w:rsidRPr="00674A6B" w:rsidP="00674A6B" w14:paraId="44D69437"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116 660</w:t>
            </w:r>
          </w:p>
        </w:tc>
        <w:tc>
          <w:tcPr>
            <w:tcW w:w="1276" w:type="dxa"/>
            <w:tcBorders>
              <w:top w:val="nil"/>
              <w:left w:val="nil"/>
              <w:bottom w:val="single" w:sz="4" w:space="0" w:color="auto"/>
              <w:right w:val="single" w:sz="4" w:space="0" w:color="auto"/>
            </w:tcBorders>
            <w:vAlign w:val="center"/>
            <w:hideMark/>
          </w:tcPr>
          <w:p w:rsidR="00674A6B" w:rsidRPr="00674A6B" w:rsidP="00674A6B" w14:paraId="7700C87C"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116 660</w:t>
            </w:r>
          </w:p>
        </w:tc>
        <w:tc>
          <w:tcPr>
            <w:tcW w:w="1276" w:type="dxa"/>
            <w:tcBorders>
              <w:top w:val="nil"/>
              <w:left w:val="nil"/>
              <w:bottom w:val="single" w:sz="4" w:space="0" w:color="auto"/>
              <w:right w:val="single" w:sz="4" w:space="0" w:color="auto"/>
            </w:tcBorders>
            <w:vAlign w:val="center"/>
            <w:hideMark/>
          </w:tcPr>
          <w:p w:rsidR="00674A6B" w:rsidRPr="00674A6B" w:rsidP="00674A6B" w14:paraId="74183A53"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116 660</w:t>
            </w:r>
          </w:p>
        </w:tc>
      </w:tr>
      <w:tr w14:paraId="35251EB8" w14:textId="77777777" w:rsidTr="00674A6B">
        <w:tblPrEx>
          <w:tblW w:w="9360" w:type="dxa"/>
          <w:tblInd w:w="108" w:type="dxa"/>
          <w:tblLayout w:type="fixed"/>
          <w:tblLook w:val="04A0"/>
        </w:tblPrEx>
        <w:trPr>
          <w:trHeight w:val="994"/>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081AC277"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внутрішньо переміщених осіб, узятих на облік (осіб)</w:t>
            </w:r>
          </w:p>
        </w:tc>
        <w:tc>
          <w:tcPr>
            <w:tcW w:w="1134" w:type="dxa"/>
            <w:tcBorders>
              <w:top w:val="nil"/>
              <w:left w:val="nil"/>
              <w:bottom w:val="single" w:sz="4" w:space="0" w:color="auto"/>
              <w:right w:val="single" w:sz="4" w:space="0" w:color="auto"/>
            </w:tcBorders>
            <w:vAlign w:val="center"/>
            <w:hideMark/>
          </w:tcPr>
          <w:p w:rsidR="00674A6B" w:rsidRPr="00674A6B" w:rsidP="00674A6B" w14:paraId="05A315D1"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22 097</w:t>
            </w:r>
          </w:p>
        </w:tc>
        <w:tc>
          <w:tcPr>
            <w:tcW w:w="1418" w:type="dxa"/>
            <w:tcBorders>
              <w:top w:val="nil"/>
              <w:left w:val="nil"/>
              <w:bottom w:val="single" w:sz="4" w:space="0" w:color="auto"/>
              <w:right w:val="single" w:sz="4" w:space="0" w:color="auto"/>
            </w:tcBorders>
            <w:vAlign w:val="center"/>
            <w:hideMark/>
          </w:tcPr>
          <w:p w:rsidR="00674A6B" w:rsidRPr="00674A6B" w:rsidP="00674A6B" w14:paraId="5C88AA72"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22 066</w:t>
            </w:r>
          </w:p>
        </w:tc>
        <w:tc>
          <w:tcPr>
            <w:tcW w:w="1275" w:type="dxa"/>
            <w:tcBorders>
              <w:top w:val="nil"/>
              <w:left w:val="nil"/>
              <w:bottom w:val="single" w:sz="4" w:space="0" w:color="auto"/>
              <w:right w:val="single" w:sz="4" w:space="0" w:color="auto"/>
            </w:tcBorders>
            <w:vAlign w:val="center"/>
            <w:hideMark/>
          </w:tcPr>
          <w:p w:rsidR="00674A6B" w:rsidRPr="00674A6B" w:rsidP="00674A6B" w14:paraId="01FFC81C"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22 400</w:t>
            </w:r>
          </w:p>
        </w:tc>
        <w:tc>
          <w:tcPr>
            <w:tcW w:w="1276" w:type="dxa"/>
            <w:tcBorders>
              <w:top w:val="nil"/>
              <w:left w:val="nil"/>
              <w:bottom w:val="single" w:sz="4" w:space="0" w:color="auto"/>
              <w:right w:val="single" w:sz="4" w:space="0" w:color="auto"/>
            </w:tcBorders>
            <w:vAlign w:val="center"/>
            <w:hideMark/>
          </w:tcPr>
          <w:p w:rsidR="00674A6B" w:rsidRPr="00674A6B" w:rsidP="00674A6B" w14:paraId="4CAC94D7"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21 000</w:t>
            </w:r>
          </w:p>
        </w:tc>
        <w:tc>
          <w:tcPr>
            <w:tcW w:w="1276" w:type="dxa"/>
            <w:tcBorders>
              <w:top w:val="nil"/>
              <w:left w:val="nil"/>
              <w:bottom w:val="single" w:sz="4" w:space="0" w:color="auto"/>
              <w:right w:val="single" w:sz="4" w:space="0" w:color="auto"/>
            </w:tcBorders>
            <w:vAlign w:val="center"/>
            <w:hideMark/>
          </w:tcPr>
          <w:p w:rsidR="00674A6B" w:rsidRPr="00674A6B" w:rsidP="00674A6B" w14:paraId="13D6DE91"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20 700</w:t>
            </w:r>
          </w:p>
        </w:tc>
      </w:tr>
      <w:tr w14:paraId="54A16BF7" w14:textId="77777777" w:rsidTr="00674A6B">
        <w:tblPrEx>
          <w:tblW w:w="9360" w:type="dxa"/>
          <w:tblInd w:w="108" w:type="dxa"/>
          <w:tblLayout w:type="fixed"/>
          <w:tblLook w:val="04A0"/>
        </w:tblPrEx>
        <w:trPr>
          <w:trHeight w:val="1880"/>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6C183B9A"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ветеранів війни та членів сімей загиблих Захисників та Захисниць України, охоплених програмою соціальної підтримки (осіб)</w:t>
            </w:r>
          </w:p>
        </w:tc>
        <w:tc>
          <w:tcPr>
            <w:tcW w:w="1134" w:type="dxa"/>
            <w:tcBorders>
              <w:top w:val="nil"/>
              <w:left w:val="nil"/>
              <w:bottom w:val="single" w:sz="4" w:space="0" w:color="auto"/>
              <w:right w:val="single" w:sz="4" w:space="0" w:color="auto"/>
            </w:tcBorders>
            <w:vAlign w:val="center"/>
            <w:hideMark/>
          </w:tcPr>
          <w:p w:rsidR="00674A6B" w:rsidRPr="00674A6B" w:rsidP="00674A6B" w14:paraId="78B37D13"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710</w:t>
            </w:r>
          </w:p>
        </w:tc>
        <w:tc>
          <w:tcPr>
            <w:tcW w:w="1418" w:type="dxa"/>
            <w:tcBorders>
              <w:top w:val="nil"/>
              <w:left w:val="nil"/>
              <w:bottom w:val="single" w:sz="4" w:space="0" w:color="auto"/>
              <w:right w:val="single" w:sz="4" w:space="0" w:color="auto"/>
            </w:tcBorders>
            <w:vAlign w:val="center"/>
            <w:hideMark/>
          </w:tcPr>
          <w:p w:rsidR="00674A6B" w:rsidRPr="00674A6B" w:rsidP="00674A6B" w14:paraId="18D244F4"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1 355</w:t>
            </w:r>
          </w:p>
        </w:tc>
        <w:tc>
          <w:tcPr>
            <w:tcW w:w="1275" w:type="dxa"/>
            <w:tcBorders>
              <w:top w:val="nil"/>
              <w:left w:val="nil"/>
              <w:bottom w:val="single" w:sz="4" w:space="0" w:color="auto"/>
              <w:right w:val="single" w:sz="4" w:space="0" w:color="auto"/>
            </w:tcBorders>
            <w:vAlign w:val="center"/>
            <w:hideMark/>
          </w:tcPr>
          <w:p w:rsidR="00674A6B" w:rsidRPr="00674A6B" w:rsidP="00674A6B" w14:paraId="55AC12A4"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1 370</w:t>
            </w:r>
          </w:p>
        </w:tc>
        <w:tc>
          <w:tcPr>
            <w:tcW w:w="1276" w:type="dxa"/>
            <w:tcBorders>
              <w:top w:val="nil"/>
              <w:left w:val="nil"/>
              <w:bottom w:val="single" w:sz="4" w:space="0" w:color="auto"/>
              <w:right w:val="single" w:sz="4" w:space="0" w:color="auto"/>
            </w:tcBorders>
            <w:vAlign w:val="center"/>
            <w:hideMark/>
          </w:tcPr>
          <w:p w:rsidR="00674A6B" w:rsidRPr="00674A6B" w:rsidP="00674A6B" w14:paraId="4553FACA"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1 445</w:t>
            </w:r>
          </w:p>
        </w:tc>
        <w:tc>
          <w:tcPr>
            <w:tcW w:w="1276" w:type="dxa"/>
            <w:tcBorders>
              <w:top w:val="nil"/>
              <w:left w:val="nil"/>
              <w:bottom w:val="single" w:sz="4" w:space="0" w:color="auto"/>
              <w:right w:val="single" w:sz="4" w:space="0" w:color="auto"/>
            </w:tcBorders>
            <w:vAlign w:val="center"/>
            <w:hideMark/>
          </w:tcPr>
          <w:p w:rsidR="00674A6B" w:rsidRPr="00674A6B" w:rsidP="00674A6B" w14:paraId="41C8EFB9"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1 470</w:t>
            </w:r>
          </w:p>
        </w:tc>
      </w:tr>
      <w:tr w14:paraId="35819D51" w14:textId="77777777" w:rsidTr="00674A6B">
        <w:tblPrEx>
          <w:tblW w:w="9360" w:type="dxa"/>
          <w:tblInd w:w="108" w:type="dxa"/>
          <w:tblLayout w:type="fixed"/>
          <w:tblLook w:val="04A0"/>
        </w:tblPrEx>
        <w:trPr>
          <w:trHeight w:val="945"/>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4FB7C1D0"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закладів дошкільної освіти в громаді (од.)</w:t>
            </w:r>
          </w:p>
        </w:tc>
        <w:tc>
          <w:tcPr>
            <w:tcW w:w="1134" w:type="dxa"/>
            <w:tcBorders>
              <w:top w:val="nil"/>
              <w:left w:val="nil"/>
              <w:bottom w:val="single" w:sz="4" w:space="0" w:color="auto"/>
              <w:right w:val="single" w:sz="4" w:space="0" w:color="auto"/>
            </w:tcBorders>
            <w:vAlign w:val="center"/>
            <w:hideMark/>
          </w:tcPr>
          <w:p w:rsidR="00674A6B" w:rsidRPr="00674A6B" w:rsidP="00674A6B" w14:paraId="579335A8"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32</w:t>
            </w:r>
          </w:p>
        </w:tc>
        <w:tc>
          <w:tcPr>
            <w:tcW w:w="1418" w:type="dxa"/>
            <w:tcBorders>
              <w:top w:val="nil"/>
              <w:left w:val="nil"/>
              <w:bottom w:val="single" w:sz="4" w:space="0" w:color="auto"/>
              <w:right w:val="single" w:sz="4" w:space="0" w:color="auto"/>
            </w:tcBorders>
            <w:vAlign w:val="center"/>
            <w:hideMark/>
          </w:tcPr>
          <w:p w:rsidR="00674A6B" w:rsidRPr="00674A6B" w:rsidP="00674A6B" w14:paraId="457E59DA"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32</w:t>
            </w:r>
          </w:p>
        </w:tc>
        <w:tc>
          <w:tcPr>
            <w:tcW w:w="1275" w:type="dxa"/>
            <w:tcBorders>
              <w:top w:val="nil"/>
              <w:left w:val="nil"/>
              <w:bottom w:val="single" w:sz="4" w:space="0" w:color="auto"/>
              <w:right w:val="single" w:sz="4" w:space="0" w:color="auto"/>
            </w:tcBorders>
            <w:vAlign w:val="center"/>
            <w:hideMark/>
          </w:tcPr>
          <w:p w:rsidR="00674A6B" w:rsidRPr="00674A6B" w:rsidP="00674A6B" w14:paraId="1B49E8A6"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32</w:t>
            </w:r>
          </w:p>
        </w:tc>
        <w:tc>
          <w:tcPr>
            <w:tcW w:w="1276" w:type="dxa"/>
            <w:tcBorders>
              <w:top w:val="nil"/>
              <w:left w:val="nil"/>
              <w:bottom w:val="single" w:sz="4" w:space="0" w:color="auto"/>
              <w:right w:val="single" w:sz="4" w:space="0" w:color="auto"/>
            </w:tcBorders>
            <w:vAlign w:val="center"/>
            <w:hideMark/>
          </w:tcPr>
          <w:p w:rsidR="00674A6B" w:rsidRPr="00674A6B" w:rsidP="00674A6B" w14:paraId="7D6EE3B8"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33</w:t>
            </w:r>
          </w:p>
        </w:tc>
        <w:tc>
          <w:tcPr>
            <w:tcW w:w="1276" w:type="dxa"/>
            <w:tcBorders>
              <w:top w:val="nil"/>
              <w:left w:val="nil"/>
              <w:bottom w:val="single" w:sz="4" w:space="0" w:color="auto"/>
              <w:right w:val="single" w:sz="4" w:space="0" w:color="auto"/>
            </w:tcBorders>
            <w:vAlign w:val="center"/>
            <w:hideMark/>
          </w:tcPr>
          <w:p w:rsidR="00674A6B" w:rsidRPr="00674A6B" w:rsidP="00674A6B" w14:paraId="22230B9F"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33</w:t>
            </w:r>
          </w:p>
        </w:tc>
      </w:tr>
      <w:tr w14:paraId="68590FB9" w14:textId="77777777" w:rsidTr="00674A6B">
        <w:tblPrEx>
          <w:tblW w:w="9360" w:type="dxa"/>
          <w:tblInd w:w="108" w:type="dxa"/>
          <w:tblLayout w:type="fixed"/>
          <w:tblLook w:val="04A0"/>
        </w:tblPrEx>
        <w:trPr>
          <w:trHeight w:val="1007"/>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487CFC00"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закладів загальної середньої освіти в громаді (од.)</w:t>
            </w:r>
          </w:p>
        </w:tc>
        <w:tc>
          <w:tcPr>
            <w:tcW w:w="1134" w:type="dxa"/>
            <w:tcBorders>
              <w:top w:val="nil"/>
              <w:left w:val="nil"/>
              <w:bottom w:val="single" w:sz="4" w:space="0" w:color="auto"/>
              <w:right w:val="single" w:sz="4" w:space="0" w:color="auto"/>
            </w:tcBorders>
            <w:vAlign w:val="center"/>
            <w:hideMark/>
          </w:tcPr>
          <w:p w:rsidR="00674A6B" w:rsidRPr="00674A6B" w:rsidP="00674A6B" w14:paraId="7DDC6217"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19</w:t>
            </w:r>
          </w:p>
        </w:tc>
        <w:tc>
          <w:tcPr>
            <w:tcW w:w="1418" w:type="dxa"/>
            <w:tcBorders>
              <w:top w:val="nil"/>
              <w:left w:val="nil"/>
              <w:bottom w:val="single" w:sz="4" w:space="0" w:color="auto"/>
              <w:right w:val="single" w:sz="4" w:space="0" w:color="auto"/>
            </w:tcBorders>
            <w:vAlign w:val="center"/>
            <w:hideMark/>
          </w:tcPr>
          <w:p w:rsidR="00674A6B" w:rsidRPr="00674A6B" w:rsidP="00674A6B" w14:paraId="0AAC013F"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19</w:t>
            </w:r>
          </w:p>
        </w:tc>
        <w:tc>
          <w:tcPr>
            <w:tcW w:w="1275" w:type="dxa"/>
            <w:tcBorders>
              <w:top w:val="nil"/>
              <w:left w:val="nil"/>
              <w:bottom w:val="single" w:sz="4" w:space="0" w:color="auto"/>
              <w:right w:val="single" w:sz="4" w:space="0" w:color="auto"/>
            </w:tcBorders>
            <w:vAlign w:val="center"/>
            <w:hideMark/>
          </w:tcPr>
          <w:p w:rsidR="00674A6B" w:rsidRPr="00674A6B" w:rsidP="00674A6B" w14:paraId="03B88F27"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20</w:t>
            </w:r>
          </w:p>
        </w:tc>
        <w:tc>
          <w:tcPr>
            <w:tcW w:w="1276" w:type="dxa"/>
            <w:tcBorders>
              <w:top w:val="nil"/>
              <w:left w:val="nil"/>
              <w:bottom w:val="single" w:sz="4" w:space="0" w:color="auto"/>
              <w:right w:val="single" w:sz="4" w:space="0" w:color="auto"/>
            </w:tcBorders>
            <w:vAlign w:val="center"/>
            <w:hideMark/>
          </w:tcPr>
          <w:p w:rsidR="00674A6B" w:rsidRPr="00674A6B" w:rsidP="00674A6B" w14:paraId="5A5886A9"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20</w:t>
            </w:r>
          </w:p>
        </w:tc>
        <w:tc>
          <w:tcPr>
            <w:tcW w:w="1276" w:type="dxa"/>
            <w:tcBorders>
              <w:top w:val="nil"/>
              <w:left w:val="nil"/>
              <w:bottom w:val="single" w:sz="4" w:space="0" w:color="auto"/>
              <w:right w:val="single" w:sz="4" w:space="0" w:color="auto"/>
            </w:tcBorders>
            <w:vAlign w:val="center"/>
            <w:hideMark/>
          </w:tcPr>
          <w:p w:rsidR="00674A6B" w:rsidRPr="00674A6B" w:rsidP="00674A6B" w14:paraId="1132E3C7"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20</w:t>
            </w:r>
          </w:p>
        </w:tc>
      </w:tr>
      <w:tr w14:paraId="7D3B9A1C" w14:textId="77777777" w:rsidTr="00674A6B">
        <w:tblPrEx>
          <w:tblW w:w="9360" w:type="dxa"/>
          <w:tblInd w:w="108" w:type="dxa"/>
          <w:tblLayout w:type="fixed"/>
          <w:tblLook w:val="04A0"/>
        </w:tblPrEx>
        <w:trPr>
          <w:trHeight w:val="1830"/>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3BBD2285"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Частка закладів дошкільної освіти, у яких створено безпечні умови для навчання та праці (облаштовані укриттями) (%)</w:t>
            </w:r>
          </w:p>
        </w:tc>
        <w:tc>
          <w:tcPr>
            <w:tcW w:w="1134" w:type="dxa"/>
            <w:tcBorders>
              <w:top w:val="nil"/>
              <w:left w:val="nil"/>
              <w:bottom w:val="single" w:sz="4" w:space="0" w:color="auto"/>
              <w:right w:val="single" w:sz="4" w:space="0" w:color="auto"/>
            </w:tcBorders>
            <w:vAlign w:val="center"/>
            <w:hideMark/>
          </w:tcPr>
          <w:p w:rsidR="00674A6B" w:rsidRPr="00674A6B" w:rsidP="00674A6B" w14:paraId="61E21AE3"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100</w:t>
            </w:r>
          </w:p>
        </w:tc>
        <w:tc>
          <w:tcPr>
            <w:tcW w:w="1418" w:type="dxa"/>
            <w:tcBorders>
              <w:top w:val="nil"/>
              <w:left w:val="nil"/>
              <w:bottom w:val="single" w:sz="4" w:space="0" w:color="auto"/>
              <w:right w:val="single" w:sz="4" w:space="0" w:color="auto"/>
            </w:tcBorders>
            <w:vAlign w:val="center"/>
            <w:hideMark/>
          </w:tcPr>
          <w:p w:rsidR="00674A6B" w:rsidRPr="00674A6B" w:rsidP="00674A6B" w14:paraId="3A2E56C0"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100</w:t>
            </w:r>
          </w:p>
        </w:tc>
        <w:tc>
          <w:tcPr>
            <w:tcW w:w="1275" w:type="dxa"/>
            <w:tcBorders>
              <w:top w:val="nil"/>
              <w:left w:val="nil"/>
              <w:bottom w:val="single" w:sz="4" w:space="0" w:color="auto"/>
              <w:right w:val="single" w:sz="4" w:space="0" w:color="auto"/>
            </w:tcBorders>
            <w:vAlign w:val="center"/>
            <w:hideMark/>
          </w:tcPr>
          <w:p w:rsidR="00674A6B" w:rsidRPr="00674A6B" w:rsidP="00674A6B" w14:paraId="1EC2C6E3"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100</w:t>
            </w:r>
          </w:p>
        </w:tc>
        <w:tc>
          <w:tcPr>
            <w:tcW w:w="1276" w:type="dxa"/>
            <w:tcBorders>
              <w:top w:val="nil"/>
              <w:left w:val="nil"/>
              <w:bottom w:val="single" w:sz="4" w:space="0" w:color="auto"/>
              <w:right w:val="single" w:sz="4" w:space="0" w:color="auto"/>
            </w:tcBorders>
            <w:vAlign w:val="center"/>
            <w:hideMark/>
          </w:tcPr>
          <w:p w:rsidR="00674A6B" w:rsidRPr="00674A6B" w:rsidP="00674A6B" w14:paraId="3154C2B7"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100</w:t>
            </w:r>
          </w:p>
        </w:tc>
        <w:tc>
          <w:tcPr>
            <w:tcW w:w="1276" w:type="dxa"/>
            <w:tcBorders>
              <w:top w:val="nil"/>
              <w:left w:val="nil"/>
              <w:bottom w:val="single" w:sz="4" w:space="0" w:color="auto"/>
              <w:right w:val="single" w:sz="4" w:space="0" w:color="auto"/>
            </w:tcBorders>
            <w:vAlign w:val="center"/>
            <w:hideMark/>
          </w:tcPr>
          <w:p w:rsidR="00674A6B" w:rsidRPr="00674A6B" w:rsidP="00674A6B" w14:paraId="1BBEAE90"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100</w:t>
            </w:r>
          </w:p>
        </w:tc>
      </w:tr>
      <w:tr w14:paraId="16690148" w14:textId="77777777" w:rsidTr="00674A6B">
        <w:tblPrEx>
          <w:tblW w:w="9360" w:type="dxa"/>
          <w:tblInd w:w="108" w:type="dxa"/>
          <w:tblLayout w:type="fixed"/>
          <w:tblLook w:val="04A0"/>
        </w:tblPrEx>
        <w:trPr>
          <w:trHeight w:val="1714"/>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72940F2B"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Частка закладів загальної середньої освіти, у яких створено безпечні умови для навчання та праці (облаштовані укриттями) (%)</w:t>
            </w:r>
          </w:p>
        </w:tc>
        <w:tc>
          <w:tcPr>
            <w:tcW w:w="1134" w:type="dxa"/>
            <w:tcBorders>
              <w:top w:val="nil"/>
              <w:left w:val="nil"/>
              <w:bottom w:val="single" w:sz="4" w:space="0" w:color="auto"/>
              <w:right w:val="single" w:sz="4" w:space="0" w:color="auto"/>
            </w:tcBorders>
            <w:vAlign w:val="center"/>
            <w:hideMark/>
          </w:tcPr>
          <w:p w:rsidR="00674A6B" w:rsidRPr="00674A6B" w:rsidP="00674A6B" w14:paraId="3516CD26"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100</w:t>
            </w:r>
          </w:p>
        </w:tc>
        <w:tc>
          <w:tcPr>
            <w:tcW w:w="1418" w:type="dxa"/>
            <w:tcBorders>
              <w:top w:val="nil"/>
              <w:left w:val="nil"/>
              <w:bottom w:val="single" w:sz="4" w:space="0" w:color="auto"/>
              <w:right w:val="single" w:sz="4" w:space="0" w:color="auto"/>
            </w:tcBorders>
            <w:vAlign w:val="center"/>
            <w:hideMark/>
          </w:tcPr>
          <w:p w:rsidR="00674A6B" w:rsidRPr="00674A6B" w:rsidP="00674A6B" w14:paraId="46C8ED44"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100</w:t>
            </w:r>
          </w:p>
        </w:tc>
        <w:tc>
          <w:tcPr>
            <w:tcW w:w="1275" w:type="dxa"/>
            <w:tcBorders>
              <w:top w:val="nil"/>
              <w:left w:val="nil"/>
              <w:bottom w:val="single" w:sz="4" w:space="0" w:color="auto"/>
              <w:right w:val="single" w:sz="4" w:space="0" w:color="auto"/>
            </w:tcBorders>
            <w:vAlign w:val="center"/>
            <w:hideMark/>
          </w:tcPr>
          <w:p w:rsidR="00674A6B" w:rsidRPr="00674A6B" w:rsidP="00674A6B" w14:paraId="254327F7"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100</w:t>
            </w:r>
          </w:p>
        </w:tc>
        <w:tc>
          <w:tcPr>
            <w:tcW w:w="1276" w:type="dxa"/>
            <w:tcBorders>
              <w:top w:val="nil"/>
              <w:left w:val="nil"/>
              <w:bottom w:val="single" w:sz="4" w:space="0" w:color="auto"/>
              <w:right w:val="single" w:sz="4" w:space="0" w:color="auto"/>
            </w:tcBorders>
            <w:vAlign w:val="center"/>
            <w:hideMark/>
          </w:tcPr>
          <w:p w:rsidR="00674A6B" w:rsidRPr="00674A6B" w:rsidP="00674A6B" w14:paraId="1C60F58A"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100</w:t>
            </w:r>
          </w:p>
        </w:tc>
        <w:tc>
          <w:tcPr>
            <w:tcW w:w="1276" w:type="dxa"/>
            <w:tcBorders>
              <w:top w:val="nil"/>
              <w:left w:val="nil"/>
              <w:bottom w:val="single" w:sz="4" w:space="0" w:color="auto"/>
              <w:right w:val="single" w:sz="4" w:space="0" w:color="auto"/>
            </w:tcBorders>
            <w:vAlign w:val="center"/>
            <w:hideMark/>
          </w:tcPr>
          <w:p w:rsidR="00674A6B" w:rsidRPr="00674A6B" w:rsidP="00674A6B" w14:paraId="4EB87B8F"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100</w:t>
            </w:r>
          </w:p>
        </w:tc>
      </w:tr>
      <w:tr w14:paraId="4E909CF9" w14:textId="77777777" w:rsidTr="00674A6B">
        <w:tblPrEx>
          <w:tblW w:w="9360" w:type="dxa"/>
          <w:tblInd w:w="108" w:type="dxa"/>
          <w:tblLayout w:type="fixed"/>
          <w:tblLook w:val="04A0"/>
        </w:tblPrEx>
        <w:trPr>
          <w:trHeight w:val="833"/>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5562E2F3"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здобувачів позашкільної освіти (осіб)</w:t>
            </w:r>
          </w:p>
        </w:tc>
        <w:tc>
          <w:tcPr>
            <w:tcW w:w="1134" w:type="dxa"/>
            <w:tcBorders>
              <w:top w:val="nil"/>
              <w:left w:val="nil"/>
              <w:bottom w:val="single" w:sz="4" w:space="0" w:color="auto"/>
              <w:right w:val="single" w:sz="4" w:space="0" w:color="auto"/>
            </w:tcBorders>
            <w:vAlign w:val="center"/>
            <w:hideMark/>
          </w:tcPr>
          <w:p w:rsidR="00674A6B" w:rsidRPr="00674A6B" w:rsidP="00674A6B" w14:paraId="4DA95C2B"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6 626</w:t>
            </w:r>
          </w:p>
        </w:tc>
        <w:tc>
          <w:tcPr>
            <w:tcW w:w="1418" w:type="dxa"/>
            <w:tcBorders>
              <w:top w:val="nil"/>
              <w:left w:val="nil"/>
              <w:bottom w:val="single" w:sz="4" w:space="0" w:color="auto"/>
              <w:right w:val="single" w:sz="4" w:space="0" w:color="auto"/>
            </w:tcBorders>
            <w:vAlign w:val="center"/>
            <w:hideMark/>
          </w:tcPr>
          <w:p w:rsidR="00674A6B" w:rsidRPr="00674A6B" w:rsidP="00674A6B" w14:paraId="7541B9EE"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6 626</w:t>
            </w:r>
          </w:p>
        </w:tc>
        <w:tc>
          <w:tcPr>
            <w:tcW w:w="1275" w:type="dxa"/>
            <w:tcBorders>
              <w:top w:val="nil"/>
              <w:left w:val="nil"/>
              <w:bottom w:val="single" w:sz="4" w:space="0" w:color="auto"/>
              <w:right w:val="single" w:sz="4" w:space="0" w:color="auto"/>
            </w:tcBorders>
            <w:vAlign w:val="center"/>
            <w:hideMark/>
          </w:tcPr>
          <w:p w:rsidR="00674A6B" w:rsidRPr="00674A6B" w:rsidP="00674A6B" w14:paraId="7586D745"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6 700</w:t>
            </w:r>
          </w:p>
        </w:tc>
        <w:tc>
          <w:tcPr>
            <w:tcW w:w="1276" w:type="dxa"/>
            <w:tcBorders>
              <w:top w:val="nil"/>
              <w:left w:val="nil"/>
              <w:bottom w:val="single" w:sz="4" w:space="0" w:color="auto"/>
              <w:right w:val="single" w:sz="4" w:space="0" w:color="auto"/>
            </w:tcBorders>
            <w:vAlign w:val="center"/>
            <w:hideMark/>
          </w:tcPr>
          <w:p w:rsidR="00674A6B" w:rsidRPr="00674A6B" w:rsidP="00674A6B" w14:paraId="50FD5CFD"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7 000</w:t>
            </w:r>
          </w:p>
        </w:tc>
        <w:tc>
          <w:tcPr>
            <w:tcW w:w="1276" w:type="dxa"/>
            <w:tcBorders>
              <w:top w:val="nil"/>
              <w:left w:val="nil"/>
              <w:bottom w:val="single" w:sz="4" w:space="0" w:color="auto"/>
              <w:right w:val="single" w:sz="4" w:space="0" w:color="auto"/>
            </w:tcBorders>
            <w:vAlign w:val="center"/>
            <w:hideMark/>
          </w:tcPr>
          <w:p w:rsidR="00674A6B" w:rsidRPr="00674A6B" w:rsidP="00674A6B" w14:paraId="22E5378B"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7 100</w:t>
            </w:r>
          </w:p>
        </w:tc>
      </w:tr>
      <w:tr w14:paraId="7FF52725" w14:textId="77777777" w:rsidTr="00674A6B">
        <w:tblPrEx>
          <w:tblW w:w="9360" w:type="dxa"/>
          <w:tblInd w:w="108" w:type="dxa"/>
          <w:tblLayout w:type="fixed"/>
          <w:tblLook w:val="04A0"/>
        </w:tblPrEx>
        <w:trPr>
          <w:trHeight w:val="844"/>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1CE2CF41"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у закладах освіти інклюзивних класів (од.)</w:t>
            </w:r>
          </w:p>
        </w:tc>
        <w:tc>
          <w:tcPr>
            <w:tcW w:w="1134" w:type="dxa"/>
            <w:tcBorders>
              <w:top w:val="nil"/>
              <w:left w:val="nil"/>
              <w:bottom w:val="single" w:sz="4" w:space="0" w:color="auto"/>
              <w:right w:val="single" w:sz="4" w:space="0" w:color="auto"/>
            </w:tcBorders>
            <w:vAlign w:val="center"/>
            <w:hideMark/>
          </w:tcPr>
          <w:p w:rsidR="00674A6B" w:rsidRPr="00674A6B" w:rsidP="00674A6B" w14:paraId="4435BF70"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186</w:t>
            </w:r>
          </w:p>
        </w:tc>
        <w:tc>
          <w:tcPr>
            <w:tcW w:w="1418" w:type="dxa"/>
            <w:tcBorders>
              <w:top w:val="nil"/>
              <w:left w:val="nil"/>
              <w:bottom w:val="single" w:sz="4" w:space="0" w:color="auto"/>
              <w:right w:val="single" w:sz="4" w:space="0" w:color="auto"/>
            </w:tcBorders>
            <w:vAlign w:val="center"/>
            <w:hideMark/>
          </w:tcPr>
          <w:p w:rsidR="00674A6B" w:rsidRPr="00674A6B" w:rsidP="00674A6B" w14:paraId="5CFE08D2"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186</w:t>
            </w:r>
          </w:p>
        </w:tc>
        <w:tc>
          <w:tcPr>
            <w:tcW w:w="1275" w:type="dxa"/>
            <w:tcBorders>
              <w:top w:val="nil"/>
              <w:left w:val="nil"/>
              <w:bottom w:val="single" w:sz="4" w:space="0" w:color="auto"/>
              <w:right w:val="single" w:sz="4" w:space="0" w:color="auto"/>
            </w:tcBorders>
            <w:vAlign w:val="center"/>
            <w:hideMark/>
          </w:tcPr>
          <w:p w:rsidR="00674A6B" w:rsidRPr="00674A6B" w:rsidP="00674A6B" w14:paraId="18A55807"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188</w:t>
            </w:r>
          </w:p>
        </w:tc>
        <w:tc>
          <w:tcPr>
            <w:tcW w:w="1276" w:type="dxa"/>
            <w:tcBorders>
              <w:top w:val="nil"/>
              <w:left w:val="nil"/>
              <w:bottom w:val="single" w:sz="4" w:space="0" w:color="auto"/>
              <w:right w:val="single" w:sz="4" w:space="0" w:color="auto"/>
            </w:tcBorders>
            <w:vAlign w:val="center"/>
            <w:hideMark/>
          </w:tcPr>
          <w:p w:rsidR="00674A6B" w:rsidRPr="00674A6B" w:rsidP="00674A6B" w14:paraId="1A2EC210"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200</w:t>
            </w:r>
          </w:p>
        </w:tc>
        <w:tc>
          <w:tcPr>
            <w:tcW w:w="1276" w:type="dxa"/>
            <w:tcBorders>
              <w:top w:val="nil"/>
              <w:left w:val="nil"/>
              <w:bottom w:val="single" w:sz="4" w:space="0" w:color="auto"/>
              <w:right w:val="single" w:sz="4" w:space="0" w:color="auto"/>
            </w:tcBorders>
            <w:vAlign w:val="center"/>
            <w:hideMark/>
          </w:tcPr>
          <w:p w:rsidR="00674A6B" w:rsidRPr="00674A6B" w:rsidP="00674A6B" w14:paraId="0ED79829"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200</w:t>
            </w:r>
          </w:p>
        </w:tc>
      </w:tr>
      <w:tr w14:paraId="08D60632" w14:textId="77777777" w:rsidTr="00674A6B">
        <w:tblPrEx>
          <w:tblW w:w="9360" w:type="dxa"/>
          <w:tblInd w:w="108" w:type="dxa"/>
          <w:tblLayout w:type="fixed"/>
          <w:tblLook w:val="04A0"/>
        </w:tblPrEx>
        <w:trPr>
          <w:trHeight w:val="1689"/>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7AEBB6DD"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укладених договорів (декларацій) з лікарями центрів первинної медичної допомоги (од.)</w:t>
            </w:r>
          </w:p>
        </w:tc>
        <w:tc>
          <w:tcPr>
            <w:tcW w:w="1134" w:type="dxa"/>
            <w:tcBorders>
              <w:top w:val="nil"/>
              <w:left w:val="nil"/>
              <w:bottom w:val="single" w:sz="4" w:space="0" w:color="auto"/>
              <w:right w:val="single" w:sz="4" w:space="0" w:color="auto"/>
            </w:tcBorders>
            <w:vAlign w:val="center"/>
            <w:hideMark/>
          </w:tcPr>
          <w:p w:rsidR="00674A6B" w:rsidRPr="00674A6B" w:rsidP="00674A6B" w14:paraId="3FD3493A"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102 398</w:t>
            </w:r>
          </w:p>
        </w:tc>
        <w:tc>
          <w:tcPr>
            <w:tcW w:w="1418" w:type="dxa"/>
            <w:tcBorders>
              <w:top w:val="nil"/>
              <w:left w:val="nil"/>
              <w:bottom w:val="single" w:sz="4" w:space="0" w:color="auto"/>
              <w:right w:val="single" w:sz="4" w:space="0" w:color="auto"/>
            </w:tcBorders>
            <w:vAlign w:val="center"/>
            <w:hideMark/>
          </w:tcPr>
          <w:p w:rsidR="00674A6B" w:rsidRPr="00674A6B" w:rsidP="00674A6B" w14:paraId="27AD032C"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103 683</w:t>
            </w:r>
          </w:p>
        </w:tc>
        <w:tc>
          <w:tcPr>
            <w:tcW w:w="1275" w:type="dxa"/>
            <w:tcBorders>
              <w:top w:val="nil"/>
              <w:left w:val="nil"/>
              <w:bottom w:val="single" w:sz="4" w:space="0" w:color="auto"/>
              <w:right w:val="single" w:sz="4" w:space="0" w:color="auto"/>
            </w:tcBorders>
            <w:vAlign w:val="center"/>
            <w:hideMark/>
          </w:tcPr>
          <w:p w:rsidR="00674A6B" w:rsidRPr="00674A6B" w:rsidP="00674A6B" w14:paraId="335F854E"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102 000</w:t>
            </w:r>
          </w:p>
        </w:tc>
        <w:tc>
          <w:tcPr>
            <w:tcW w:w="1276" w:type="dxa"/>
            <w:tcBorders>
              <w:top w:val="nil"/>
              <w:left w:val="nil"/>
              <w:bottom w:val="single" w:sz="4" w:space="0" w:color="auto"/>
              <w:right w:val="single" w:sz="4" w:space="0" w:color="auto"/>
            </w:tcBorders>
            <w:vAlign w:val="center"/>
            <w:hideMark/>
          </w:tcPr>
          <w:p w:rsidR="00674A6B" w:rsidRPr="00674A6B" w:rsidP="00674A6B" w14:paraId="7289BE66"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102 000</w:t>
            </w:r>
          </w:p>
        </w:tc>
        <w:tc>
          <w:tcPr>
            <w:tcW w:w="1276" w:type="dxa"/>
            <w:tcBorders>
              <w:top w:val="nil"/>
              <w:left w:val="nil"/>
              <w:bottom w:val="single" w:sz="4" w:space="0" w:color="auto"/>
              <w:right w:val="single" w:sz="4" w:space="0" w:color="auto"/>
            </w:tcBorders>
            <w:vAlign w:val="center"/>
            <w:hideMark/>
          </w:tcPr>
          <w:p w:rsidR="00674A6B" w:rsidRPr="00674A6B" w:rsidP="00674A6B" w14:paraId="295A50AF"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10 200</w:t>
            </w:r>
          </w:p>
        </w:tc>
      </w:tr>
      <w:tr w14:paraId="6BD6A4ED" w14:textId="77777777" w:rsidTr="00674A6B">
        <w:tblPrEx>
          <w:tblW w:w="9360" w:type="dxa"/>
          <w:tblInd w:w="108" w:type="dxa"/>
          <w:tblLayout w:type="fixed"/>
          <w:tblLook w:val="04A0"/>
        </w:tblPrEx>
        <w:trPr>
          <w:trHeight w:val="630"/>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15B85D9F"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амбулаторій (од.)</w:t>
            </w:r>
          </w:p>
        </w:tc>
        <w:tc>
          <w:tcPr>
            <w:tcW w:w="1134" w:type="dxa"/>
            <w:tcBorders>
              <w:top w:val="nil"/>
              <w:left w:val="nil"/>
              <w:bottom w:val="single" w:sz="4" w:space="0" w:color="auto"/>
              <w:right w:val="single" w:sz="4" w:space="0" w:color="auto"/>
            </w:tcBorders>
            <w:vAlign w:val="center"/>
            <w:hideMark/>
          </w:tcPr>
          <w:p w:rsidR="00674A6B" w:rsidRPr="00674A6B" w:rsidP="00674A6B" w14:paraId="5CEC4BBE"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9</w:t>
            </w:r>
          </w:p>
        </w:tc>
        <w:tc>
          <w:tcPr>
            <w:tcW w:w="1418" w:type="dxa"/>
            <w:tcBorders>
              <w:top w:val="nil"/>
              <w:left w:val="nil"/>
              <w:bottom w:val="single" w:sz="4" w:space="0" w:color="auto"/>
              <w:right w:val="single" w:sz="4" w:space="0" w:color="auto"/>
            </w:tcBorders>
            <w:vAlign w:val="center"/>
            <w:hideMark/>
          </w:tcPr>
          <w:p w:rsidR="00674A6B" w:rsidRPr="00674A6B" w:rsidP="00674A6B" w14:paraId="70228D97"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9</w:t>
            </w:r>
          </w:p>
        </w:tc>
        <w:tc>
          <w:tcPr>
            <w:tcW w:w="1275" w:type="dxa"/>
            <w:tcBorders>
              <w:top w:val="nil"/>
              <w:left w:val="nil"/>
              <w:bottom w:val="single" w:sz="4" w:space="0" w:color="auto"/>
              <w:right w:val="single" w:sz="4" w:space="0" w:color="auto"/>
            </w:tcBorders>
            <w:vAlign w:val="center"/>
            <w:hideMark/>
          </w:tcPr>
          <w:p w:rsidR="00674A6B" w:rsidRPr="00674A6B" w:rsidP="00674A6B" w14:paraId="789EC453"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w:t>
            </w:r>
          </w:p>
        </w:tc>
        <w:tc>
          <w:tcPr>
            <w:tcW w:w="1276" w:type="dxa"/>
            <w:tcBorders>
              <w:top w:val="nil"/>
              <w:left w:val="nil"/>
              <w:bottom w:val="single" w:sz="4" w:space="0" w:color="auto"/>
              <w:right w:val="single" w:sz="4" w:space="0" w:color="auto"/>
            </w:tcBorders>
            <w:vAlign w:val="center"/>
            <w:hideMark/>
          </w:tcPr>
          <w:p w:rsidR="00674A6B" w:rsidRPr="00674A6B" w:rsidP="00674A6B" w14:paraId="7DDEA8B2"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w:t>
            </w:r>
          </w:p>
        </w:tc>
        <w:tc>
          <w:tcPr>
            <w:tcW w:w="1276" w:type="dxa"/>
            <w:tcBorders>
              <w:top w:val="nil"/>
              <w:left w:val="nil"/>
              <w:bottom w:val="single" w:sz="4" w:space="0" w:color="auto"/>
              <w:right w:val="single" w:sz="4" w:space="0" w:color="auto"/>
            </w:tcBorders>
            <w:vAlign w:val="center"/>
            <w:hideMark/>
          </w:tcPr>
          <w:p w:rsidR="00674A6B" w:rsidRPr="00674A6B" w:rsidP="00674A6B" w14:paraId="61FAC14D"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w:t>
            </w:r>
          </w:p>
        </w:tc>
      </w:tr>
      <w:tr w14:paraId="6FCC8367" w14:textId="77777777" w:rsidTr="00674A6B">
        <w:tblPrEx>
          <w:tblW w:w="9360" w:type="dxa"/>
          <w:tblInd w:w="108" w:type="dxa"/>
          <w:tblLayout w:type="fixed"/>
          <w:tblLook w:val="04A0"/>
        </w:tblPrEx>
        <w:trPr>
          <w:trHeight w:val="1070"/>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2481FEE7"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проведених спортивно-масових заходів (од.)</w:t>
            </w:r>
          </w:p>
        </w:tc>
        <w:tc>
          <w:tcPr>
            <w:tcW w:w="1134" w:type="dxa"/>
            <w:tcBorders>
              <w:top w:val="nil"/>
              <w:left w:val="nil"/>
              <w:bottom w:val="single" w:sz="4" w:space="0" w:color="auto"/>
              <w:right w:val="single" w:sz="4" w:space="0" w:color="auto"/>
            </w:tcBorders>
            <w:vAlign w:val="center"/>
            <w:hideMark/>
          </w:tcPr>
          <w:p w:rsidR="00674A6B" w:rsidRPr="00674A6B" w:rsidP="00674A6B" w14:paraId="2A1C9F7D"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155</w:t>
            </w:r>
          </w:p>
        </w:tc>
        <w:tc>
          <w:tcPr>
            <w:tcW w:w="1418" w:type="dxa"/>
            <w:tcBorders>
              <w:top w:val="nil"/>
              <w:left w:val="nil"/>
              <w:bottom w:val="single" w:sz="4" w:space="0" w:color="auto"/>
              <w:right w:val="single" w:sz="4" w:space="0" w:color="auto"/>
            </w:tcBorders>
            <w:vAlign w:val="center"/>
            <w:hideMark/>
          </w:tcPr>
          <w:p w:rsidR="00674A6B" w:rsidRPr="00674A6B" w:rsidP="00674A6B" w14:paraId="271F4166"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80</w:t>
            </w:r>
          </w:p>
        </w:tc>
        <w:tc>
          <w:tcPr>
            <w:tcW w:w="1275" w:type="dxa"/>
            <w:tcBorders>
              <w:top w:val="nil"/>
              <w:left w:val="nil"/>
              <w:bottom w:val="single" w:sz="4" w:space="0" w:color="auto"/>
              <w:right w:val="single" w:sz="4" w:space="0" w:color="auto"/>
            </w:tcBorders>
            <w:vAlign w:val="center"/>
            <w:hideMark/>
          </w:tcPr>
          <w:p w:rsidR="00674A6B" w:rsidRPr="00674A6B" w:rsidP="00674A6B" w14:paraId="751CA85D"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125</w:t>
            </w:r>
          </w:p>
        </w:tc>
        <w:tc>
          <w:tcPr>
            <w:tcW w:w="1276" w:type="dxa"/>
            <w:tcBorders>
              <w:top w:val="nil"/>
              <w:left w:val="nil"/>
              <w:bottom w:val="single" w:sz="4" w:space="0" w:color="auto"/>
              <w:right w:val="single" w:sz="4" w:space="0" w:color="auto"/>
            </w:tcBorders>
            <w:vAlign w:val="center"/>
            <w:hideMark/>
          </w:tcPr>
          <w:p w:rsidR="00674A6B" w:rsidRPr="00674A6B" w:rsidP="00674A6B" w14:paraId="6773EE78"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130</w:t>
            </w:r>
          </w:p>
        </w:tc>
        <w:tc>
          <w:tcPr>
            <w:tcW w:w="1276" w:type="dxa"/>
            <w:tcBorders>
              <w:top w:val="nil"/>
              <w:left w:val="nil"/>
              <w:bottom w:val="single" w:sz="4" w:space="0" w:color="auto"/>
              <w:right w:val="single" w:sz="4" w:space="0" w:color="auto"/>
            </w:tcBorders>
            <w:vAlign w:val="center"/>
            <w:hideMark/>
          </w:tcPr>
          <w:p w:rsidR="00674A6B" w:rsidRPr="00674A6B" w:rsidP="00674A6B" w14:paraId="65906701"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140</w:t>
            </w:r>
          </w:p>
        </w:tc>
      </w:tr>
      <w:tr w14:paraId="05F775BF" w14:textId="77777777" w:rsidTr="00674A6B">
        <w:tblPrEx>
          <w:tblW w:w="9360" w:type="dxa"/>
          <w:tblInd w:w="108" w:type="dxa"/>
          <w:tblLayout w:type="fixed"/>
          <w:tblLook w:val="04A0"/>
        </w:tblPrEx>
        <w:trPr>
          <w:trHeight w:val="1553"/>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13D9F1CB"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залученого населення до участі в спортивно-масових заходах, в тому числі осіб з інвалідністю (осіб)</w:t>
            </w:r>
          </w:p>
        </w:tc>
        <w:tc>
          <w:tcPr>
            <w:tcW w:w="1134" w:type="dxa"/>
            <w:tcBorders>
              <w:top w:val="nil"/>
              <w:left w:val="nil"/>
              <w:bottom w:val="single" w:sz="4" w:space="0" w:color="auto"/>
              <w:right w:val="single" w:sz="4" w:space="0" w:color="auto"/>
            </w:tcBorders>
            <w:vAlign w:val="center"/>
            <w:hideMark/>
          </w:tcPr>
          <w:p w:rsidR="00674A6B" w:rsidRPr="00674A6B" w:rsidP="00674A6B" w14:paraId="2B1DB776"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5 200</w:t>
            </w:r>
          </w:p>
        </w:tc>
        <w:tc>
          <w:tcPr>
            <w:tcW w:w="1418" w:type="dxa"/>
            <w:tcBorders>
              <w:top w:val="nil"/>
              <w:left w:val="nil"/>
              <w:bottom w:val="single" w:sz="4" w:space="0" w:color="auto"/>
              <w:right w:val="single" w:sz="4" w:space="0" w:color="auto"/>
            </w:tcBorders>
            <w:vAlign w:val="center"/>
            <w:hideMark/>
          </w:tcPr>
          <w:p w:rsidR="00674A6B" w:rsidRPr="00674A6B" w:rsidP="00674A6B" w14:paraId="2E1404FB"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4 800</w:t>
            </w:r>
          </w:p>
        </w:tc>
        <w:tc>
          <w:tcPr>
            <w:tcW w:w="1275" w:type="dxa"/>
            <w:tcBorders>
              <w:top w:val="nil"/>
              <w:left w:val="nil"/>
              <w:bottom w:val="single" w:sz="4" w:space="0" w:color="auto"/>
              <w:right w:val="single" w:sz="4" w:space="0" w:color="auto"/>
            </w:tcBorders>
            <w:vAlign w:val="center"/>
            <w:hideMark/>
          </w:tcPr>
          <w:p w:rsidR="00674A6B" w:rsidRPr="00674A6B" w:rsidP="00674A6B" w14:paraId="510FE63A"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6 300</w:t>
            </w:r>
          </w:p>
        </w:tc>
        <w:tc>
          <w:tcPr>
            <w:tcW w:w="1276" w:type="dxa"/>
            <w:tcBorders>
              <w:top w:val="nil"/>
              <w:left w:val="nil"/>
              <w:bottom w:val="single" w:sz="4" w:space="0" w:color="auto"/>
              <w:right w:val="single" w:sz="4" w:space="0" w:color="auto"/>
            </w:tcBorders>
            <w:vAlign w:val="center"/>
            <w:hideMark/>
          </w:tcPr>
          <w:p w:rsidR="00674A6B" w:rsidRPr="00674A6B" w:rsidP="00674A6B" w14:paraId="6A001F20"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6 500</w:t>
            </w:r>
          </w:p>
        </w:tc>
        <w:tc>
          <w:tcPr>
            <w:tcW w:w="1276" w:type="dxa"/>
            <w:tcBorders>
              <w:top w:val="nil"/>
              <w:left w:val="nil"/>
              <w:bottom w:val="single" w:sz="4" w:space="0" w:color="auto"/>
              <w:right w:val="single" w:sz="4" w:space="0" w:color="auto"/>
            </w:tcBorders>
            <w:vAlign w:val="center"/>
            <w:hideMark/>
          </w:tcPr>
          <w:p w:rsidR="00674A6B" w:rsidRPr="00674A6B" w:rsidP="00674A6B" w14:paraId="21B70996"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6 700</w:t>
            </w:r>
          </w:p>
        </w:tc>
      </w:tr>
      <w:tr w14:paraId="399710EE" w14:textId="77777777" w:rsidTr="00674A6B">
        <w:tblPrEx>
          <w:tblW w:w="9360" w:type="dxa"/>
          <w:tblInd w:w="108" w:type="dxa"/>
          <w:tblLayout w:type="fixed"/>
          <w:tblLook w:val="04A0"/>
        </w:tblPrEx>
        <w:trPr>
          <w:trHeight w:val="824"/>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016CC0FC"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спортивних закладів (обꞌєктів) (од.)</w:t>
            </w:r>
          </w:p>
        </w:tc>
        <w:tc>
          <w:tcPr>
            <w:tcW w:w="1134" w:type="dxa"/>
            <w:tcBorders>
              <w:top w:val="nil"/>
              <w:left w:val="nil"/>
              <w:bottom w:val="single" w:sz="4" w:space="0" w:color="auto"/>
              <w:right w:val="single" w:sz="4" w:space="0" w:color="auto"/>
            </w:tcBorders>
            <w:vAlign w:val="center"/>
            <w:hideMark/>
          </w:tcPr>
          <w:p w:rsidR="00674A6B" w:rsidRPr="00674A6B" w:rsidP="00674A6B" w14:paraId="4434378C"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111</w:t>
            </w:r>
          </w:p>
        </w:tc>
        <w:tc>
          <w:tcPr>
            <w:tcW w:w="1418" w:type="dxa"/>
            <w:tcBorders>
              <w:top w:val="nil"/>
              <w:left w:val="nil"/>
              <w:bottom w:val="single" w:sz="4" w:space="0" w:color="auto"/>
              <w:right w:val="single" w:sz="4" w:space="0" w:color="auto"/>
            </w:tcBorders>
            <w:vAlign w:val="center"/>
            <w:hideMark/>
          </w:tcPr>
          <w:p w:rsidR="00674A6B" w:rsidRPr="00674A6B" w:rsidP="00674A6B" w14:paraId="2243D1F3"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111</w:t>
            </w:r>
          </w:p>
        </w:tc>
        <w:tc>
          <w:tcPr>
            <w:tcW w:w="1275" w:type="dxa"/>
            <w:tcBorders>
              <w:top w:val="nil"/>
              <w:left w:val="nil"/>
              <w:bottom w:val="single" w:sz="4" w:space="0" w:color="auto"/>
              <w:right w:val="single" w:sz="4" w:space="0" w:color="auto"/>
            </w:tcBorders>
            <w:vAlign w:val="center"/>
            <w:hideMark/>
          </w:tcPr>
          <w:p w:rsidR="00674A6B" w:rsidRPr="00674A6B" w:rsidP="00674A6B" w14:paraId="1EDA1F49"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111</w:t>
            </w:r>
          </w:p>
        </w:tc>
        <w:tc>
          <w:tcPr>
            <w:tcW w:w="1276" w:type="dxa"/>
            <w:tcBorders>
              <w:top w:val="nil"/>
              <w:left w:val="nil"/>
              <w:bottom w:val="single" w:sz="4" w:space="0" w:color="auto"/>
              <w:right w:val="single" w:sz="4" w:space="0" w:color="auto"/>
            </w:tcBorders>
            <w:vAlign w:val="center"/>
            <w:hideMark/>
          </w:tcPr>
          <w:p w:rsidR="00674A6B" w:rsidRPr="00674A6B" w:rsidP="00674A6B" w14:paraId="30EEFC5A"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111</w:t>
            </w:r>
          </w:p>
        </w:tc>
        <w:tc>
          <w:tcPr>
            <w:tcW w:w="1276" w:type="dxa"/>
            <w:tcBorders>
              <w:top w:val="nil"/>
              <w:left w:val="nil"/>
              <w:bottom w:val="single" w:sz="4" w:space="0" w:color="auto"/>
              <w:right w:val="single" w:sz="4" w:space="0" w:color="auto"/>
            </w:tcBorders>
            <w:vAlign w:val="center"/>
            <w:hideMark/>
          </w:tcPr>
          <w:p w:rsidR="00674A6B" w:rsidRPr="00674A6B" w:rsidP="00674A6B" w14:paraId="5B53D173"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111</w:t>
            </w:r>
          </w:p>
        </w:tc>
      </w:tr>
      <w:tr w14:paraId="4AD42AAE" w14:textId="77777777" w:rsidTr="00674A6B">
        <w:tblPrEx>
          <w:tblW w:w="9360" w:type="dxa"/>
          <w:tblInd w:w="108" w:type="dxa"/>
          <w:tblLayout w:type="fixed"/>
          <w:tblLook w:val="04A0"/>
        </w:tblPrEx>
        <w:trPr>
          <w:trHeight w:val="992"/>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7371405E"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закладів культури комунальної власності в громаді (од.)</w:t>
            </w:r>
          </w:p>
        </w:tc>
        <w:tc>
          <w:tcPr>
            <w:tcW w:w="1134" w:type="dxa"/>
            <w:tcBorders>
              <w:top w:val="nil"/>
              <w:left w:val="nil"/>
              <w:bottom w:val="single" w:sz="4" w:space="0" w:color="auto"/>
              <w:right w:val="single" w:sz="4" w:space="0" w:color="auto"/>
            </w:tcBorders>
            <w:vAlign w:val="center"/>
            <w:hideMark/>
          </w:tcPr>
          <w:p w:rsidR="00674A6B" w:rsidRPr="00674A6B" w:rsidP="00674A6B" w14:paraId="5ABF420B"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15</w:t>
            </w:r>
          </w:p>
        </w:tc>
        <w:tc>
          <w:tcPr>
            <w:tcW w:w="1418" w:type="dxa"/>
            <w:tcBorders>
              <w:top w:val="nil"/>
              <w:left w:val="nil"/>
              <w:bottom w:val="single" w:sz="4" w:space="0" w:color="auto"/>
              <w:right w:val="single" w:sz="4" w:space="0" w:color="auto"/>
            </w:tcBorders>
            <w:vAlign w:val="center"/>
            <w:hideMark/>
          </w:tcPr>
          <w:p w:rsidR="00674A6B" w:rsidRPr="00674A6B" w:rsidP="00674A6B" w14:paraId="76558F69"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15</w:t>
            </w:r>
          </w:p>
        </w:tc>
        <w:tc>
          <w:tcPr>
            <w:tcW w:w="1275" w:type="dxa"/>
            <w:tcBorders>
              <w:top w:val="nil"/>
              <w:left w:val="nil"/>
              <w:bottom w:val="single" w:sz="4" w:space="0" w:color="auto"/>
              <w:right w:val="single" w:sz="4" w:space="0" w:color="auto"/>
            </w:tcBorders>
            <w:vAlign w:val="center"/>
            <w:hideMark/>
          </w:tcPr>
          <w:p w:rsidR="00674A6B" w:rsidRPr="00674A6B" w:rsidP="00674A6B" w14:paraId="4B6BB32B"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15</w:t>
            </w:r>
          </w:p>
        </w:tc>
        <w:tc>
          <w:tcPr>
            <w:tcW w:w="1276" w:type="dxa"/>
            <w:tcBorders>
              <w:top w:val="nil"/>
              <w:left w:val="nil"/>
              <w:bottom w:val="single" w:sz="4" w:space="0" w:color="auto"/>
              <w:right w:val="single" w:sz="4" w:space="0" w:color="auto"/>
            </w:tcBorders>
            <w:vAlign w:val="center"/>
            <w:hideMark/>
          </w:tcPr>
          <w:p w:rsidR="00674A6B" w:rsidRPr="00674A6B" w:rsidP="00674A6B" w14:paraId="7DC55468"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15</w:t>
            </w:r>
          </w:p>
        </w:tc>
        <w:tc>
          <w:tcPr>
            <w:tcW w:w="1276" w:type="dxa"/>
            <w:tcBorders>
              <w:top w:val="nil"/>
              <w:left w:val="nil"/>
              <w:bottom w:val="single" w:sz="4" w:space="0" w:color="auto"/>
              <w:right w:val="single" w:sz="4" w:space="0" w:color="auto"/>
            </w:tcBorders>
            <w:vAlign w:val="center"/>
            <w:hideMark/>
          </w:tcPr>
          <w:p w:rsidR="00674A6B" w:rsidRPr="00674A6B" w:rsidP="00674A6B" w14:paraId="1644072E"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15</w:t>
            </w:r>
          </w:p>
        </w:tc>
      </w:tr>
      <w:tr w14:paraId="0E526CA8" w14:textId="77777777" w:rsidTr="00674A6B">
        <w:tblPrEx>
          <w:tblW w:w="9360" w:type="dxa"/>
          <w:tblInd w:w="108" w:type="dxa"/>
          <w:tblLayout w:type="fixed"/>
          <w:tblLook w:val="04A0"/>
        </w:tblPrEx>
        <w:trPr>
          <w:trHeight w:val="1120"/>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48762D2D"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дітей, охоплених навчанням у мистецьких, музичних школах (осіб)</w:t>
            </w:r>
          </w:p>
        </w:tc>
        <w:tc>
          <w:tcPr>
            <w:tcW w:w="1134" w:type="dxa"/>
            <w:tcBorders>
              <w:top w:val="nil"/>
              <w:left w:val="nil"/>
              <w:bottom w:val="single" w:sz="4" w:space="0" w:color="auto"/>
              <w:right w:val="single" w:sz="4" w:space="0" w:color="auto"/>
            </w:tcBorders>
            <w:vAlign w:val="center"/>
            <w:hideMark/>
          </w:tcPr>
          <w:p w:rsidR="00674A6B" w:rsidRPr="00674A6B" w:rsidP="00674A6B" w14:paraId="78AFFAA0"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1 140</w:t>
            </w:r>
          </w:p>
        </w:tc>
        <w:tc>
          <w:tcPr>
            <w:tcW w:w="1418" w:type="dxa"/>
            <w:tcBorders>
              <w:top w:val="nil"/>
              <w:left w:val="nil"/>
              <w:bottom w:val="single" w:sz="4" w:space="0" w:color="auto"/>
              <w:right w:val="single" w:sz="4" w:space="0" w:color="auto"/>
            </w:tcBorders>
            <w:vAlign w:val="center"/>
            <w:hideMark/>
          </w:tcPr>
          <w:p w:rsidR="00674A6B" w:rsidRPr="00674A6B" w:rsidP="00674A6B" w14:paraId="122EBFD1"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1 142</w:t>
            </w:r>
          </w:p>
        </w:tc>
        <w:tc>
          <w:tcPr>
            <w:tcW w:w="1275" w:type="dxa"/>
            <w:tcBorders>
              <w:top w:val="nil"/>
              <w:left w:val="nil"/>
              <w:bottom w:val="single" w:sz="4" w:space="0" w:color="auto"/>
              <w:right w:val="single" w:sz="4" w:space="0" w:color="auto"/>
            </w:tcBorders>
            <w:vAlign w:val="center"/>
            <w:hideMark/>
          </w:tcPr>
          <w:p w:rsidR="00674A6B" w:rsidRPr="00674A6B" w:rsidP="00674A6B" w14:paraId="268179C9"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1 150</w:t>
            </w:r>
          </w:p>
        </w:tc>
        <w:tc>
          <w:tcPr>
            <w:tcW w:w="1276" w:type="dxa"/>
            <w:tcBorders>
              <w:top w:val="nil"/>
              <w:left w:val="nil"/>
              <w:bottom w:val="single" w:sz="4" w:space="0" w:color="auto"/>
              <w:right w:val="single" w:sz="4" w:space="0" w:color="auto"/>
            </w:tcBorders>
            <w:vAlign w:val="center"/>
            <w:hideMark/>
          </w:tcPr>
          <w:p w:rsidR="00674A6B" w:rsidRPr="00674A6B" w:rsidP="00674A6B" w14:paraId="5029EB16"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1 160</w:t>
            </w:r>
          </w:p>
        </w:tc>
        <w:tc>
          <w:tcPr>
            <w:tcW w:w="1276" w:type="dxa"/>
            <w:tcBorders>
              <w:top w:val="nil"/>
              <w:left w:val="nil"/>
              <w:bottom w:val="single" w:sz="4" w:space="0" w:color="auto"/>
              <w:right w:val="single" w:sz="4" w:space="0" w:color="auto"/>
            </w:tcBorders>
            <w:vAlign w:val="center"/>
            <w:hideMark/>
          </w:tcPr>
          <w:p w:rsidR="00674A6B" w:rsidRPr="00674A6B" w:rsidP="00674A6B" w14:paraId="732C8760"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1 170</w:t>
            </w:r>
          </w:p>
        </w:tc>
      </w:tr>
      <w:tr w14:paraId="22818B82" w14:textId="77777777" w:rsidTr="00674A6B">
        <w:tblPrEx>
          <w:tblW w:w="9360" w:type="dxa"/>
          <w:tblInd w:w="108" w:type="dxa"/>
          <w:tblLayout w:type="fixed"/>
          <w:tblLook w:val="04A0"/>
        </w:tblPrEx>
        <w:trPr>
          <w:trHeight w:val="630"/>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0B1F2966"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Фонд захисних споруд (од.)</w:t>
            </w:r>
          </w:p>
        </w:tc>
        <w:tc>
          <w:tcPr>
            <w:tcW w:w="1134" w:type="dxa"/>
            <w:tcBorders>
              <w:top w:val="nil"/>
              <w:left w:val="nil"/>
              <w:bottom w:val="single" w:sz="4" w:space="0" w:color="auto"/>
              <w:right w:val="single" w:sz="4" w:space="0" w:color="auto"/>
            </w:tcBorders>
            <w:vAlign w:val="center"/>
            <w:hideMark/>
          </w:tcPr>
          <w:p w:rsidR="00674A6B" w:rsidRPr="00674A6B" w:rsidP="00674A6B" w14:paraId="4583E2A8"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83</w:t>
            </w:r>
          </w:p>
        </w:tc>
        <w:tc>
          <w:tcPr>
            <w:tcW w:w="1418" w:type="dxa"/>
            <w:tcBorders>
              <w:top w:val="nil"/>
              <w:left w:val="nil"/>
              <w:bottom w:val="single" w:sz="4" w:space="0" w:color="auto"/>
              <w:right w:val="single" w:sz="4" w:space="0" w:color="auto"/>
            </w:tcBorders>
            <w:vAlign w:val="center"/>
            <w:hideMark/>
          </w:tcPr>
          <w:p w:rsidR="00674A6B" w:rsidRPr="00674A6B" w:rsidP="00674A6B" w14:paraId="6F9B0E23"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83</w:t>
            </w:r>
          </w:p>
        </w:tc>
        <w:tc>
          <w:tcPr>
            <w:tcW w:w="1275" w:type="dxa"/>
            <w:tcBorders>
              <w:top w:val="nil"/>
              <w:left w:val="nil"/>
              <w:bottom w:val="single" w:sz="4" w:space="0" w:color="auto"/>
              <w:right w:val="single" w:sz="4" w:space="0" w:color="auto"/>
            </w:tcBorders>
            <w:vAlign w:val="center"/>
            <w:hideMark/>
          </w:tcPr>
          <w:p w:rsidR="00674A6B" w:rsidRPr="00674A6B" w:rsidP="00674A6B" w14:paraId="2A7A3D04"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83</w:t>
            </w:r>
          </w:p>
        </w:tc>
        <w:tc>
          <w:tcPr>
            <w:tcW w:w="1276" w:type="dxa"/>
            <w:tcBorders>
              <w:top w:val="nil"/>
              <w:left w:val="nil"/>
              <w:bottom w:val="single" w:sz="4" w:space="0" w:color="auto"/>
              <w:right w:val="single" w:sz="4" w:space="0" w:color="auto"/>
            </w:tcBorders>
            <w:vAlign w:val="center"/>
            <w:hideMark/>
          </w:tcPr>
          <w:p w:rsidR="00674A6B" w:rsidRPr="00674A6B" w:rsidP="00674A6B" w14:paraId="2E83964D"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83</w:t>
            </w:r>
          </w:p>
        </w:tc>
        <w:tc>
          <w:tcPr>
            <w:tcW w:w="1276" w:type="dxa"/>
            <w:tcBorders>
              <w:top w:val="nil"/>
              <w:left w:val="nil"/>
              <w:bottom w:val="single" w:sz="4" w:space="0" w:color="auto"/>
              <w:right w:val="single" w:sz="4" w:space="0" w:color="auto"/>
            </w:tcBorders>
            <w:vAlign w:val="center"/>
            <w:hideMark/>
          </w:tcPr>
          <w:p w:rsidR="00674A6B" w:rsidRPr="00674A6B" w:rsidP="00674A6B" w14:paraId="0929C545"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83</w:t>
            </w:r>
          </w:p>
        </w:tc>
      </w:tr>
      <w:tr w14:paraId="76F74756" w14:textId="77777777" w:rsidTr="00674A6B">
        <w:tblPrEx>
          <w:tblW w:w="9360" w:type="dxa"/>
          <w:tblInd w:w="108" w:type="dxa"/>
          <w:tblLayout w:type="fixed"/>
          <w:tblLook w:val="04A0"/>
        </w:tblPrEx>
        <w:trPr>
          <w:trHeight w:val="762"/>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5ED1D0D8"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поліцейських станцій в громаді  (од.)</w:t>
            </w:r>
          </w:p>
        </w:tc>
        <w:tc>
          <w:tcPr>
            <w:tcW w:w="1134" w:type="dxa"/>
            <w:tcBorders>
              <w:top w:val="nil"/>
              <w:left w:val="nil"/>
              <w:bottom w:val="single" w:sz="4" w:space="0" w:color="auto"/>
              <w:right w:val="single" w:sz="4" w:space="0" w:color="auto"/>
            </w:tcBorders>
            <w:vAlign w:val="center"/>
            <w:hideMark/>
          </w:tcPr>
          <w:p w:rsidR="00674A6B" w:rsidRPr="00674A6B" w:rsidP="00674A6B" w14:paraId="3245C769"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w:t>
            </w:r>
          </w:p>
        </w:tc>
        <w:tc>
          <w:tcPr>
            <w:tcW w:w="1418" w:type="dxa"/>
            <w:tcBorders>
              <w:top w:val="nil"/>
              <w:left w:val="nil"/>
              <w:bottom w:val="single" w:sz="4" w:space="0" w:color="auto"/>
              <w:right w:val="single" w:sz="4" w:space="0" w:color="auto"/>
            </w:tcBorders>
            <w:vAlign w:val="center"/>
            <w:hideMark/>
          </w:tcPr>
          <w:p w:rsidR="00674A6B" w:rsidRPr="00674A6B" w:rsidP="00674A6B" w14:paraId="39FFD1EC"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w:t>
            </w:r>
          </w:p>
        </w:tc>
        <w:tc>
          <w:tcPr>
            <w:tcW w:w="1275" w:type="dxa"/>
            <w:tcBorders>
              <w:top w:val="nil"/>
              <w:left w:val="nil"/>
              <w:bottom w:val="single" w:sz="4" w:space="0" w:color="auto"/>
              <w:right w:val="single" w:sz="4" w:space="0" w:color="auto"/>
            </w:tcBorders>
            <w:vAlign w:val="center"/>
            <w:hideMark/>
          </w:tcPr>
          <w:p w:rsidR="00674A6B" w:rsidRPr="00674A6B" w:rsidP="00674A6B" w14:paraId="26252F37"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w:t>
            </w:r>
          </w:p>
        </w:tc>
        <w:tc>
          <w:tcPr>
            <w:tcW w:w="1276" w:type="dxa"/>
            <w:tcBorders>
              <w:top w:val="nil"/>
              <w:left w:val="nil"/>
              <w:bottom w:val="single" w:sz="4" w:space="0" w:color="auto"/>
              <w:right w:val="single" w:sz="4" w:space="0" w:color="auto"/>
            </w:tcBorders>
            <w:vAlign w:val="center"/>
            <w:hideMark/>
          </w:tcPr>
          <w:p w:rsidR="00674A6B" w:rsidRPr="00674A6B" w:rsidP="00674A6B" w14:paraId="7B911AB5"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w:t>
            </w:r>
          </w:p>
        </w:tc>
        <w:tc>
          <w:tcPr>
            <w:tcW w:w="1276" w:type="dxa"/>
            <w:tcBorders>
              <w:top w:val="nil"/>
              <w:left w:val="nil"/>
              <w:bottom w:val="single" w:sz="4" w:space="0" w:color="auto"/>
              <w:right w:val="single" w:sz="4" w:space="0" w:color="auto"/>
            </w:tcBorders>
            <w:vAlign w:val="center"/>
            <w:hideMark/>
          </w:tcPr>
          <w:p w:rsidR="00674A6B" w:rsidRPr="00674A6B" w:rsidP="00674A6B" w14:paraId="08BA87C5"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3</w:t>
            </w:r>
          </w:p>
        </w:tc>
      </w:tr>
      <w:tr w14:paraId="1B91C719" w14:textId="77777777" w:rsidTr="00674A6B">
        <w:tblPrEx>
          <w:tblW w:w="9360" w:type="dxa"/>
          <w:tblInd w:w="108" w:type="dxa"/>
          <w:tblLayout w:type="fixed"/>
          <w:tblLook w:val="04A0"/>
        </w:tblPrEx>
        <w:trPr>
          <w:trHeight w:val="972"/>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0778A5FB"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підрозділів місцевої/добровільної пожежної охорони (од.)</w:t>
            </w:r>
          </w:p>
        </w:tc>
        <w:tc>
          <w:tcPr>
            <w:tcW w:w="1134" w:type="dxa"/>
            <w:tcBorders>
              <w:top w:val="nil"/>
              <w:left w:val="nil"/>
              <w:bottom w:val="single" w:sz="4" w:space="0" w:color="auto"/>
              <w:right w:val="single" w:sz="4" w:space="0" w:color="auto"/>
            </w:tcBorders>
            <w:vAlign w:val="center"/>
            <w:hideMark/>
          </w:tcPr>
          <w:p w:rsidR="00674A6B" w:rsidRPr="00674A6B" w:rsidP="00674A6B" w14:paraId="3A844BB3"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w:t>
            </w:r>
          </w:p>
        </w:tc>
        <w:tc>
          <w:tcPr>
            <w:tcW w:w="1418" w:type="dxa"/>
            <w:tcBorders>
              <w:top w:val="nil"/>
              <w:left w:val="nil"/>
              <w:bottom w:val="single" w:sz="4" w:space="0" w:color="auto"/>
              <w:right w:val="single" w:sz="4" w:space="0" w:color="auto"/>
            </w:tcBorders>
            <w:vAlign w:val="center"/>
            <w:hideMark/>
          </w:tcPr>
          <w:p w:rsidR="00674A6B" w:rsidRPr="00674A6B" w:rsidP="00674A6B" w14:paraId="0058F0BE"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w:t>
            </w:r>
          </w:p>
        </w:tc>
        <w:tc>
          <w:tcPr>
            <w:tcW w:w="1275" w:type="dxa"/>
            <w:tcBorders>
              <w:top w:val="nil"/>
              <w:left w:val="nil"/>
              <w:bottom w:val="single" w:sz="4" w:space="0" w:color="auto"/>
              <w:right w:val="single" w:sz="4" w:space="0" w:color="auto"/>
            </w:tcBorders>
            <w:vAlign w:val="center"/>
            <w:hideMark/>
          </w:tcPr>
          <w:p w:rsidR="00674A6B" w:rsidRPr="00674A6B" w:rsidP="00674A6B" w14:paraId="6F184CE9"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w:t>
            </w:r>
          </w:p>
        </w:tc>
        <w:tc>
          <w:tcPr>
            <w:tcW w:w="1276" w:type="dxa"/>
            <w:tcBorders>
              <w:top w:val="nil"/>
              <w:left w:val="nil"/>
              <w:bottom w:val="single" w:sz="4" w:space="0" w:color="auto"/>
              <w:right w:val="single" w:sz="4" w:space="0" w:color="auto"/>
            </w:tcBorders>
            <w:vAlign w:val="center"/>
            <w:hideMark/>
          </w:tcPr>
          <w:p w:rsidR="00674A6B" w:rsidRPr="00674A6B" w:rsidP="00674A6B" w14:paraId="124B8714"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w:t>
            </w:r>
          </w:p>
        </w:tc>
        <w:tc>
          <w:tcPr>
            <w:tcW w:w="1276" w:type="dxa"/>
            <w:tcBorders>
              <w:top w:val="nil"/>
              <w:left w:val="nil"/>
              <w:bottom w:val="single" w:sz="4" w:space="0" w:color="auto"/>
              <w:right w:val="single" w:sz="4" w:space="0" w:color="auto"/>
            </w:tcBorders>
            <w:vAlign w:val="center"/>
            <w:hideMark/>
          </w:tcPr>
          <w:p w:rsidR="00674A6B" w:rsidRPr="00674A6B" w:rsidP="00674A6B" w14:paraId="7689B280"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2</w:t>
            </w:r>
          </w:p>
        </w:tc>
      </w:tr>
      <w:tr w14:paraId="6562C33D" w14:textId="77777777" w:rsidTr="00674A6B">
        <w:tblPrEx>
          <w:tblW w:w="9360" w:type="dxa"/>
          <w:tblInd w:w="108" w:type="dxa"/>
          <w:tblLayout w:type="fixed"/>
          <w:tblLook w:val="04A0"/>
        </w:tblPrEx>
        <w:trPr>
          <w:trHeight w:val="1141"/>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428FC174"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навчальних закладів, в яких облаштовано «класи безпеки» (од.)</w:t>
            </w:r>
          </w:p>
        </w:tc>
        <w:tc>
          <w:tcPr>
            <w:tcW w:w="1134" w:type="dxa"/>
            <w:tcBorders>
              <w:top w:val="nil"/>
              <w:left w:val="nil"/>
              <w:bottom w:val="single" w:sz="4" w:space="0" w:color="auto"/>
              <w:right w:val="single" w:sz="4" w:space="0" w:color="auto"/>
            </w:tcBorders>
            <w:vAlign w:val="center"/>
            <w:hideMark/>
          </w:tcPr>
          <w:p w:rsidR="00674A6B" w:rsidRPr="00674A6B" w:rsidP="00674A6B" w14:paraId="1FFD61E6"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6</w:t>
            </w:r>
          </w:p>
        </w:tc>
        <w:tc>
          <w:tcPr>
            <w:tcW w:w="1418" w:type="dxa"/>
            <w:tcBorders>
              <w:top w:val="nil"/>
              <w:left w:val="nil"/>
              <w:bottom w:val="single" w:sz="4" w:space="0" w:color="auto"/>
              <w:right w:val="single" w:sz="4" w:space="0" w:color="auto"/>
            </w:tcBorders>
            <w:vAlign w:val="center"/>
            <w:hideMark/>
          </w:tcPr>
          <w:p w:rsidR="00674A6B" w:rsidRPr="00674A6B" w:rsidP="00674A6B" w14:paraId="56A17777"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8</w:t>
            </w:r>
          </w:p>
        </w:tc>
        <w:tc>
          <w:tcPr>
            <w:tcW w:w="1275" w:type="dxa"/>
            <w:tcBorders>
              <w:top w:val="nil"/>
              <w:left w:val="nil"/>
              <w:bottom w:val="single" w:sz="4" w:space="0" w:color="auto"/>
              <w:right w:val="single" w:sz="4" w:space="0" w:color="auto"/>
            </w:tcBorders>
            <w:vAlign w:val="center"/>
            <w:hideMark/>
          </w:tcPr>
          <w:p w:rsidR="00674A6B" w:rsidRPr="00674A6B" w:rsidP="00674A6B" w14:paraId="0B70F1F1"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13</w:t>
            </w:r>
          </w:p>
        </w:tc>
        <w:tc>
          <w:tcPr>
            <w:tcW w:w="1276" w:type="dxa"/>
            <w:tcBorders>
              <w:top w:val="nil"/>
              <w:left w:val="nil"/>
              <w:bottom w:val="single" w:sz="4" w:space="0" w:color="auto"/>
              <w:right w:val="single" w:sz="4" w:space="0" w:color="auto"/>
            </w:tcBorders>
            <w:vAlign w:val="center"/>
            <w:hideMark/>
          </w:tcPr>
          <w:p w:rsidR="00674A6B" w:rsidRPr="00674A6B" w:rsidP="00674A6B" w14:paraId="06FE58A3"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13</w:t>
            </w:r>
          </w:p>
        </w:tc>
        <w:tc>
          <w:tcPr>
            <w:tcW w:w="1276" w:type="dxa"/>
            <w:tcBorders>
              <w:top w:val="nil"/>
              <w:left w:val="nil"/>
              <w:bottom w:val="single" w:sz="4" w:space="0" w:color="auto"/>
              <w:right w:val="single" w:sz="4" w:space="0" w:color="auto"/>
            </w:tcBorders>
            <w:vAlign w:val="center"/>
            <w:hideMark/>
          </w:tcPr>
          <w:p w:rsidR="00674A6B" w:rsidRPr="00674A6B" w:rsidP="00674A6B" w14:paraId="669B0D86"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13</w:t>
            </w:r>
          </w:p>
        </w:tc>
      </w:tr>
      <w:tr w14:paraId="17284DC2" w14:textId="77777777" w:rsidTr="00674A6B">
        <w:tblPrEx>
          <w:tblW w:w="9360" w:type="dxa"/>
          <w:tblInd w:w="108" w:type="dxa"/>
          <w:tblLayout w:type="fixed"/>
          <w:tblLook w:val="04A0"/>
        </w:tblPrEx>
        <w:trPr>
          <w:trHeight w:val="1831"/>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18E8FB24"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камер, встановлених відповідно до «Інтегрованої системи відеоспостереження та відеоаналітики «Безпечна громада» (шт.)</w:t>
            </w:r>
          </w:p>
        </w:tc>
        <w:tc>
          <w:tcPr>
            <w:tcW w:w="1134" w:type="dxa"/>
            <w:tcBorders>
              <w:top w:val="nil"/>
              <w:left w:val="nil"/>
              <w:bottom w:val="single" w:sz="4" w:space="0" w:color="auto"/>
              <w:right w:val="single" w:sz="4" w:space="0" w:color="auto"/>
            </w:tcBorders>
            <w:vAlign w:val="center"/>
            <w:hideMark/>
          </w:tcPr>
          <w:p w:rsidR="00674A6B" w:rsidRPr="00674A6B" w:rsidP="00674A6B" w14:paraId="3CF750D8"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50</w:t>
            </w:r>
          </w:p>
        </w:tc>
        <w:tc>
          <w:tcPr>
            <w:tcW w:w="1418" w:type="dxa"/>
            <w:tcBorders>
              <w:top w:val="nil"/>
              <w:left w:val="nil"/>
              <w:bottom w:val="single" w:sz="4" w:space="0" w:color="auto"/>
              <w:right w:val="single" w:sz="4" w:space="0" w:color="auto"/>
            </w:tcBorders>
            <w:vAlign w:val="center"/>
            <w:hideMark/>
          </w:tcPr>
          <w:p w:rsidR="00674A6B" w:rsidRPr="00674A6B" w:rsidP="00674A6B" w14:paraId="76E55438"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50</w:t>
            </w:r>
          </w:p>
        </w:tc>
        <w:tc>
          <w:tcPr>
            <w:tcW w:w="1275" w:type="dxa"/>
            <w:tcBorders>
              <w:top w:val="nil"/>
              <w:left w:val="nil"/>
              <w:bottom w:val="single" w:sz="4" w:space="0" w:color="auto"/>
              <w:right w:val="single" w:sz="4" w:space="0" w:color="auto"/>
            </w:tcBorders>
            <w:vAlign w:val="center"/>
            <w:hideMark/>
          </w:tcPr>
          <w:p w:rsidR="00674A6B" w:rsidRPr="00674A6B" w:rsidP="00674A6B" w14:paraId="56DCDBCF"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50</w:t>
            </w:r>
          </w:p>
        </w:tc>
        <w:tc>
          <w:tcPr>
            <w:tcW w:w="1276" w:type="dxa"/>
            <w:tcBorders>
              <w:top w:val="nil"/>
              <w:left w:val="nil"/>
              <w:bottom w:val="single" w:sz="4" w:space="0" w:color="auto"/>
              <w:right w:val="single" w:sz="4" w:space="0" w:color="auto"/>
            </w:tcBorders>
            <w:vAlign w:val="center"/>
            <w:hideMark/>
          </w:tcPr>
          <w:p w:rsidR="00674A6B" w:rsidRPr="00674A6B" w:rsidP="00674A6B" w14:paraId="71E96A97"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50</w:t>
            </w:r>
          </w:p>
        </w:tc>
        <w:tc>
          <w:tcPr>
            <w:tcW w:w="1276" w:type="dxa"/>
            <w:tcBorders>
              <w:top w:val="nil"/>
              <w:left w:val="nil"/>
              <w:bottom w:val="single" w:sz="4" w:space="0" w:color="auto"/>
              <w:right w:val="single" w:sz="4" w:space="0" w:color="auto"/>
            </w:tcBorders>
            <w:vAlign w:val="center"/>
            <w:hideMark/>
          </w:tcPr>
          <w:p w:rsidR="00674A6B" w:rsidRPr="00674A6B" w:rsidP="00674A6B" w14:paraId="22AB0D41"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50</w:t>
            </w:r>
          </w:p>
        </w:tc>
      </w:tr>
      <w:tr w14:paraId="49480C8A" w14:textId="77777777" w:rsidTr="00674A6B">
        <w:tblPrEx>
          <w:tblW w:w="9360" w:type="dxa"/>
          <w:tblInd w:w="108" w:type="dxa"/>
          <w:tblLayout w:type="fixed"/>
          <w:tblLook w:val="04A0"/>
        </w:tblPrEx>
        <w:trPr>
          <w:trHeight w:val="2682"/>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003BC879"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Частка об’єктів критичної інфраструктури комунальної власності, яка забезпечена  альтернативними джерелами енергопостачання (генераторами, інверторами…) (%)</w:t>
            </w:r>
          </w:p>
        </w:tc>
        <w:tc>
          <w:tcPr>
            <w:tcW w:w="1134" w:type="dxa"/>
            <w:tcBorders>
              <w:top w:val="nil"/>
              <w:left w:val="nil"/>
              <w:bottom w:val="single" w:sz="4" w:space="0" w:color="auto"/>
              <w:right w:val="single" w:sz="4" w:space="0" w:color="auto"/>
            </w:tcBorders>
            <w:vAlign w:val="center"/>
            <w:hideMark/>
          </w:tcPr>
          <w:p w:rsidR="00674A6B" w:rsidRPr="00674A6B" w:rsidP="00674A6B" w14:paraId="108677E4"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100</w:t>
            </w:r>
          </w:p>
        </w:tc>
        <w:tc>
          <w:tcPr>
            <w:tcW w:w="1418" w:type="dxa"/>
            <w:tcBorders>
              <w:top w:val="nil"/>
              <w:left w:val="nil"/>
              <w:bottom w:val="single" w:sz="4" w:space="0" w:color="auto"/>
              <w:right w:val="single" w:sz="4" w:space="0" w:color="auto"/>
            </w:tcBorders>
            <w:vAlign w:val="center"/>
            <w:hideMark/>
          </w:tcPr>
          <w:p w:rsidR="00674A6B" w:rsidRPr="00674A6B" w:rsidP="00674A6B" w14:paraId="11B22692"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100</w:t>
            </w:r>
          </w:p>
        </w:tc>
        <w:tc>
          <w:tcPr>
            <w:tcW w:w="1275" w:type="dxa"/>
            <w:tcBorders>
              <w:top w:val="nil"/>
              <w:left w:val="nil"/>
              <w:bottom w:val="single" w:sz="4" w:space="0" w:color="auto"/>
              <w:right w:val="single" w:sz="4" w:space="0" w:color="auto"/>
            </w:tcBorders>
            <w:vAlign w:val="center"/>
            <w:hideMark/>
          </w:tcPr>
          <w:p w:rsidR="00674A6B" w:rsidRPr="00674A6B" w:rsidP="00674A6B" w14:paraId="7A7E6E7B"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100</w:t>
            </w:r>
          </w:p>
        </w:tc>
        <w:tc>
          <w:tcPr>
            <w:tcW w:w="1276" w:type="dxa"/>
            <w:tcBorders>
              <w:top w:val="nil"/>
              <w:left w:val="nil"/>
              <w:bottom w:val="single" w:sz="4" w:space="0" w:color="auto"/>
              <w:right w:val="single" w:sz="4" w:space="0" w:color="auto"/>
            </w:tcBorders>
            <w:vAlign w:val="center"/>
            <w:hideMark/>
          </w:tcPr>
          <w:p w:rsidR="00674A6B" w:rsidRPr="00674A6B" w:rsidP="00674A6B" w14:paraId="5F6166F7"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100</w:t>
            </w:r>
          </w:p>
        </w:tc>
        <w:tc>
          <w:tcPr>
            <w:tcW w:w="1276" w:type="dxa"/>
            <w:tcBorders>
              <w:top w:val="nil"/>
              <w:left w:val="nil"/>
              <w:bottom w:val="single" w:sz="4" w:space="0" w:color="auto"/>
              <w:right w:val="single" w:sz="4" w:space="0" w:color="auto"/>
            </w:tcBorders>
            <w:vAlign w:val="center"/>
            <w:hideMark/>
          </w:tcPr>
          <w:p w:rsidR="00674A6B" w:rsidRPr="00674A6B" w:rsidP="00674A6B" w14:paraId="36B7EE91"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100</w:t>
            </w:r>
          </w:p>
        </w:tc>
      </w:tr>
      <w:tr w14:paraId="68BF0328" w14:textId="77777777" w:rsidTr="00674A6B">
        <w:tblPrEx>
          <w:tblW w:w="9360" w:type="dxa"/>
          <w:tblInd w:w="108" w:type="dxa"/>
          <w:tblLayout w:type="fixed"/>
          <w:tblLook w:val="04A0"/>
        </w:tblPrEx>
        <w:trPr>
          <w:trHeight w:val="990"/>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6C15D821"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зон відпочинку: парків, скверів на території громади (од.)</w:t>
            </w:r>
          </w:p>
        </w:tc>
        <w:tc>
          <w:tcPr>
            <w:tcW w:w="1134" w:type="dxa"/>
            <w:tcBorders>
              <w:top w:val="nil"/>
              <w:left w:val="nil"/>
              <w:bottom w:val="single" w:sz="4" w:space="0" w:color="auto"/>
              <w:right w:val="single" w:sz="4" w:space="0" w:color="auto"/>
            </w:tcBorders>
            <w:vAlign w:val="center"/>
            <w:hideMark/>
          </w:tcPr>
          <w:p w:rsidR="00674A6B" w:rsidRPr="00674A6B" w:rsidP="00674A6B" w14:paraId="1D116D91"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15</w:t>
            </w:r>
          </w:p>
        </w:tc>
        <w:tc>
          <w:tcPr>
            <w:tcW w:w="1418" w:type="dxa"/>
            <w:tcBorders>
              <w:top w:val="nil"/>
              <w:left w:val="nil"/>
              <w:bottom w:val="single" w:sz="4" w:space="0" w:color="auto"/>
              <w:right w:val="single" w:sz="4" w:space="0" w:color="auto"/>
            </w:tcBorders>
            <w:vAlign w:val="center"/>
            <w:hideMark/>
          </w:tcPr>
          <w:p w:rsidR="00674A6B" w:rsidRPr="00674A6B" w:rsidP="00674A6B" w14:paraId="40A505A7"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en-US"/>
              </w:rPr>
              <w:t>15</w:t>
            </w:r>
          </w:p>
        </w:tc>
        <w:tc>
          <w:tcPr>
            <w:tcW w:w="1275" w:type="dxa"/>
            <w:tcBorders>
              <w:top w:val="nil"/>
              <w:left w:val="nil"/>
              <w:bottom w:val="single" w:sz="4" w:space="0" w:color="auto"/>
              <w:right w:val="single" w:sz="4" w:space="0" w:color="auto"/>
            </w:tcBorders>
            <w:vAlign w:val="center"/>
            <w:hideMark/>
          </w:tcPr>
          <w:p w:rsidR="00674A6B" w:rsidRPr="00674A6B" w:rsidP="00674A6B" w14:paraId="15D6B76E"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en-US"/>
              </w:rPr>
              <w:t>15</w:t>
            </w:r>
          </w:p>
        </w:tc>
        <w:tc>
          <w:tcPr>
            <w:tcW w:w="1276" w:type="dxa"/>
            <w:tcBorders>
              <w:top w:val="nil"/>
              <w:left w:val="nil"/>
              <w:bottom w:val="single" w:sz="4" w:space="0" w:color="auto"/>
              <w:right w:val="single" w:sz="4" w:space="0" w:color="auto"/>
            </w:tcBorders>
            <w:vAlign w:val="center"/>
            <w:hideMark/>
          </w:tcPr>
          <w:p w:rsidR="00674A6B" w:rsidRPr="00674A6B" w:rsidP="00674A6B" w14:paraId="6947AFAE"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en-US"/>
              </w:rPr>
              <w:t>15</w:t>
            </w:r>
          </w:p>
        </w:tc>
        <w:tc>
          <w:tcPr>
            <w:tcW w:w="1276" w:type="dxa"/>
            <w:tcBorders>
              <w:top w:val="nil"/>
              <w:left w:val="nil"/>
              <w:bottom w:val="single" w:sz="4" w:space="0" w:color="auto"/>
              <w:right w:val="single" w:sz="4" w:space="0" w:color="auto"/>
            </w:tcBorders>
            <w:vAlign w:val="center"/>
            <w:hideMark/>
          </w:tcPr>
          <w:p w:rsidR="00674A6B" w:rsidRPr="00674A6B" w:rsidP="00674A6B" w14:paraId="7E2B934E"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15</w:t>
            </w:r>
          </w:p>
        </w:tc>
      </w:tr>
      <w:tr w14:paraId="66184EEF" w14:textId="77777777" w:rsidTr="00674A6B">
        <w:tblPrEx>
          <w:tblW w:w="9360" w:type="dxa"/>
          <w:tblInd w:w="108" w:type="dxa"/>
          <w:tblLayout w:type="fixed"/>
          <w:tblLook w:val="04A0"/>
        </w:tblPrEx>
        <w:trPr>
          <w:trHeight w:val="1402"/>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02E8FE0F"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суб'єктів підприємницької діяльності,   всього (за даними ГУ ДФС у Київській області) (од.)</w:t>
            </w:r>
          </w:p>
        </w:tc>
        <w:tc>
          <w:tcPr>
            <w:tcW w:w="1134" w:type="dxa"/>
            <w:tcBorders>
              <w:top w:val="nil"/>
              <w:left w:val="nil"/>
              <w:bottom w:val="single" w:sz="4" w:space="0" w:color="auto"/>
              <w:right w:val="single" w:sz="4" w:space="0" w:color="auto"/>
            </w:tcBorders>
            <w:vAlign w:val="center"/>
            <w:hideMark/>
          </w:tcPr>
          <w:p w:rsidR="00674A6B" w:rsidRPr="00674A6B" w:rsidP="00674A6B" w14:paraId="3F6747D6"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18 640</w:t>
            </w:r>
          </w:p>
        </w:tc>
        <w:tc>
          <w:tcPr>
            <w:tcW w:w="1418" w:type="dxa"/>
            <w:tcBorders>
              <w:top w:val="nil"/>
              <w:left w:val="nil"/>
              <w:bottom w:val="single" w:sz="4" w:space="0" w:color="auto"/>
              <w:right w:val="single" w:sz="4" w:space="0" w:color="auto"/>
            </w:tcBorders>
            <w:vAlign w:val="center"/>
            <w:hideMark/>
          </w:tcPr>
          <w:p w:rsidR="00674A6B" w:rsidRPr="00674A6B" w:rsidP="00674A6B" w14:paraId="783BB408"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18 740</w:t>
            </w:r>
          </w:p>
        </w:tc>
        <w:tc>
          <w:tcPr>
            <w:tcW w:w="1275" w:type="dxa"/>
            <w:tcBorders>
              <w:top w:val="nil"/>
              <w:left w:val="nil"/>
              <w:bottom w:val="single" w:sz="4" w:space="0" w:color="auto"/>
              <w:right w:val="single" w:sz="4" w:space="0" w:color="auto"/>
            </w:tcBorders>
            <w:vAlign w:val="center"/>
            <w:hideMark/>
          </w:tcPr>
          <w:p w:rsidR="00674A6B" w:rsidRPr="00674A6B" w:rsidP="00674A6B" w14:paraId="25769F34"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18 820</w:t>
            </w:r>
          </w:p>
        </w:tc>
        <w:tc>
          <w:tcPr>
            <w:tcW w:w="1276" w:type="dxa"/>
            <w:tcBorders>
              <w:top w:val="nil"/>
              <w:left w:val="nil"/>
              <w:bottom w:val="single" w:sz="4" w:space="0" w:color="auto"/>
              <w:right w:val="single" w:sz="4" w:space="0" w:color="auto"/>
            </w:tcBorders>
            <w:vAlign w:val="center"/>
            <w:hideMark/>
          </w:tcPr>
          <w:p w:rsidR="00674A6B" w:rsidRPr="00674A6B" w:rsidP="00674A6B" w14:paraId="52C650F3"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19 020</w:t>
            </w:r>
          </w:p>
        </w:tc>
        <w:tc>
          <w:tcPr>
            <w:tcW w:w="1276" w:type="dxa"/>
            <w:tcBorders>
              <w:top w:val="nil"/>
              <w:left w:val="nil"/>
              <w:bottom w:val="single" w:sz="4" w:space="0" w:color="auto"/>
              <w:right w:val="single" w:sz="4" w:space="0" w:color="auto"/>
            </w:tcBorders>
            <w:vAlign w:val="center"/>
            <w:hideMark/>
          </w:tcPr>
          <w:p w:rsidR="00674A6B" w:rsidRPr="00674A6B" w:rsidP="00674A6B" w14:paraId="1D1C69EC"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19 100</w:t>
            </w:r>
          </w:p>
        </w:tc>
      </w:tr>
      <w:tr w14:paraId="35DC3276" w14:textId="77777777" w:rsidTr="00674A6B">
        <w:tblPrEx>
          <w:tblW w:w="9360" w:type="dxa"/>
          <w:tblInd w:w="108" w:type="dxa"/>
          <w:tblLayout w:type="fixed"/>
          <w:tblLook w:val="04A0"/>
        </w:tblPrEx>
        <w:trPr>
          <w:trHeight w:val="1549"/>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4D991C9C"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обꞌєктів інфраструктури для підтримки розвитку інфраструктури для бізнесу в громаді  (од.)</w:t>
            </w:r>
          </w:p>
        </w:tc>
        <w:tc>
          <w:tcPr>
            <w:tcW w:w="1134" w:type="dxa"/>
            <w:tcBorders>
              <w:top w:val="nil"/>
              <w:left w:val="nil"/>
              <w:bottom w:val="single" w:sz="4" w:space="0" w:color="auto"/>
              <w:right w:val="single" w:sz="4" w:space="0" w:color="auto"/>
            </w:tcBorders>
            <w:vAlign w:val="center"/>
            <w:hideMark/>
          </w:tcPr>
          <w:p w:rsidR="00674A6B" w:rsidRPr="00674A6B" w:rsidP="00674A6B" w14:paraId="05EB7B32"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18</w:t>
            </w:r>
          </w:p>
        </w:tc>
        <w:tc>
          <w:tcPr>
            <w:tcW w:w="1418" w:type="dxa"/>
            <w:tcBorders>
              <w:top w:val="nil"/>
              <w:left w:val="nil"/>
              <w:bottom w:val="single" w:sz="4" w:space="0" w:color="auto"/>
              <w:right w:val="single" w:sz="4" w:space="0" w:color="auto"/>
            </w:tcBorders>
            <w:vAlign w:val="center"/>
            <w:hideMark/>
          </w:tcPr>
          <w:p w:rsidR="00674A6B" w:rsidRPr="00674A6B" w:rsidP="00674A6B" w14:paraId="35E1DD92"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18</w:t>
            </w:r>
          </w:p>
        </w:tc>
        <w:tc>
          <w:tcPr>
            <w:tcW w:w="1275" w:type="dxa"/>
            <w:tcBorders>
              <w:top w:val="nil"/>
              <w:left w:val="nil"/>
              <w:bottom w:val="single" w:sz="4" w:space="0" w:color="auto"/>
              <w:right w:val="single" w:sz="4" w:space="0" w:color="auto"/>
            </w:tcBorders>
            <w:vAlign w:val="center"/>
            <w:hideMark/>
          </w:tcPr>
          <w:p w:rsidR="00674A6B" w:rsidRPr="00674A6B" w:rsidP="00674A6B" w14:paraId="34FDEA8E"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18</w:t>
            </w:r>
          </w:p>
        </w:tc>
        <w:tc>
          <w:tcPr>
            <w:tcW w:w="1276" w:type="dxa"/>
            <w:tcBorders>
              <w:top w:val="nil"/>
              <w:left w:val="nil"/>
              <w:bottom w:val="single" w:sz="4" w:space="0" w:color="auto"/>
              <w:right w:val="single" w:sz="4" w:space="0" w:color="auto"/>
            </w:tcBorders>
            <w:vAlign w:val="center"/>
            <w:hideMark/>
          </w:tcPr>
          <w:p w:rsidR="00674A6B" w:rsidRPr="00674A6B" w:rsidP="00674A6B" w14:paraId="0C1C0C20"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18</w:t>
            </w:r>
          </w:p>
        </w:tc>
        <w:tc>
          <w:tcPr>
            <w:tcW w:w="1276" w:type="dxa"/>
            <w:tcBorders>
              <w:top w:val="nil"/>
              <w:left w:val="nil"/>
              <w:bottom w:val="single" w:sz="4" w:space="0" w:color="auto"/>
              <w:right w:val="single" w:sz="4" w:space="0" w:color="auto"/>
            </w:tcBorders>
            <w:vAlign w:val="center"/>
            <w:hideMark/>
          </w:tcPr>
          <w:p w:rsidR="00674A6B" w:rsidRPr="00674A6B" w:rsidP="00674A6B" w14:paraId="2B09E67E"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18</w:t>
            </w:r>
          </w:p>
        </w:tc>
      </w:tr>
      <w:tr w14:paraId="1950D0EC" w14:textId="77777777" w:rsidTr="00674A6B">
        <w:tblPrEx>
          <w:tblW w:w="9360" w:type="dxa"/>
          <w:tblInd w:w="108" w:type="dxa"/>
          <w:tblLayout w:type="fixed"/>
          <w:tblLook w:val="04A0"/>
        </w:tblPrEx>
        <w:trPr>
          <w:trHeight w:val="990"/>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5B88A5AB"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проведених навчальних заходів для СПД в громаді (од.)</w:t>
            </w:r>
          </w:p>
        </w:tc>
        <w:tc>
          <w:tcPr>
            <w:tcW w:w="1134" w:type="dxa"/>
            <w:tcBorders>
              <w:top w:val="nil"/>
              <w:left w:val="nil"/>
              <w:bottom w:val="single" w:sz="4" w:space="0" w:color="auto"/>
              <w:right w:val="single" w:sz="4" w:space="0" w:color="auto"/>
            </w:tcBorders>
            <w:vAlign w:val="center"/>
            <w:hideMark/>
          </w:tcPr>
          <w:p w:rsidR="00674A6B" w:rsidRPr="00674A6B" w:rsidP="00674A6B" w14:paraId="244871EE"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10</w:t>
            </w:r>
          </w:p>
        </w:tc>
        <w:tc>
          <w:tcPr>
            <w:tcW w:w="1418" w:type="dxa"/>
            <w:tcBorders>
              <w:top w:val="nil"/>
              <w:left w:val="nil"/>
              <w:bottom w:val="single" w:sz="4" w:space="0" w:color="auto"/>
              <w:right w:val="single" w:sz="4" w:space="0" w:color="auto"/>
            </w:tcBorders>
            <w:vAlign w:val="center"/>
            <w:hideMark/>
          </w:tcPr>
          <w:p w:rsidR="00674A6B" w:rsidRPr="00674A6B" w:rsidP="00674A6B" w14:paraId="0A478504"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25</w:t>
            </w:r>
          </w:p>
        </w:tc>
        <w:tc>
          <w:tcPr>
            <w:tcW w:w="1275" w:type="dxa"/>
            <w:tcBorders>
              <w:top w:val="nil"/>
              <w:left w:val="nil"/>
              <w:bottom w:val="single" w:sz="4" w:space="0" w:color="auto"/>
              <w:right w:val="single" w:sz="4" w:space="0" w:color="auto"/>
            </w:tcBorders>
            <w:vAlign w:val="center"/>
            <w:hideMark/>
          </w:tcPr>
          <w:p w:rsidR="00674A6B" w:rsidRPr="00674A6B" w:rsidP="00674A6B" w14:paraId="74C69DDA"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32</w:t>
            </w:r>
          </w:p>
        </w:tc>
        <w:tc>
          <w:tcPr>
            <w:tcW w:w="1276" w:type="dxa"/>
            <w:tcBorders>
              <w:top w:val="nil"/>
              <w:left w:val="nil"/>
              <w:bottom w:val="single" w:sz="4" w:space="0" w:color="auto"/>
              <w:right w:val="single" w:sz="4" w:space="0" w:color="auto"/>
            </w:tcBorders>
            <w:vAlign w:val="center"/>
            <w:hideMark/>
          </w:tcPr>
          <w:p w:rsidR="00674A6B" w:rsidRPr="00674A6B" w:rsidP="00674A6B" w14:paraId="02A2A544"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41</w:t>
            </w:r>
          </w:p>
        </w:tc>
        <w:tc>
          <w:tcPr>
            <w:tcW w:w="1276" w:type="dxa"/>
            <w:tcBorders>
              <w:top w:val="nil"/>
              <w:left w:val="nil"/>
              <w:bottom w:val="single" w:sz="4" w:space="0" w:color="auto"/>
              <w:right w:val="single" w:sz="4" w:space="0" w:color="auto"/>
            </w:tcBorders>
            <w:vAlign w:val="center"/>
            <w:hideMark/>
          </w:tcPr>
          <w:p w:rsidR="00674A6B" w:rsidRPr="00674A6B" w:rsidP="00674A6B" w14:paraId="34AAD8ED"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45</w:t>
            </w:r>
          </w:p>
        </w:tc>
      </w:tr>
      <w:tr w14:paraId="2AA5618E" w14:textId="77777777" w:rsidTr="00674A6B">
        <w:tblPrEx>
          <w:tblW w:w="9360" w:type="dxa"/>
          <w:tblInd w:w="108" w:type="dxa"/>
          <w:tblLayout w:type="fixed"/>
          <w:tblLook w:val="04A0"/>
        </w:tblPrEx>
        <w:trPr>
          <w:trHeight w:val="848"/>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4C6BA987"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Створення  індустріального парку в громаді (од.)</w:t>
            </w:r>
          </w:p>
        </w:tc>
        <w:tc>
          <w:tcPr>
            <w:tcW w:w="1134" w:type="dxa"/>
            <w:tcBorders>
              <w:top w:val="nil"/>
              <w:left w:val="nil"/>
              <w:bottom w:val="single" w:sz="4" w:space="0" w:color="auto"/>
              <w:right w:val="single" w:sz="4" w:space="0" w:color="auto"/>
            </w:tcBorders>
            <w:vAlign w:val="center"/>
            <w:hideMark/>
          </w:tcPr>
          <w:p w:rsidR="00674A6B" w:rsidRPr="00674A6B" w:rsidP="00674A6B" w14:paraId="595377EF"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0</w:t>
            </w:r>
          </w:p>
        </w:tc>
        <w:tc>
          <w:tcPr>
            <w:tcW w:w="1418" w:type="dxa"/>
            <w:tcBorders>
              <w:top w:val="nil"/>
              <w:left w:val="nil"/>
              <w:bottom w:val="single" w:sz="4" w:space="0" w:color="auto"/>
              <w:right w:val="single" w:sz="4" w:space="0" w:color="auto"/>
            </w:tcBorders>
            <w:vAlign w:val="center"/>
            <w:hideMark/>
          </w:tcPr>
          <w:p w:rsidR="00674A6B" w:rsidRPr="00674A6B" w:rsidP="00674A6B" w14:paraId="722CE822"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0</w:t>
            </w:r>
          </w:p>
        </w:tc>
        <w:tc>
          <w:tcPr>
            <w:tcW w:w="1275" w:type="dxa"/>
            <w:tcBorders>
              <w:top w:val="nil"/>
              <w:left w:val="nil"/>
              <w:bottom w:val="single" w:sz="4" w:space="0" w:color="auto"/>
              <w:right w:val="single" w:sz="4" w:space="0" w:color="auto"/>
            </w:tcBorders>
            <w:vAlign w:val="center"/>
            <w:hideMark/>
          </w:tcPr>
          <w:p w:rsidR="00674A6B" w:rsidRPr="00674A6B" w:rsidP="00674A6B" w14:paraId="3FD2582A"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0</w:t>
            </w:r>
          </w:p>
        </w:tc>
        <w:tc>
          <w:tcPr>
            <w:tcW w:w="1276" w:type="dxa"/>
            <w:tcBorders>
              <w:top w:val="nil"/>
              <w:left w:val="nil"/>
              <w:bottom w:val="single" w:sz="4" w:space="0" w:color="auto"/>
              <w:right w:val="single" w:sz="4" w:space="0" w:color="auto"/>
            </w:tcBorders>
            <w:vAlign w:val="center"/>
            <w:hideMark/>
          </w:tcPr>
          <w:p w:rsidR="00674A6B" w:rsidRPr="00674A6B" w:rsidP="00674A6B" w14:paraId="038D07D2"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w:t>
            </w:r>
          </w:p>
        </w:tc>
        <w:tc>
          <w:tcPr>
            <w:tcW w:w="1276" w:type="dxa"/>
            <w:tcBorders>
              <w:top w:val="nil"/>
              <w:left w:val="nil"/>
              <w:bottom w:val="single" w:sz="4" w:space="0" w:color="auto"/>
              <w:right w:val="single" w:sz="4" w:space="0" w:color="auto"/>
            </w:tcBorders>
            <w:vAlign w:val="center"/>
            <w:hideMark/>
          </w:tcPr>
          <w:p w:rsidR="00674A6B" w:rsidRPr="00674A6B" w:rsidP="00674A6B" w14:paraId="5471BE7B"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w:t>
            </w:r>
          </w:p>
        </w:tc>
      </w:tr>
      <w:tr w14:paraId="0F488AF2" w14:textId="77777777" w:rsidTr="00674A6B">
        <w:tblPrEx>
          <w:tblW w:w="9360" w:type="dxa"/>
          <w:tblInd w:w="108" w:type="dxa"/>
          <w:tblLayout w:type="fixed"/>
          <w:tblLook w:val="04A0"/>
        </w:tblPrEx>
        <w:trPr>
          <w:trHeight w:val="974"/>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259C5B81"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реалізованих бізнесом інвестиційних проєктів в громаді (од.)</w:t>
            </w:r>
          </w:p>
        </w:tc>
        <w:tc>
          <w:tcPr>
            <w:tcW w:w="1134" w:type="dxa"/>
            <w:tcBorders>
              <w:top w:val="nil"/>
              <w:left w:val="nil"/>
              <w:bottom w:val="single" w:sz="4" w:space="0" w:color="auto"/>
              <w:right w:val="single" w:sz="4" w:space="0" w:color="auto"/>
            </w:tcBorders>
            <w:vAlign w:val="center"/>
            <w:hideMark/>
          </w:tcPr>
          <w:p w:rsidR="00674A6B" w:rsidRPr="00674A6B" w:rsidP="00674A6B" w14:paraId="7A6F324F"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11</w:t>
            </w:r>
          </w:p>
        </w:tc>
        <w:tc>
          <w:tcPr>
            <w:tcW w:w="1418" w:type="dxa"/>
            <w:tcBorders>
              <w:top w:val="nil"/>
              <w:left w:val="nil"/>
              <w:bottom w:val="single" w:sz="4" w:space="0" w:color="auto"/>
              <w:right w:val="single" w:sz="4" w:space="0" w:color="auto"/>
            </w:tcBorders>
            <w:vAlign w:val="center"/>
            <w:hideMark/>
          </w:tcPr>
          <w:p w:rsidR="00674A6B" w:rsidRPr="00674A6B" w:rsidP="00674A6B" w14:paraId="16EA07B9"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15</w:t>
            </w:r>
          </w:p>
        </w:tc>
        <w:tc>
          <w:tcPr>
            <w:tcW w:w="1275" w:type="dxa"/>
            <w:tcBorders>
              <w:top w:val="nil"/>
              <w:left w:val="nil"/>
              <w:bottom w:val="single" w:sz="4" w:space="0" w:color="auto"/>
              <w:right w:val="single" w:sz="4" w:space="0" w:color="auto"/>
            </w:tcBorders>
            <w:vAlign w:val="center"/>
            <w:hideMark/>
          </w:tcPr>
          <w:p w:rsidR="00674A6B" w:rsidRPr="00674A6B" w:rsidP="00674A6B" w14:paraId="2B3703D3"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12</w:t>
            </w:r>
          </w:p>
        </w:tc>
        <w:tc>
          <w:tcPr>
            <w:tcW w:w="1276" w:type="dxa"/>
            <w:tcBorders>
              <w:top w:val="nil"/>
              <w:left w:val="nil"/>
              <w:bottom w:val="single" w:sz="4" w:space="0" w:color="auto"/>
              <w:right w:val="single" w:sz="4" w:space="0" w:color="auto"/>
            </w:tcBorders>
            <w:vAlign w:val="center"/>
            <w:hideMark/>
          </w:tcPr>
          <w:p w:rsidR="00674A6B" w:rsidRPr="00674A6B" w:rsidP="00674A6B" w14:paraId="789A714B"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14</w:t>
            </w:r>
          </w:p>
        </w:tc>
        <w:tc>
          <w:tcPr>
            <w:tcW w:w="1276" w:type="dxa"/>
            <w:tcBorders>
              <w:top w:val="nil"/>
              <w:left w:val="nil"/>
              <w:bottom w:val="single" w:sz="4" w:space="0" w:color="auto"/>
              <w:right w:val="single" w:sz="4" w:space="0" w:color="auto"/>
            </w:tcBorders>
            <w:vAlign w:val="center"/>
            <w:hideMark/>
          </w:tcPr>
          <w:p w:rsidR="00674A6B" w:rsidRPr="00674A6B" w:rsidP="00674A6B" w14:paraId="57F93A90"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16</w:t>
            </w:r>
          </w:p>
        </w:tc>
      </w:tr>
      <w:tr w14:paraId="0C60D5E8" w14:textId="77777777" w:rsidTr="00674A6B">
        <w:tblPrEx>
          <w:tblW w:w="9360" w:type="dxa"/>
          <w:tblInd w:w="108" w:type="dxa"/>
          <w:tblLayout w:type="fixed"/>
          <w:tblLook w:val="04A0"/>
        </w:tblPrEx>
        <w:trPr>
          <w:trHeight w:val="1555"/>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6D071737"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отриманих грантів субꞌєктами підприємницької діяльності в межах діючих державних програм (од.)</w:t>
            </w:r>
          </w:p>
        </w:tc>
        <w:tc>
          <w:tcPr>
            <w:tcW w:w="1134" w:type="dxa"/>
            <w:tcBorders>
              <w:top w:val="nil"/>
              <w:left w:val="nil"/>
              <w:bottom w:val="single" w:sz="4" w:space="0" w:color="auto"/>
              <w:right w:val="single" w:sz="4" w:space="0" w:color="auto"/>
            </w:tcBorders>
            <w:vAlign w:val="center"/>
            <w:hideMark/>
          </w:tcPr>
          <w:p w:rsidR="00674A6B" w:rsidRPr="00674A6B" w:rsidP="00674A6B" w14:paraId="441286C0"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60</w:t>
            </w:r>
          </w:p>
        </w:tc>
        <w:tc>
          <w:tcPr>
            <w:tcW w:w="1418" w:type="dxa"/>
            <w:tcBorders>
              <w:top w:val="nil"/>
              <w:left w:val="nil"/>
              <w:bottom w:val="single" w:sz="4" w:space="0" w:color="auto"/>
              <w:right w:val="single" w:sz="4" w:space="0" w:color="auto"/>
            </w:tcBorders>
            <w:vAlign w:val="center"/>
            <w:hideMark/>
          </w:tcPr>
          <w:p w:rsidR="00674A6B" w:rsidRPr="00674A6B" w:rsidP="00674A6B" w14:paraId="15C851A3"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50</w:t>
            </w:r>
          </w:p>
        </w:tc>
        <w:tc>
          <w:tcPr>
            <w:tcW w:w="1275" w:type="dxa"/>
            <w:tcBorders>
              <w:top w:val="nil"/>
              <w:left w:val="nil"/>
              <w:bottom w:val="single" w:sz="4" w:space="0" w:color="auto"/>
              <w:right w:val="single" w:sz="4" w:space="0" w:color="auto"/>
            </w:tcBorders>
            <w:vAlign w:val="center"/>
            <w:hideMark/>
          </w:tcPr>
          <w:p w:rsidR="00674A6B" w:rsidRPr="00674A6B" w:rsidP="00674A6B" w14:paraId="40F0A48B"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55</w:t>
            </w:r>
          </w:p>
        </w:tc>
        <w:tc>
          <w:tcPr>
            <w:tcW w:w="1276" w:type="dxa"/>
            <w:tcBorders>
              <w:top w:val="nil"/>
              <w:left w:val="nil"/>
              <w:bottom w:val="single" w:sz="4" w:space="0" w:color="auto"/>
              <w:right w:val="single" w:sz="4" w:space="0" w:color="auto"/>
            </w:tcBorders>
            <w:vAlign w:val="center"/>
            <w:hideMark/>
          </w:tcPr>
          <w:p w:rsidR="00674A6B" w:rsidRPr="00674A6B" w:rsidP="00674A6B" w14:paraId="6AE54987"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55</w:t>
            </w:r>
          </w:p>
        </w:tc>
        <w:tc>
          <w:tcPr>
            <w:tcW w:w="1276" w:type="dxa"/>
            <w:tcBorders>
              <w:top w:val="nil"/>
              <w:left w:val="nil"/>
              <w:bottom w:val="single" w:sz="4" w:space="0" w:color="auto"/>
              <w:right w:val="single" w:sz="4" w:space="0" w:color="auto"/>
            </w:tcBorders>
            <w:vAlign w:val="center"/>
            <w:hideMark/>
          </w:tcPr>
          <w:p w:rsidR="00674A6B" w:rsidRPr="00674A6B" w:rsidP="00674A6B" w14:paraId="7942A27F"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55</w:t>
            </w:r>
          </w:p>
        </w:tc>
      </w:tr>
      <w:tr w14:paraId="2D263677" w14:textId="77777777" w:rsidTr="00674A6B">
        <w:tblPrEx>
          <w:tblW w:w="9360" w:type="dxa"/>
          <w:tblInd w:w="108" w:type="dxa"/>
          <w:tblLayout w:type="fixed"/>
          <w:tblLook w:val="04A0"/>
        </w:tblPrEx>
        <w:trPr>
          <w:trHeight w:val="968"/>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79FACAD1"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Кількість видів послуг, які фактично можна отримати в ЦНАП (од.)</w:t>
            </w:r>
          </w:p>
        </w:tc>
        <w:tc>
          <w:tcPr>
            <w:tcW w:w="1134" w:type="dxa"/>
            <w:tcBorders>
              <w:top w:val="nil"/>
              <w:left w:val="nil"/>
              <w:bottom w:val="single" w:sz="4" w:space="0" w:color="auto"/>
              <w:right w:val="single" w:sz="4" w:space="0" w:color="auto"/>
            </w:tcBorders>
            <w:vAlign w:val="center"/>
            <w:hideMark/>
          </w:tcPr>
          <w:p w:rsidR="00674A6B" w:rsidRPr="00674A6B" w:rsidP="00674A6B" w14:paraId="2543B434"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288</w:t>
            </w:r>
          </w:p>
        </w:tc>
        <w:tc>
          <w:tcPr>
            <w:tcW w:w="1418" w:type="dxa"/>
            <w:tcBorders>
              <w:top w:val="nil"/>
              <w:left w:val="nil"/>
              <w:bottom w:val="single" w:sz="4" w:space="0" w:color="auto"/>
              <w:right w:val="single" w:sz="4" w:space="0" w:color="auto"/>
            </w:tcBorders>
            <w:vAlign w:val="center"/>
            <w:hideMark/>
          </w:tcPr>
          <w:p w:rsidR="00674A6B" w:rsidRPr="00674A6B" w:rsidP="00674A6B" w14:paraId="31650788"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337</w:t>
            </w:r>
          </w:p>
        </w:tc>
        <w:tc>
          <w:tcPr>
            <w:tcW w:w="1275" w:type="dxa"/>
            <w:tcBorders>
              <w:top w:val="nil"/>
              <w:left w:val="nil"/>
              <w:bottom w:val="single" w:sz="4" w:space="0" w:color="auto"/>
              <w:right w:val="single" w:sz="4" w:space="0" w:color="auto"/>
            </w:tcBorders>
            <w:vAlign w:val="center"/>
            <w:hideMark/>
          </w:tcPr>
          <w:p w:rsidR="00674A6B" w:rsidRPr="00674A6B" w:rsidP="00674A6B" w14:paraId="0BDEC1AE"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337</w:t>
            </w:r>
          </w:p>
        </w:tc>
        <w:tc>
          <w:tcPr>
            <w:tcW w:w="1276" w:type="dxa"/>
            <w:tcBorders>
              <w:top w:val="nil"/>
              <w:left w:val="nil"/>
              <w:bottom w:val="single" w:sz="4" w:space="0" w:color="auto"/>
              <w:right w:val="single" w:sz="4" w:space="0" w:color="auto"/>
            </w:tcBorders>
            <w:vAlign w:val="center"/>
            <w:hideMark/>
          </w:tcPr>
          <w:p w:rsidR="00674A6B" w:rsidRPr="00674A6B" w:rsidP="00674A6B" w14:paraId="7BB8D872"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337</w:t>
            </w:r>
          </w:p>
        </w:tc>
        <w:tc>
          <w:tcPr>
            <w:tcW w:w="1276" w:type="dxa"/>
            <w:tcBorders>
              <w:top w:val="nil"/>
              <w:left w:val="nil"/>
              <w:bottom w:val="single" w:sz="4" w:space="0" w:color="auto"/>
              <w:right w:val="single" w:sz="4" w:space="0" w:color="auto"/>
            </w:tcBorders>
            <w:vAlign w:val="center"/>
            <w:hideMark/>
          </w:tcPr>
          <w:p w:rsidR="00674A6B" w:rsidRPr="00674A6B" w:rsidP="00674A6B" w14:paraId="7D547C01"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337</w:t>
            </w:r>
          </w:p>
        </w:tc>
      </w:tr>
      <w:tr w14:paraId="16BD42A9" w14:textId="77777777" w:rsidTr="00674A6B">
        <w:tblPrEx>
          <w:tblW w:w="9360" w:type="dxa"/>
          <w:tblInd w:w="108" w:type="dxa"/>
          <w:tblLayout w:type="fixed"/>
          <w:tblLook w:val="04A0"/>
        </w:tblPrEx>
        <w:trPr>
          <w:trHeight w:val="698"/>
        </w:trPr>
        <w:tc>
          <w:tcPr>
            <w:tcW w:w="2977" w:type="dxa"/>
            <w:tcBorders>
              <w:top w:val="nil"/>
              <w:left w:val="single" w:sz="4" w:space="0" w:color="auto"/>
              <w:bottom w:val="single" w:sz="4" w:space="0" w:color="auto"/>
              <w:right w:val="single" w:sz="4" w:space="0" w:color="auto"/>
            </w:tcBorders>
            <w:vAlign w:val="center"/>
            <w:hideMark/>
          </w:tcPr>
          <w:p w:rsidR="00674A6B" w:rsidRPr="00674A6B" w:rsidP="00674A6B" w14:paraId="2E042FB3" w14:textId="77777777">
            <w:pPr>
              <w:spacing w:after="0" w:line="240" w:lineRule="auto"/>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В тому числі електронних послуг (од.)</w:t>
            </w:r>
          </w:p>
        </w:tc>
        <w:tc>
          <w:tcPr>
            <w:tcW w:w="1134" w:type="dxa"/>
            <w:tcBorders>
              <w:top w:val="nil"/>
              <w:left w:val="nil"/>
              <w:bottom w:val="single" w:sz="4" w:space="0" w:color="auto"/>
              <w:right w:val="single" w:sz="4" w:space="0" w:color="auto"/>
            </w:tcBorders>
            <w:vAlign w:val="center"/>
            <w:hideMark/>
          </w:tcPr>
          <w:p w:rsidR="00674A6B" w:rsidRPr="00674A6B" w:rsidP="00674A6B" w14:paraId="71A6AFE7"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43</w:t>
            </w:r>
          </w:p>
        </w:tc>
        <w:tc>
          <w:tcPr>
            <w:tcW w:w="1418" w:type="dxa"/>
            <w:tcBorders>
              <w:top w:val="nil"/>
              <w:left w:val="nil"/>
              <w:bottom w:val="single" w:sz="4" w:space="0" w:color="auto"/>
              <w:right w:val="single" w:sz="4" w:space="0" w:color="auto"/>
            </w:tcBorders>
            <w:vAlign w:val="center"/>
            <w:hideMark/>
          </w:tcPr>
          <w:p w:rsidR="00674A6B" w:rsidRPr="00674A6B" w:rsidP="00674A6B" w14:paraId="22B734DE"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42</w:t>
            </w:r>
          </w:p>
        </w:tc>
        <w:tc>
          <w:tcPr>
            <w:tcW w:w="1275" w:type="dxa"/>
            <w:tcBorders>
              <w:top w:val="nil"/>
              <w:left w:val="nil"/>
              <w:bottom w:val="single" w:sz="4" w:space="0" w:color="auto"/>
              <w:right w:val="single" w:sz="4" w:space="0" w:color="auto"/>
            </w:tcBorders>
            <w:vAlign w:val="center"/>
            <w:hideMark/>
          </w:tcPr>
          <w:p w:rsidR="00674A6B" w:rsidRPr="00674A6B" w:rsidP="00674A6B" w14:paraId="6973FD8A"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42</w:t>
            </w:r>
          </w:p>
        </w:tc>
        <w:tc>
          <w:tcPr>
            <w:tcW w:w="1276" w:type="dxa"/>
            <w:tcBorders>
              <w:top w:val="nil"/>
              <w:left w:val="nil"/>
              <w:bottom w:val="single" w:sz="4" w:space="0" w:color="auto"/>
              <w:right w:val="single" w:sz="4" w:space="0" w:color="auto"/>
            </w:tcBorders>
            <w:vAlign w:val="center"/>
            <w:hideMark/>
          </w:tcPr>
          <w:p w:rsidR="00674A6B" w:rsidRPr="00674A6B" w:rsidP="00674A6B" w14:paraId="21D28F9F"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42</w:t>
            </w:r>
          </w:p>
        </w:tc>
        <w:tc>
          <w:tcPr>
            <w:tcW w:w="1276" w:type="dxa"/>
            <w:tcBorders>
              <w:top w:val="nil"/>
              <w:left w:val="nil"/>
              <w:bottom w:val="single" w:sz="4" w:space="0" w:color="auto"/>
              <w:right w:val="single" w:sz="4" w:space="0" w:color="auto"/>
            </w:tcBorders>
            <w:vAlign w:val="center"/>
            <w:hideMark/>
          </w:tcPr>
          <w:p w:rsidR="00674A6B" w:rsidRPr="00674A6B" w:rsidP="00674A6B" w14:paraId="25DC7D3D"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lang w:val="ru-RU"/>
              </w:rPr>
              <w:t>42</w:t>
            </w:r>
          </w:p>
        </w:tc>
      </w:tr>
    </w:tbl>
    <w:p w:rsidR="00674A6B" w:rsidRPr="00674A6B" w:rsidP="00674A6B" w14:paraId="75B31B64" w14:textId="77777777">
      <w:pPr>
        <w:spacing w:after="0" w:line="240" w:lineRule="auto"/>
        <w:rPr>
          <w:rFonts w:ascii="Times New Roman" w:eastAsia="Times New Roman" w:hAnsi="Times New Roman" w:cs="Times New Roman"/>
          <w:sz w:val="24"/>
          <w:szCs w:val="24"/>
        </w:rPr>
      </w:pPr>
    </w:p>
    <w:p w:rsidR="00674A6B" w:rsidRPr="00674A6B" w:rsidP="00674A6B" w14:paraId="732ECEE6" w14:textId="77777777">
      <w:pPr>
        <w:spacing w:after="0" w:line="240" w:lineRule="auto"/>
        <w:rPr>
          <w:rFonts w:ascii="Times New Roman" w:eastAsia="Times New Roman" w:hAnsi="Times New Roman" w:cs="Times New Roman"/>
          <w:sz w:val="24"/>
          <w:szCs w:val="24"/>
        </w:rPr>
      </w:pPr>
    </w:p>
    <w:p w:rsidR="00674A6B" w:rsidRPr="00674A6B" w:rsidP="00674A6B" w14:paraId="65C44C42" w14:textId="77777777">
      <w:pPr>
        <w:spacing w:after="0" w:line="240" w:lineRule="auto"/>
        <w:rPr>
          <w:rFonts w:ascii="Times New Roman" w:eastAsia="Times New Roman" w:hAnsi="Times New Roman" w:cs="Times New Roman"/>
          <w:sz w:val="24"/>
          <w:szCs w:val="24"/>
        </w:rPr>
      </w:pPr>
    </w:p>
    <w:p w:rsidR="00674A6B" w:rsidRPr="00674A6B" w:rsidP="00674A6B" w14:paraId="36AE5FD0" w14:textId="77777777">
      <w:pPr>
        <w:spacing w:after="0" w:line="240" w:lineRule="auto"/>
        <w:rPr>
          <w:rFonts w:ascii="Times New Roman" w:eastAsia="Times New Roman" w:hAnsi="Times New Roman" w:cs="Times New Roman"/>
          <w:sz w:val="24"/>
          <w:szCs w:val="24"/>
        </w:rPr>
      </w:pPr>
    </w:p>
    <w:p w:rsidR="00674A6B" w:rsidRPr="00674A6B" w:rsidP="00674A6B" w14:paraId="5A9E6E40" w14:textId="77777777">
      <w:pPr>
        <w:spacing w:after="0" w:line="240" w:lineRule="auto"/>
        <w:rPr>
          <w:rFonts w:ascii="Times New Roman" w:eastAsia="Times New Roman" w:hAnsi="Times New Roman" w:cs="Times New Roman"/>
          <w:sz w:val="24"/>
          <w:szCs w:val="24"/>
        </w:rPr>
      </w:pPr>
    </w:p>
    <w:p w:rsidR="00674A6B" w:rsidRPr="00674A6B" w:rsidP="00674A6B" w14:paraId="78DC54E6" w14:textId="77777777">
      <w:pPr>
        <w:spacing w:after="0" w:line="240" w:lineRule="auto"/>
        <w:ind w:left="720"/>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eastAsia="en-US"/>
        </w:rPr>
        <w:t>ІІІ. Загальні показники бюджету</w:t>
      </w:r>
    </w:p>
    <w:p w:rsidR="00674A6B" w:rsidRPr="0002782F" w:rsidP="00674A6B" w14:paraId="37B206D9" w14:textId="77777777">
      <w:pPr>
        <w:spacing w:after="0" w:line="240" w:lineRule="auto"/>
        <w:ind w:left="720"/>
        <w:jc w:val="center"/>
        <w:rPr>
          <w:rFonts w:ascii="Times New Roman" w:eastAsia="Calibri" w:hAnsi="Times New Roman" w:cs="Times New Roman"/>
          <w:b/>
          <w:sz w:val="28"/>
          <w:szCs w:val="28"/>
          <w:lang w:eastAsia="en-US"/>
        </w:rPr>
      </w:pPr>
    </w:p>
    <w:p w:rsidR="00674A6B" w:rsidRPr="00674A6B" w:rsidP="00674A6B" w14:paraId="43BD8015" w14:textId="77777777">
      <w:pPr>
        <w:spacing w:after="0" w:line="240" w:lineRule="auto"/>
        <w:ind w:firstLine="567"/>
        <w:jc w:val="both"/>
        <w:rPr>
          <w:rFonts w:ascii="Times New Roman" w:eastAsia="Calibri" w:hAnsi="Times New Roman" w:cs="Times New Roman"/>
          <w:color w:val="000000"/>
          <w:sz w:val="28"/>
          <w:szCs w:val="28"/>
          <w:lang w:eastAsia="en-US"/>
        </w:rPr>
      </w:pPr>
      <w:r w:rsidRPr="00674A6B">
        <w:rPr>
          <w:rFonts w:ascii="Times New Roman" w:eastAsia="Calibri" w:hAnsi="Times New Roman" w:cs="Times New Roman"/>
          <w:sz w:val="28"/>
          <w:szCs w:val="28"/>
          <w:lang w:eastAsia="en-US"/>
        </w:rPr>
        <w:t xml:space="preserve">Прогноз включає показники бюджету Броварської міської територіальної громади за основними видами доходів, видатків, кредитування та фінансування, взаємовідносинами бюджету територіальної громади з бюджетами інших рівнів, </w:t>
      </w:r>
      <w:r w:rsidRPr="00674A6B">
        <w:rPr>
          <w:rFonts w:ascii="Times New Roman" w:eastAsia="Calibri" w:hAnsi="Times New Roman" w:cs="Times New Roman"/>
          <w:color w:val="000000"/>
          <w:sz w:val="28"/>
          <w:szCs w:val="28"/>
          <w:lang w:eastAsia="en-US"/>
        </w:rPr>
        <w:t xml:space="preserve">згідно з додатком 1. </w:t>
      </w:r>
    </w:p>
    <w:p w:rsidR="00674A6B" w:rsidRPr="00674A6B" w:rsidP="00674A6B" w14:paraId="57E789E2" w14:textId="77777777">
      <w:pPr>
        <w:spacing w:after="0" w:line="240" w:lineRule="auto"/>
        <w:ind w:firstLine="567"/>
        <w:jc w:val="both"/>
        <w:rPr>
          <w:rFonts w:ascii="Times New Roman" w:eastAsia="Calibri" w:hAnsi="Times New Roman" w:cs="Times New Roman"/>
          <w:color w:val="000000"/>
          <w:sz w:val="28"/>
          <w:szCs w:val="28"/>
          <w:lang w:eastAsia="en-US"/>
        </w:rPr>
      </w:pPr>
      <w:r w:rsidRPr="00674A6B">
        <w:rPr>
          <w:rFonts w:ascii="Times New Roman" w:eastAsia="Calibri" w:hAnsi="Times New Roman" w:cs="Times New Roman"/>
          <w:color w:val="000000"/>
          <w:sz w:val="28"/>
          <w:szCs w:val="28"/>
          <w:lang w:eastAsia="en-US"/>
        </w:rPr>
        <w:t xml:space="preserve">При розрахунку показників бюджету Броварської міської територіальної громади на 2026-2028 роки враховано </w:t>
      </w:r>
      <w:r w:rsidRPr="00674A6B">
        <w:rPr>
          <w:rFonts w:ascii="Times New Roman" w:eastAsia="Calibri" w:hAnsi="Times New Roman" w:cs="Times New Roman"/>
          <w:sz w:val="28"/>
          <w:szCs w:val="28"/>
          <w:lang w:eastAsia="en-US"/>
        </w:rPr>
        <w:t xml:space="preserve">прогнозні показники економічного і соціального розвитку громади, підвищення розміру мінімальної заробітної плати, динаміку надходжень за 2022 - 2024 роки та очікуване виконання за 2025 рік, </w:t>
      </w:r>
      <w:r w:rsidRPr="00674A6B">
        <w:rPr>
          <w:rFonts w:ascii="Times New Roman" w:eastAsia="Calibri" w:hAnsi="Times New Roman" w:cs="Times New Roman"/>
          <w:color w:val="000000"/>
          <w:sz w:val="28"/>
          <w:szCs w:val="28"/>
          <w:lang w:eastAsia="en-US"/>
        </w:rPr>
        <w:t>норми положень Бюджетного кодексу України та Податкового кодексу України та застосування чинних ставок оподаткування.</w:t>
      </w:r>
    </w:p>
    <w:p w:rsidR="00674A6B" w:rsidRPr="00674A6B" w:rsidP="00674A6B" w14:paraId="68A17E4A" w14:textId="77777777">
      <w:pPr>
        <w:widowControl w:val="0"/>
        <w:snapToGrid w:val="0"/>
        <w:spacing w:after="0" w:line="240" w:lineRule="auto"/>
        <w:ind w:left="714"/>
        <w:jc w:val="both"/>
        <w:rPr>
          <w:rFonts w:ascii="Times New Roman" w:eastAsia="Times New Roman" w:hAnsi="Times New Roman" w:cs="Times New Roman"/>
          <w:color w:val="000000"/>
          <w:sz w:val="16"/>
          <w:szCs w:val="16"/>
          <w:lang w:eastAsia="ru-RU"/>
        </w:rPr>
      </w:pPr>
    </w:p>
    <w:p w:rsidR="00674A6B" w:rsidRPr="00674A6B" w:rsidP="00674A6B" w14:paraId="1676B8E6" w14:textId="7C5CD703">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Макроекономічні показники економічного і соціального розвитку, визначені з урахуваннями постанови Кабінету Міністрів України від 27 червня 2025 № 774 «Про схвалення Бюджетної декларації на 2026–2028 роки»:</w:t>
      </w:r>
    </w:p>
    <w:p w:rsidR="00674A6B" w:rsidRPr="00674A6B" w:rsidP="0002782F" w14:paraId="63A00520"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зростання валового внутрішнього продукту у 2026 році – 4,5 відсотка, у 2027 році – 5,0 відсотків, у 2028 році - 5,7 відсотків;</w:t>
      </w:r>
    </w:p>
    <w:p w:rsidR="00674A6B" w:rsidRPr="00674A6B" w:rsidP="0002782F" w14:paraId="0CF197F6"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 xml:space="preserve">індекс споживчих цін (грудень до грудня попереднього року) становитиме 108,6 відсотків у 2026 році, 105,9 відсотків у 2027 році, 105,3 відсотків у 2028 році; </w:t>
      </w:r>
    </w:p>
    <w:p w:rsidR="00674A6B" w:rsidRPr="00674A6B" w:rsidP="0002782F" w14:paraId="2B5F6B18"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індекс цін виробників (грудень до грудня попереднього року) у 2026 році 111,3 відсотків, у 2027 році – 109,4 відсотків; у 2028 році 107,9 відсотків.</w:t>
      </w:r>
    </w:p>
    <w:p w:rsidR="00674A6B" w:rsidRPr="00674A6B" w:rsidP="00674A6B" w14:paraId="069C5070" w14:textId="77777777">
      <w:pPr>
        <w:widowControl w:val="0"/>
        <w:snapToGrid w:val="0"/>
        <w:spacing w:after="0" w:line="240" w:lineRule="auto"/>
        <w:ind w:firstLine="567"/>
        <w:jc w:val="both"/>
        <w:rPr>
          <w:rFonts w:ascii="Times New Roman" w:eastAsia="Times New Roman" w:hAnsi="Times New Roman" w:cs="Times New Roman"/>
          <w:color w:val="000000"/>
          <w:sz w:val="16"/>
          <w:szCs w:val="16"/>
          <w:lang w:eastAsia="ru-RU"/>
        </w:rPr>
      </w:pPr>
    </w:p>
    <w:p w:rsidR="00674A6B" w:rsidRPr="00674A6B" w:rsidP="00674A6B" w14:paraId="35C68E90"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Показники розміру соціальних стандартів враховано, відповідно до визначених у листі Міністерства фінансів України № 05120-08-6/19235 від 09.07.2025 «Щодо особливостей середньострокового бюджетного планування та складання розрахунків до прогнозів місцевих бюджетів», а саме:</w:t>
      </w:r>
    </w:p>
    <w:p w:rsidR="00674A6B" w:rsidRPr="00674A6B" w:rsidP="0002782F" w14:paraId="1D57F4CB"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розмір мінімальної заробітної плати з 1 січня 2026 року – 8 688 гривень (темп приросту – 8,6 відсотка), з 1 січня 2027 року – 9 374 гривень (темп приросту – 7,9 відсотка), з 1 січня 2028 року – 10 059 гривень (темп приросту 7,3 відсотка);</w:t>
      </w:r>
    </w:p>
    <w:p w:rsidR="00674A6B" w:rsidRPr="00674A6B" w:rsidP="0002782F" w14:paraId="5256D85A"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 xml:space="preserve">розмір посадового окладу працівника І тарифного розряду Єдиної тарифної сітки з 1 січня 2026 року – 3 470 гривень (темп приросту 8,6 відсотка), з 1 січня 2027 року – 3 744 гривень (темп приросту – 7,9 відсотка), з 1 січня 2028 року - 4 018 гривень (темп приросту - 7,3 відсотка). </w:t>
      </w:r>
    </w:p>
    <w:p w:rsidR="00674A6B" w:rsidRPr="00674A6B" w:rsidP="00674A6B" w14:paraId="68B6CEE8" w14:textId="77777777">
      <w:pPr>
        <w:widowControl w:val="0"/>
        <w:snapToGrid w:val="0"/>
        <w:spacing w:after="0" w:line="240" w:lineRule="auto"/>
        <w:ind w:left="567"/>
        <w:jc w:val="both"/>
        <w:rPr>
          <w:rFonts w:ascii="Times New Roman" w:eastAsia="Times New Roman" w:hAnsi="Times New Roman" w:cs="Times New Roman"/>
          <w:color w:val="000000"/>
          <w:sz w:val="16"/>
          <w:szCs w:val="16"/>
          <w:lang w:eastAsia="ru-RU"/>
        </w:rPr>
      </w:pPr>
    </w:p>
    <w:p w:rsidR="00674A6B" w:rsidRPr="00674A6B" w:rsidP="00674A6B" w14:paraId="482C8ECB"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Обсяг доходів загального фонду бюджету Броварської міської територіальної громади (з міжбюджетними трансфертами), розрахований на 2026 рік у сумі  2 629 768 704 гривень, на 2027 рік – 2 743 940 983 гривень., на 2028 рік  – 2 867 541 258 грн.</w:t>
      </w:r>
    </w:p>
    <w:p w:rsidR="00674A6B" w:rsidRPr="00674A6B" w:rsidP="00674A6B" w14:paraId="706EECE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Темп росту доходів загального фонду складає: 2026 року до 2025 року – 9,5 відсотка, 2027 року до 2026 року – 4,3 відсотка, 2028 року до 2027 року – 4,5 відсотків.</w:t>
      </w:r>
    </w:p>
    <w:p w:rsidR="00674A6B" w:rsidRPr="00674A6B" w:rsidP="00674A6B" w14:paraId="6A82DD4A"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Обсяг доходів спеціального фонду бюджету міської територіальної </w:t>
      </w:r>
      <w:r w:rsidRPr="00674A6B">
        <w:rPr>
          <w:rFonts w:ascii="Times New Roman" w:eastAsia="Times New Roman" w:hAnsi="Times New Roman" w:cs="Times New Roman"/>
          <w:sz w:val="28"/>
          <w:szCs w:val="28"/>
          <w:lang w:eastAsia="ru-RU"/>
        </w:rPr>
        <w:t>громади (з міжбюджетними трансфертами), прогнозується на 2026 році у сумі 100 827 657 гривень,  на 2027 рік – 104 159 423 гривні, на 2028 рік  – 109 295 169 гривень.</w:t>
      </w:r>
    </w:p>
    <w:p w:rsidR="00674A6B" w:rsidRPr="00674A6B" w:rsidP="00674A6B" w14:paraId="3970407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Темп росту доходів спеціального фонду складає: 2026 року до 2025 року– - 63,5 відсотка, 2027 року до 2026 року – 3,3 відсотка, 2028 року до 2027 року – 4,9 відсотка.</w:t>
      </w:r>
    </w:p>
    <w:p w:rsidR="00674A6B" w:rsidRPr="00674A6B" w:rsidP="00674A6B" w14:paraId="2265F43E"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674A6B" w:rsidRPr="00674A6B" w:rsidP="00674A6B" w14:paraId="3C57AE4A"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Фінансування бюджету</w:t>
      </w:r>
      <w:r w:rsidRPr="00674A6B">
        <w:rPr>
          <w:rFonts w:ascii="Calibri" w:eastAsia="Calibri" w:hAnsi="Calibri" w:cs="Times New Roman"/>
          <w:sz w:val="28"/>
          <w:szCs w:val="28"/>
          <w:lang w:eastAsia="en-US"/>
        </w:rPr>
        <w:t xml:space="preserve"> </w:t>
      </w:r>
      <w:r w:rsidRPr="00674A6B">
        <w:rPr>
          <w:rFonts w:ascii="Times New Roman" w:eastAsia="Calibri" w:hAnsi="Times New Roman" w:cs="Times New Roman"/>
          <w:sz w:val="28"/>
          <w:szCs w:val="28"/>
          <w:lang w:eastAsia="en-US"/>
        </w:rPr>
        <w:t>передбачено на погашення кредиту від Акціонерного товариства «Державний експортно - імпортний банк України» для фінансування видатків по об’єкту: «Будівництво загальноосвітньої школи І ступеню по вул. Петлюри Симона (Черняховського), 17-Б в м.Бровари Київської області»:</w:t>
      </w:r>
    </w:p>
    <w:p w:rsidR="00674A6B" w:rsidRPr="00674A6B" w:rsidP="0002782F" w14:paraId="0AC61677" w14:textId="7A3DAC26">
      <w:pPr>
        <w:spacing w:after="0" w:line="240" w:lineRule="auto"/>
        <w:ind w:left="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у 2026 році – 30 300 000 </w:t>
      </w:r>
      <w:r w:rsidRPr="00674A6B" w:rsidR="0002782F">
        <w:rPr>
          <w:rFonts w:ascii="Times New Roman" w:eastAsia="Times New Roman" w:hAnsi="Times New Roman" w:cs="Times New Roman"/>
          <w:sz w:val="28"/>
          <w:szCs w:val="28"/>
          <w:lang w:eastAsia="ru-RU"/>
        </w:rPr>
        <w:t>гривень</w:t>
      </w:r>
      <w:r w:rsidRPr="00674A6B">
        <w:rPr>
          <w:rFonts w:ascii="Times New Roman" w:eastAsia="Calibri" w:hAnsi="Times New Roman" w:cs="Times New Roman"/>
          <w:sz w:val="28"/>
          <w:szCs w:val="28"/>
          <w:lang w:eastAsia="en-US"/>
        </w:rPr>
        <w:t>;</w:t>
      </w:r>
    </w:p>
    <w:p w:rsidR="00674A6B" w:rsidRPr="00674A6B" w:rsidP="0002782F" w14:paraId="6C5894F1" w14:textId="6AB930ED">
      <w:pPr>
        <w:spacing w:after="0" w:line="240" w:lineRule="auto"/>
        <w:ind w:left="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у 2027 році – 30 300 000 </w:t>
      </w:r>
      <w:r w:rsidRPr="00674A6B" w:rsidR="0002782F">
        <w:rPr>
          <w:rFonts w:ascii="Times New Roman" w:eastAsia="Times New Roman" w:hAnsi="Times New Roman" w:cs="Times New Roman"/>
          <w:sz w:val="28"/>
          <w:szCs w:val="28"/>
          <w:lang w:eastAsia="ru-RU"/>
        </w:rPr>
        <w:t>гривень</w:t>
      </w:r>
      <w:r w:rsidRPr="00674A6B">
        <w:rPr>
          <w:rFonts w:ascii="Times New Roman" w:eastAsia="Calibri" w:hAnsi="Times New Roman" w:cs="Times New Roman"/>
          <w:sz w:val="28"/>
          <w:szCs w:val="28"/>
          <w:lang w:eastAsia="en-US"/>
        </w:rPr>
        <w:t>;</w:t>
      </w:r>
    </w:p>
    <w:p w:rsidR="00674A6B" w:rsidRPr="00674A6B" w:rsidP="0002782F" w14:paraId="1D56C6DB" w14:textId="77254DB0">
      <w:pPr>
        <w:spacing w:after="0" w:line="240" w:lineRule="auto"/>
        <w:ind w:left="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у 2028 році – 30 300 000 </w:t>
      </w:r>
      <w:r w:rsidRPr="00674A6B" w:rsidR="0002782F">
        <w:rPr>
          <w:rFonts w:ascii="Times New Roman" w:eastAsia="Times New Roman" w:hAnsi="Times New Roman" w:cs="Times New Roman"/>
          <w:sz w:val="28"/>
          <w:szCs w:val="28"/>
          <w:lang w:eastAsia="ru-RU"/>
        </w:rPr>
        <w:t>гривень</w:t>
      </w:r>
      <w:r w:rsidR="0002782F">
        <w:rPr>
          <w:rFonts w:ascii="Times New Roman" w:eastAsia="Times New Roman" w:hAnsi="Times New Roman" w:cs="Times New Roman"/>
          <w:sz w:val="28"/>
          <w:szCs w:val="28"/>
          <w:lang w:eastAsia="ru-RU"/>
        </w:rPr>
        <w:t>.</w:t>
      </w:r>
    </w:p>
    <w:p w:rsidR="00674A6B" w:rsidRPr="00674A6B" w:rsidP="00674A6B" w14:paraId="25178937" w14:textId="77777777">
      <w:pPr>
        <w:spacing w:after="0" w:line="240" w:lineRule="auto"/>
        <w:ind w:left="927"/>
        <w:jc w:val="both"/>
        <w:rPr>
          <w:rFonts w:ascii="Times New Roman" w:eastAsia="Calibri" w:hAnsi="Times New Roman" w:cs="Times New Roman"/>
          <w:sz w:val="16"/>
          <w:szCs w:val="16"/>
          <w:lang w:eastAsia="en-US"/>
        </w:rPr>
      </w:pPr>
    </w:p>
    <w:p w:rsidR="00674A6B" w:rsidRPr="00674A6B" w:rsidP="00674A6B" w14:paraId="12F7CBAA" w14:textId="06DFF6EB">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Видатки бюджету Броварської міської територіальної громади (з урахуванням міжбюджетних трансфертів) визначені у наступних обсягах: 2026 рік – 2 700 296 361 гривень (у тому числі: загальний фонд – 2 379 968 704 гривні, спеціальний фонд  – 320 327 657 гривень),  2027 рік – 2 817 800 406 гривень (у тому числі:  загальний фонд –  2 496 140 983 гривень, спеціальний фонд -  321 659 423 гривні), 2028 рік – 2 946 536 427 гривень ( у тому числі: загальний фонд – 2 617 741 258 гривень , спеціальний фонд – 328 795 169 гривні).</w:t>
      </w:r>
    </w:p>
    <w:p w:rsidR="00674A6B" w:rsidRPr="00674A6B" w:rsidP="00674A6B" w14:paraId="474CF394" w14:textId="77777777">
      <w:pPr>
        <w:spacing w:after="0" w:line="240" w:lineRule="auto"/>
        <w:ind w:left="567"/>
        <w:jc w:val="both"/>
        <w:rPr>
          <w:rFonts w:ascii="Times New Roman" w:eastAsia="Calibri" w:hAnsi="Times New Roman" w:cs="Times New Roman"/>
          <w:sz w:val="28"/>
          <w:szCs w:val="28"/>
          <w:lang w:eastAsia="en-US"/>
        </w:rPr>
      </w:pPr>
    </w:p>
    <w:p w:rsidR="00674A6B" w:rsidRPr="00674A6B" w:rsidP="00674A6B" w14:paraId="6E293ECB" w14:textId="77777777">
      <w:pPr>
        <w:spacing w:after="0" w:line="240" w:lineRule="auto"/>
        <w:ind w:firstLine="567"/>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val="ru-RU" w:eastAsia="en-US"/>
        </w:rPr>
        <w:t>ІV. Показники доході</w:t>
      </w:r>
      <w:r w:rsidRPr="00674A6B">
        <w:rPr>
          <w:rFonts w:ascii="Times New Roman" w:eastAsia="Calibri" w:hAnsi="Times New Roman" w:cs="Times New Roman"/>
          <w:b/>
          <w:sz w:val="28"/>
          <w:szCs w:val="28"/>
          <w:lang w:val="ru-RU" w:eastAsia="en-US"/>
        </w:rPr>
        <w:t>в</w:t>
      </w:r>
      <w:r w:rsidRPr="00674A6B">
        <w:rPr>
          <w:rFonts w:ascii="Times New Roman" w:eastAsia="Calibri" w:hAnsi="Times New Roman" w:cs="Times New Roman"/>
          <w:b/>
          <w:sz w:val="28"/>
          <w:szCs w:val="28"/>
          <w:lang w:val="ru-RU" w:eastAsia="en-US"/>
        </w:rPr>
        <w:t xml:space="preserve"> бюджету</w:t>
      </w:r>
    </w:p>
    <w:p w:rsidR="00674A6B" w:rsidRPr="0002782F" w:rsidP="00674A6B" w14:paraId="3F5ADD45" w14:textId="77777777">
      <w:pPr>
        <w:spacing w:after="0" w:line="240" w:lineRule="auto"/>
        <w:ind w:firstLine="567"/>
        <w:jc w:val="center"/>
        <w:rPr>
          <w:rFonts w:ascii="Times New Roman" w:eastAsia="Calibri" w:hAnsi="Times New Roman" w:cs="Times New Roman"/>
          <w:b/>
          <w:sz w:val="28"/>
          <w:szCs w:val="28"/>
          <w:lang w:eastAsia="en-US"/>
        </w:rPr>
      </w:pPr>
    </w:p>
    <w:p w:rsidR="00674A6B" w:rsidRPr="00674A6B" w:rsidP="00674A6B" w14:paraId="1BE76CB8"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Законодавчою основою формування доходної частини бюджету Броварської міської територіальної громади є норми Бюджетного та Податкового кодексів України. </w:t>
      </w:r>
    </w:p>
    <w:p w:rsidR="00674A6B" w:rsidRPr="00674A6B" w:rsidP="00674A6B" w14:paraId="1842A1B8" w14:textId="1A77D621">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Обсяг доходної частини бюджету Броварської міської територіальної громади на 2026 рік згідно з додатком 2 прогнозується в сумі 2 730 596 361 </w:t>
      </w:r>
      <w:r w:rsidRPr="00674A6B" w:rsidR="0002782F">
        <w:rPr>
          <w:rFonts w:ascii="Times New Roman" w:eastAsia="Times New Roman" w:hAnsi="Times New Roman" w:cs="Times New Roman"/>
          <w:sz w:val="28"/>
          <w:szCs w:val="28"/>
          <w:lang w:eastAsia="ru-RU"/>
        </w:rPr>
        <w:t>гривні</w:t>
      </w:r>
      <w:r w:rsidRPr="00674A6B">
        <w:rPr>
          <w:rFonts w:ascii="Times New Roman" w:eastAsia="Times New Roman" w:hAnsi="Times New Roman" w:cs="Times New Roman"/>
          <w:sz w:val="28"/>
          <w:szCs w:val="28"/>
          <w:lang w:eastAsia="en-US"/>
        </w:rPr>
        <w:t>, із них:</w:t>
      </w:r>
    </w:p>
    <w:p w:rsidR="00674A6B" w:rsidRPr="00674A6B" w:rsidP="00674A6B" w14:paraId="4F42BF46" w14:textId="77777777">
      <w:pPr>
        <w:spacing w:after="0" w:line="240" w:lineRule="auto"/>
        <w:ind w:firstLine="567"/>
        <w:jc w:val="both"/>
        <w:rPr>
          <w:rFonts w:ascii="Times New Roman" w:eastAsia="Times New Roman" w:hAnsi="Times New Roman" w:cs="Times New Roman"/>
          <w:sz w:val="8"/>
          <w:szCs w:val="8"/>
          <w:lang w:eastAsia="en-US"/>
        </w:rPr>
      </w:pPr>
    </w:p>
    <w:p w:rsidR="00674A6B" w:rsidRPr="00674A6B" w:rsidP="0002782F" w14:paraId="4EB0B972" w14:textId="25DE24A3">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доходи загального фонду (без урахування міжбюджетних трансфертів) – 2 223 719 600 </w:t>
      </w:r>
      <w:r w:rsidRPr="00674A6B" w:rsidR="0002782F">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xml:space="preserve">, в тому числі: </w:t>
      </w:r>
    </w:p>
    <w:p w:rsidR="00674A6B" w:rsidRPr="00674A6B" w:rsidP="00674A6B" w14:paraId="6CC71C29" w14:textId="77777777">
      <w:pPr>
        <w:spacing w:after="0" w:line="240" w:lineRule="auto"/>
        <w:jc w:val="both"/>
        <w:rPr>
          <w:rFonts w:ascii="Times New Roman" w:eastAsia="Times New Roman" w:hAnsi="Times New Roman" w:cs="Times New Roman"/>
          <w:sz w:val="8"/>
          <w:szCs w:val="8"/>
          <w:lang w:eastAsia="en-US"/>
        </w:rPr>
      </w:pPr>
    </w:p>
    <w:p w:rsidR="00674A6B" w:rsidRPr="00674A6B" w:rsidP="00674A6B" w14:paraId="2D903141" w14:textId="584B2F5A">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податкові надходження – 2 194 714 600 </w:t>
      </w:r>
      <w:r w:rsidRPr="00674A6B" w:rsidR="0002782F">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xml:space="preserve">; </w:t>
      </w:r>
    </w:p>
    <w:p w:rsidR="00674A6B" w:rsidRPr="00674A6B" w:rsidP="00674A6B" w14:paraId="0FBE54B8" w14:textId="6A0C32C7">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неподаткові надходження – 28 845 000 </w:t>
      </w:r>
      <w:r w:rsidRPr="00674A6B" w:rsidR="0002782F">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xml:space="preserve">; </w:t>
      </w:r>
    </w:p>
    <w:p w:rsidR="00674A6B" w:rsidRPr="00674A6B" w:rsidP="00674A6B" w14:paraId="13C4E2F9" w14:textId="04455C42">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доходи від операцій з капіталом –160 000 </w:t>
      </w:r>
      <w:r w:rsidRPr="00674A6B" w:rsidR="0002782F">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w:t>
      </w:r>
    </w:p>
    <w:p w:rsidR="00674A6B" w:rsidRPr="00674A6B" w:rsidP="00674A6B" w14:paraId="034432EB" w14:textId="77777777">
      <w:pPr>
        <w:spacing w:after="0" w:line="240" w:lineRule="auto"/>
        <w:ind w:firstLine="567"/>
        <w:jc w:val="both"/>
        <w:rPr>
          <w:rFonts w:ascii="Times New Roman" w:eastAsia="Times New Roman" w:hAnsi="Times New Roman" w:cs="Times New Roman"/>
          <w:sz w:val="8"/>
          <w:szCs w:val="8"/>
          <w:lang w:eastAsia="en-US"/>
        </w:rPr>
      </w:pPr>
    </w:p>
    <w:p w:rsidR="00674A6B" w:rsidRPr="00674A6B" w:rsidP="0002782F" w14:paraId="6A620748" w14:textId="73F0FD3B">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трансферти з державного бюджету – 365 164 400 </w:t>
      </w:r>
      <w:r w:rsidRPr="00674A6B" w:rsidR="0002782F">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в тому числі:</w:t>
      </w:r>
    </w:p>
    <w:p w:rsidR="00674A6B" w:rsidRPr="00674A6B" w:rsidP="00674A6B" w14:paraId="4DBE51EA" w14:textId="77777777">
      <w:pPr>
        <w:spacing w:after="0" w:line="240" w:lineRule="auto"/>
        <w:jc w:val="both"/>
        <w:rPr>
          <w:rFonts w:ascii="Times New Roman" w:eastAsia="Times New Roman" w:hAnsi="Times New Roman" w:cs="Times New Roman"/>
          <w:sz w:val="8"/>
          <w:szCs w:val="8"/>
          <w:lang w:eastAsia="en-US"/>
        </w:rPr>
      </w:pPr>
    </w:p>
    <w:p w:rsidR="00674A6B" w:rsidRPr="00674A6B" w:rsidP="00674A6B" w14:paraId="1959590C" w14:textId="77486040">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субвенції з державного бюджету місцевим бюджетам – 365 164 400 </w:t>
      </w:r>
      <w:r w:rsidRPr="00674A6B" w:rsidR="0002782F">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xml:space="preserve">; </w:t>
      </w:r>
    </w:p>
    <w:p w:rsidR="00674A6B" w:rsidRPr="00674A6B" w:rsidP="0002782F" w14:paraId="13B9EF70" w14:textId="576B88A0">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трансферти з інших бюджетів – 40 884 704 </w:t>
      </w:r>
      <w:r w:rsidRPr="00674A6B" w:rsidR="0002782F">
        <w:rPr>
          <w:rFonts w:ascii="Times New Roman" w:eastAsia="Times New Roman" w:hAnsi="Times New Roman" w:cs="Times New Roman"/>
          <w:sz w:val="28"/>
          <w:szCs w:val="28"/>
          <w:lang w:eastAsia="ru-RU"/>
        </w:rPr>
        <w:t>гривні</w:t>
      </w:r>
      <w:r w:rsidRPr="00674A6B">
        <w:rPr>
          <w:rFonts w:ascii="Times New Roman" w:eastAsia="Times New Roman" w:hAnsi="Times New Roman" w:cs="Times New Roman"/>
          <w:sz w:val="28"/>
          <w:szCs w:val="28"/>
          <w:lang w:eastAsia="en-US"/>
        </w:rPr>
        <w:t>, в тому числі:</w:t>
      </w:r>
    </w:p>
    <w:p w:rsidR="00674A6B" w:rsidRPr="00674A6B" w:rsidP="00674A6B" w14:paraId="5F235980" w14:textId="72C73565">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дотації з місцевих бюджетів іншим місцевим бюджетам – 5 692 480 </w:t>
      </w:r>
      <w:r w:rsidRPr="00674A6B" w:rsidR="0002782F">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xml:space="preserve">; </w:t>
      </w:r>
    </w:p>
    <w:p w:rsidR="00674A6B" w:rsidRPr="00674A6B" w:rsidP="00674A6B" w14:paraId="6A2D7E15" w14:textId="29D627A7">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субвенції з місцевих бюджетів іншим місцевим бюджетам –35 192 224 </w:t>
      </w:r>
      <w:r w:rsidRPr="00674A6B" w:rsidR="0002782F">
        <w:rPr>
          <w:rFonts w:ascii="Times New Roman" w:eastAsia="Times New Roman" w:hAnsi="Times New Roman" w:cs="Times New Roman"/>
          <w:sz w:val="28"/>
          <w:szCs w:val="28"/>
          <w:lang w:eastAsia="ru-RU"/>
        </w:rPr>
        <w:t>гривні</w:t>
      </w:r>
      <w:r w:rsidR="0002782F">
        <w:rPr>
          <w:rFonts w:ascii="Times New Roman" w:eastAsia="Times New Roman" w:hAnsi="Times New Roman" w:cs="Times New Roman"/>
          <w:sz w:val="28"/>
          <w:szCs w:val="28"/>
          <w:lang w:eastAsia="ru-RU"/>
        </w:rPr>
        <w:t>;</w:t>
      </w:r>
    </w:p>
    <w:p w:rsidR="00674A6B" w:rsidRPr="00674A6B" w:rsidP="00674A6B" w14:paraId="6E4ACBC2" w14:textId="77777777">
      <w:pPr>
        <w:spacing w:after="0" w:line="240" w:lineRule="auto"/>
        <w:rPr>
          <w:rFonts w:ascii="Times New Roman" w:eastAsia="Times New Roman" w:hAnsi="Times New Roman" w:cs="Times New Roman"/>
          <w:sz w:val="8"/>
          <w:szCs w:val="8"/>
          <w:lang w:eastAsia="en-US"/>
        </w:rPr>
      </w:pPr>
    </w:p>
    <w:p w:rsidR="00674A6B" w:rsidRPr="00674A6B" w:rsidP="0002782F" w14:paraId="4677D367" w14:textId="0D88A79B">
      <w:pPr>
        <w:spacing w:after="0" w:line="240" w:lineRule="auto"/>
        <w:ind w:firstLine="567"/>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доходи спеціального фонду 100 827 657 </w:t>
      </w:r>
      <w:r w:rsidRPr="00674A6B" w:rsidR="0002782F">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в тому числі:</w:t>
      </w:r>
    </w:p>
    <w:p w:rsidR="00674A6B" w:rsidRPr="00674A6B" w:rsidP="00674A6B" w14:paraId="7DF5EEE8" w14:textId="77777777">
      <w:pPr>
        <w:spacing w:after="0" w:line="240" w:lineRule="auto"/>
        <w:rPr>
          <w:rFonts w:ascii="Times New Roman" w:eastAsia="Times New Roman" w:hAnsi="Times New Roman" w:cs="Times New Roman"/>
          <w:sz w:val="10"/>
          <w:szCs w:val="10"/>
          <w:lang w:eastAsia="en-US"/>
        </w:rPr>
      </w:pPr>
    </w:p>
    <w:p w:rsidR="00674A6B" w:rsidRPr="00674A6B" w:rsidP="00674A6B" w14:paraId="5EDB27FA" w14:textId="12528577">
      <w:pPr>
        <w:spacing w:after="0" w:line="240" w:lineRule="auto"/>
        <w:ind w:firstLine="567"/>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неподаткові надходження – 84 127 657 </w:t>
      </w:r>
      <w:r w:rsidRPr="00674A6B" w:rsidR="0002782F">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w:t>
      </w:r>
    </w:p>
    <w:p w:rsidR="00674A6B" w:rsidRPr="00674A6B" w:rsidP="00674A6B" w14:paraId="189978AA" w14:textId="02D6EE2A">
      <w:pPr>
        <w:spacing w:after="0" w:line="240" w:lineRule="auto"/>
        <w:ind w:firstLine="567"/>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доходи від операцій з капіталом – 15 000 000 </w:t>
      </w:r>
      <w:r w:rsidRPr="00674A6B" w:rsidR="0002782F">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w:t>
      </w:r>
    </w:p>
    <w:p w:rsidR="00674A6B" w:rsidRPr="00674A6B" w:rsidP="0002782F" w14:paraId="52B6D93D" w14:textId="272A06C5">
      <w:pPr>
        <w:spacing w:after="0" w:line="240" w:lineRule="auto"/>
        <w:ind w:left="567"/>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цільові фонди – 1 700 000 </w:t>
      </w:r>
      <w:r w:rsidRPr="00674A6B" w:rsidR="0002782F">
        <w:rPr>
          <w:rFonts w:ascii="Times New Roman" w:eastAsia="Times New Roman" w:hAnsi="Times New Roman" w:cs="Times New Roman"/>
          <w:sz w:val="28"/>
          <w:szCs w:val="28"/>
          <w:lang w:eastAsia="ru-RU"/>
        </w:rPr>
        <w:t>гривень</w:t>
      </w:r>
      <w:r w:rsidR="0002782F">
        <w:rPr>
          <w:rFonts w:ascii="Times New Roman" w:eastAsia="Times New Roman" w:hAnsi="Times New Roman" w:cs="Times New Roman"/>
          <w:sz w:val="28"/>
          <w:szCs w:val="28"/>
          <w:lang w:eastAsia="ru-RU"/>
        </w:rPr>
        <w:t>.</w:t>
      </w:r>
      <w:r w:rsidRPr="00674A6B">
        <w:rPr>
          <w:rFonts w:ascii="Times New Roman" w:eastAsia="Times New Roman" w:hAnsi="Times New Roman" w:cs="Times New Roman"/>
          <w:sz w:val="28"/>
          <w:szCs w:val="28"/>
          <w:lang w:eastAsia="en-US"/>
        </w:rPr>
        <w:t xml:space="preserve"> </w:t>
      </w:r>
    </w:p>
    <w:p w:rsidR="00674A6B" w:rsidRPr="00674A6B" w:rsidP="00674A6B" w14:paraId="4BB8DDF0" w14:textId="77777777">
      <w:pPr>
        <w:spacing w:after="0" w:line="240" w:lineRule="auto"/>
        <w:jc w:val="both"/>
        <w:rPr>
          <w:rFonts w:ascii="Times New Roman" w:eastAsia="Times New Roman" w:hAnsi="Times New Roman" w:cs="Times New Roman"/>
          <w:sz w:val="8"/>
          <w:szCs w:val="8"/>
          <w:lang w:eastAsia="en-US"/>
        </w:rPr>
      </w:pPr>
    </w:p>
    <w:p w:rsidR="00674A6B" w:rsidRPr="00674A6B" w:rsidP="00674A6B" w14:paraId="0E2725CB" w14:textId="3F620924">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Обсяг доходної частини бюджету Броварської міської територіальної громади на 2027 рік прогнозується в сумі </w:t>
      </w:r>
      <w:r w:rsidRPr="00674A6B">
        <w:rPr>
          <w:rFonts w:ascii="Times New Roman" w:eastAsia="Times New Roman" w:hAnsi="Times New Roman" w:cs="Times New Roman"/>
          <w:b/>
          <w:sz w:val="28"/>
          <w:szCs w:val="28"/>
          <w:lang w:eastAsia="en-US"/>
        </w:rPr>
        <w:t xml:space="preserve"> </w:t>
      </w:r>
      <w:r w:rsidRPr="00674A6B">
        <w:rPr>
          <w:rFonts w:ascii="Times New Roman" w:eastAsia="Times New Roman" w:hAnsi="Times New Roman" w:cs="Times New Roman"/>
          <w:sz w:val="28"/>
          <w:szCs w:val="28"/>
          <w:lang w:eastAsia="en-US"/>
        </w:rPr>
        <w:t>2 848 100 406</w:t>
      </w:r>
      <w:r w:rsidRPr="00674A6B">
        <w:rPr>
          <w:rFonts w:ascii="Times New Roman" w:eastAsia="Times New Roman" w:hAnsi="Times New Roman" w:cs="Times New Roman"/>
          <w:b/>
          <w:sz w:val="28"/>
          <w:szCs w:val="28"/>
          <w:lang w:eastAsia="en-US"/>
        </w:rPr>
        <w:t xml:space="preserve"> </w:t>
      </w:r>
      <w:r w:rsidRPr="00674A6B" w:rsidR="0002782F">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із них:</w:t>
      </w:r>
    </w:p>
    <w:p w:rsidR="00674A6B" w:rsidRPr="00674A6B" w:rsidP="00674A6B" w14:paraId="0EE19BEA" w14:textId="77777777">
      <w:pPr>
        <w:spacing w:after="0" w:line="240" w:lineRule="auto"/>
        <w:ind w:firstLine="567"/>
        <w:jc w:val="both"/>
        <w:rPr>
          <w:rFonts w:ascii="Times New Roman" w:eastAsia="Times New Roman" w:hAnsi="Times New Roman" w:cs="Times New Roman"/>
          <w:sz w:val="8"/>
          <w:szCs w:val="8"/>
          <w:lang w:eastAsia="en-US"/>
        </w:rPr>
      </w:pPr>
    </w:p>
    <w:p w:rsidR="00674A6B" w:rsidRPr="00674A6B" w:rsidP="0002782F" w14:paraId="00271835" w14:textId="19DEE247">
      <w:pPr>
        <w:spacing w:after="0" w:line="240" w:lineRule="auto"/>
        <w:ind w:firstLine="567"/>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доходи загального фонду (без урахування міжбюджетних трансфертів) –     2 306 098 000 </w:t>
      </w:r>
      <w:r w:rsidRPr="00674A6B" w:rsidR="0002782F">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в тому числі:</w:t>
      </w:r>
    </w:p>
    <w:p w:rsidR="00674A6B" w:rsidRPr="00674A6B" w:rsidP="00674A6B" w14:paraId="76D86591" w14:textId="77777777">
      <w:pPr>
        <w:spacing w:after="0" w:line="240" w:lineRule="auto"/>
        <w:rPr>
          <w:rFonts w:ascii="Times New Roman" w:eastAsia="Times New Roman" w:hAnsi="Times New Roman" w:cs="Times New Roman"/>
          <w:sz w:val="8"/>
          <w:szCs w:val="8"/>
          <w:lang w:eastAsia="en-US"/>
        </w:rPr>
      </w:pPr>
    </w:p>
    <w:p w:rsidR="00674A6B" w:rsidRPr="00674A6B" w:rsidP="00674A6B" w14:paraId="66BD7458" w14:textId="42297888">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податкові надходження – 2 276 346 000 </w:t>
      </w:r>
      <w:r w:rsidRPr="00674A6B" w:rsidR="0002782F">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xml:space="preserve">; </w:t>
      </w:r>
    </w:p>
    <w:p w:rsidR="00674A6B" w:rsidRPr="00674A6B" w:rsidP="00674A6B" w14:paraId="0D254830" w14:textId="7C850FE4">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неподаткові надходження – 29 587 000 </w:t>
      </w:r>
      <w:r w:rsidRPr="00674A6B" w:rsidR="0002782F">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xml:space="preserve">; </w:t>
      </w:r>
    </w:p>
    <w:p w:rsidR="00674A6B" w:rsidRPr="00674A6B" w:rsidP="00674A6B" w14:paraId="6A4F0259" w14:textId="7EC6D957">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доходи від операцій з капіталом – 165 000 </w:t>
      </w:r>
      <w:r w:rsidRPr="00674A6B" w:rsidR="0002782F">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w:t>
      </w:r>
    </w:p>
    <w:p w:rsidR="00674A6B" w:rsidRPr="00674A6B" w:rsidP="00674A6B" w14:paraId="7419F0E9" w14:textId="77777777">
      <w:pPr>
        <w:spacing w:after="0" w:line="240" w:lineRule="auto"/>
        <w:jc w:val="both"/>
        <w:rPr>
          <w:rFonts w:ascii="Times New Roman" w:eastAsia="Times New Roman" w:hAnsi="Times New Roman" w:cs="Times New Roman"/>
          <w:sz w:val="8"/>
          <w:szCs w:val="8"/>
          <w:lang w:eastAsia="en-US"/>
        </w:rPr>
      </w:pPr>
    </w:p>
    <w:p w:rsidR="00674A6B" w:rsidRPr="00674A6B" w:rsidP="0002782F" w14:paraId="223C2005" w14:textId="28C4FD23">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трансферти з державного бюджету – 393 998 700 </w:t>
      </w:r>
      <w:r w:rsidRPr="00674A6B" w:rsidR="0002782F">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в тому числі:</w:t>
      </w:r>
    </w:p>
    <w:p w:rsidR="00674A6B" w:rsidRPr="00674A6B" w:rsidP="00674A6B" w14:paraId="77A51F94" w14:textId="77777777">
      <w:pPr>
        <w:spacing w:after="0" w:line="240" w:lineRule="auto"/>
        <w:jc w:val="both"/>
        <w:rPr>
          <w:rFonts w:ascii="Times New Roman" w:eastAsia="Times New Roman" w:hAnsi="Times New Roman" w:cs="Times New Roman"/>
          <w:sz w:val="8"/>
          <w:szCs w:val="8"/>
          <w:lang w:eastAsia="en-US"/>
        </w:rPr>
      </w:pPr>
    </w:p>
    <w:p w:rsidR="00674A6B" w:rsidRPr="00674A6B" w:rsidP="00674A6B" w14:paraId="14B960B6" w14:textId="2413FCC1">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субвенції з державного бюджету місцевим бюджетам – 393 998 700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xml:space="preserve">; </w:t>
      </w:r>
    </w:p>
    <w:p w:rsidR="00674A6B" w:rsidRPr="00674A6B" w:rsidP="006A5D24" w14:paraId="26BFE7D5" w14:textId="40344A8B">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трансферти з інших бюджетів – 43 844 283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в тому числі:</w:t>
      </w:r>
    </w:p>
    <w:p w:rsidR="00674A6B" w:rsidRPr="00674A6B" w:rsidP="00674A6B" w14:paraId="2B2D9552" w14:textId="30EDF880">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дотації з місцевих бюджетів іншим місцевим бюджетам – 5 692 480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xml:space="preserve">; </w:t>
      </w:r>
    </w:p>
    <w:p w:rsidR="00674A6B" w:rsidRPr="00674A6B" w:rsidP="00674A6B" w14:paraId="0EC63472" w14:textId="612F303D">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субвенції з місцевих бюджетів іншим місцевим бюджетам –  38 151 803 </w:t>
      </w:r>
      <w:r w:rsidRPr="00674A6B" w:rsidR="006A5D24">
        <w:rPr>
          <w:rFonts w:ascii="Times New Roman" w:eastAsia="Times New Roman" w:hAnsi="Times New Roman" w:cs="Times New Roman"/>
          <w:sz w:val="28"/>
          <w:szCs w:val="28"/>
          <w:lang w:eastAsia="ru-RU"/>
        </w:rPr>
        <w:t>гривні</w:t>
      </w:r>
      <w:r w:rsidR="006A5D24">
        <w:rPr>
          <w:rFonts w:ascii="Times New Roman" w:eastAsia="Times New Roman" w:hAnsi="Times New Roman" w:cs="Times New Roman"/>
          <w:sz w:val="28"/>
          <w:szCs w:val="28"/>
          <w:lang w:eastAsia="ru-RU"/>
        </w:rPr>
        <w:t>;</w:t>
      </w:r>
    </w:p>
    <w:p w:rsidR="00674A6B" w:rsidRPr="00674A6B" w:rsidP="00674A6B" w14:paraId="64D6C218" w14:textId="77777777">
      <w:pPr>
        <w:spacing w:after="0" w:line="240" w:lineRule="auto"/>
        <w:rPr>
          <w:rFonts w:ascii="Times New Roman" w:eastAsia="Times New Roman" w:hAnsi="Times New Roman" w:cs="Times New Roman"/>
          <w:sz w:val="8"/>
          <w:szCs w:val="8"/>
          <w:lang w:eastAsia="en-US"/>
        </w:rPr>
      </w:pPr>
    </w:p>
    <w:p w:rsidR="00674A6B" w:rsidRPr="00674A6B" w:rsidP="006A5D24" w14:paraId="1DE0F3E7" w14:textId="57DE90F3">
      <w:pPr>
        <w:spacing w:after="0" w:line="240" w:lineRule="auto"/>
        <w:ind w:firstLine="567"/>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доходи спеціального фонду 104 159 423 </w:t>
      </w:r>
      <w:r w:rsidRPr="00674A6B" w:rsidR="006A5D24">
        <w:rPr>
          <w:rFonts w:ascii="Times New Roman" w:eastAsia="Times New Roman" w:hAnsi="Times New Roman" w:cs="Times New Roman"/>
          <w:sz w:val="28"/>
          <w:szCs w:val="28"/>
          <w:lang w:eastAsia="ru-RU"/>
        </w:rPr>
        <w:t>гривні</w:t>
      </w:r>
      <w:r w:rsidRPr="00674A6B">
        <w:rPr>
          <w:rFonts w:ascii="Times New Roman" w:eastAsia="Times New Roman" w:hAnsi="Times New Roman" w:cs="Times New Roman"/>
          <w:sz w:val="28"/>
          <w:szCs w:val="28"/>
          <w:lang w:eastAsia="en-US"/>
        </w:rPr>
        <w:t>, в тому числі:</w:t>
      </w:r>
    </w:p>
    <w:p w:rsidR="00674A6B" w:rsidRPr="00674A6B" w:rsidP="00674A6B" w14:paraId="59F9AEF2" w14:textId="77777777">
      <w:pPr>
        <w:spacing w:after="0" w:line="240" w:lineRule="auto"/>
        <w:rPr>
          <w:rFonts w:ascii="Times New Roman" w:eastAsia="Times New Roman" w:hAnsi="Times New Roman" w:cs="Times New Roman"/>
          <w:sz w:val="10"/>
          <w:szCs w:val="10"/>
          <w:lang w:eastAsia="en-US"/>
        </w:rPr>
      </w:pPr>
    </w:p>
    <w:p w:rsidR="00674A6B" w:rsidRPr="00674A6B" w:rsidP="00674A6B" w14:paraId="5AB9656F" w14:textId="0C5A1AD7">
      <w:pPr>
        <w:spacing w:after="0" w:line="240" w:lineRule="auto"/>
        <w:ind w:firstLine="567"/>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неподаткові надходження – 85 359 423 </w:t>
      </w:r>
      <w:r w:rsidRPr="00674A6B" w:rsidR="006A5D24">
        <w:rPr>
          <w:rFonts w:ascii="Times New Roman" w:eastAsia="Times New Roman" w:hAnsi="Times New Roman" w:cs="Times New Roman"/>
          <w:sz w:val="28"/>
          <w:szCs w:val="28"/>
          <w:lang w:eastAsia="ru-RU"/>
        </w:rPr>
        <w:t>гривні</w:t>
      </w:r>
      <w:r w:rsidRPr="00674A6B">
        <w:rPr>
          <w:rFonts w:ascii="Times New Roman" w:eastAsia="Times New Roman" w:hAnsi="Times New Roman" w:cs="Times New Roman"/>
          <w:sz w:val="28"/>
          <w:szCs w:val="28"/>
          <w:lang w:eastAsia="en-US"/>
        </w:rPr>
        <w:t xml:space="preserve">; </w:t>
      </w:r>
    </w:p>
    <w:p w:rsidR="00674A6B" w:rsidRPr="00674A6B" w:rsidP="00674A6B" w14:paraId="15754644" w14:textId="13ECD187">
      <w:pPr>
        <w:spacing w:after="0" w:line="240" w:lineRule="auto"/>
        <w:ind w:firstLine="567"/>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доходи від операцій з капіталом – 17 000 000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w:t>
      </w:r>
    </w:p>
    <w:p w:rsidR="00674A6B" w:rsidRPr="00674A6B" w:rsidP="006A5D24" w14:paraId="4F156A9B" w14:textId="25AAA7CE">
      <w:pPr>
        <w:spacing w:after="0" w:line="240" w:lineRule="auto"/>
        <w:ind w:firstLine="567"/>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цільові фонди – 1 800 000 </w:t>
      </w:r>
      <w:r w:rsidRPr="00674A6B" w:rsidR="006A5D24">
        <w:rPr>
          <w:rFonts w:ascii="Times New Roman" w:eastAsia="Times New Roman" w:hAnsi="Times New Roman" w:cs="Times New Roman"/>
          <w:sz w:val="28"/>
          <w:szCs w:val="28"/>
          <w:lang w:eastAsia="ru-RU"/>
        </w:rPr>
        <w:t>гривень</w:t>
      </w:r>
      <w:r w:rsidR="006A5D24">
        <w:rPr>
          <w:rFonts w:ascii="Times New Roman" w:eastAsia="Times New Roman" w:hAnsi="Times New Roman" w:cs="Times New Roman"/>
          <w:sz w:val="28"/>
          <w:szCs w:val="28"/>
          <w:lang w:eastAsia="ru-RU"/>
        </w:rPr>
        <w:t>.</w:t>
      </w:r>
      <w:r w:rsidRPr="00674A6B">
        <w:rPr>
          <w:rFonts w:ascii="Times New Roman" w:eastAsia="Times New Roman" w:hAnsi="Times New Roman" w:cs="Times New Roman"/>
          <w:sz w:val="28"/>
          <w:szCs w:val="28"/>
          <w:lang w:eastAsia="en-US"/>
        </w:rPr>
        <w:t xml:space="preserve"> </w:t>
      </w:r>
    </w:p>
    <w:p w:rsidR="00674A6B" w:rsidRPr="00674A6B" w:rsidP="00674A6B" w14:paraId="03A7963A" w14:textId="77777777">
      <w:pPr>
        <w:spacing w:after="0" w:line="240" w:lineRule="auto"/>
        <w:jc w:val="both"/>
        <w:rPr>
          <w:rFonts w:ascii="Times New Roman" w:eastAsia="Times New Roman" w:hAnsi="Times New Roman" w:cs="Times New Roman"/>
          <w:sz w:val="16"/>
          <w:szCs w:val="16"/>
          <w:lang w:eastAsia="en-US"/>
        </w:rPr>
      </w:pPr>
    </w:p>
    <w:p w:rsidR="00674A6B" w:rsidRPr="00674A6B" w:rsidP="00674A6B" w14:paraId="4F3AE159" w14:textId="469C4CFA">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Обсяг доходної частини бюджету Броварської міської територіальної громади на 2028 рік прогнозується в сумі 2 976 836 427</w:t>
      </w:r>
      <w:r w:rsidRPr="00674A6B">
        <w:rPr>
          <w:rFonts w:ascii="Times New Roman" w:eastAsia="Times New Roman" w:hAnsi="Times New Roman" w:cs="Times New Roman"/>
          <w:b/>
          <w:sz w:val="28"/>
          <w:szCs w:val="28"/>
          <w:lang w:eastAsia="en-US"/>
        </w:rPr>
        <w:t xml:space="preserve">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xml:space="preserve">, із них: </w:t>
      </w:r>
    </w:p>
    <w:p w:rsidR="00674A6B" w:rsidRPr="00674A6B" w:rsidP="00674A6B" w14:paraId="20E3E89A" w14:textId="77777777">
      <w:pPr>
        <w:spacing w:after="0" w:line="240" w:lineRule="auto"/>
        <w:ind w:firstLine="567"/>
        <w:jc w:val="both"/>
        <w:rPr>
          <w:rFonts w:ascii="Times New Roman" w:eastAsia="Times New Roman" w:hAnsi="Times New Roman" w:cs="Times New Roman"/>
          <w:sz w:val="8"/>
          <w:szCs w:val="8"/>
          <w:lang w:eastAsia="en-US"/>
        </w:rPr>
      </w:pPr>
    </w:p>
    <w:p w:rsidR="00674A6B" w:rsidRPr="00674A6B" w:rsidP="006A5D24" w14:paraId="625F2A8B" w14:textId="029F5813">
      <w:pPr>
        <w:spacing w:after="0" w:line="240" w:lineRule="auto"/>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доходи загального фонду (без урахування міжбюджетних трансфертів) –     </w:t>
      </w:r>
      <w:r w:rsidR="006A5D24">
        <w:rPr>
          <w:rFonts w:ascii="Times New Roman" w:eastAsia="Times New Roman" w:hAnsi="Times New Roman" w:cs="Times New Roman"/>
          <w:sz w:val="28"/>
          <w:szCs w:val="28"/>
          <w:lang w:eastAsia="en-US"/>
        </w:rPr>
        <w:t xml:space="preserve">   </w:t>
      </w:r>
      <w:r w:rsidRPr="00674A6B">
        <w:rPr>
          <w:rFonts w:ascii="Times New Roman" w:eastAsia="Times New Roman" w:hAnsi="Times New Roman" w:cs="Times New Roman"/>
          <w:sz w:val="28"/>
          <w:szCs w:val="28"/>
          <w:lang w:eastAsia="en-US"/>
        </w:rPr>
        <w:t xml:space="preserve">   2 397 733 800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в тому числі:</w:t>
      </w:r>
    </w:p>
    <w:p w:rsidR="00674A6B" w:rsidRPr="00674A6B" w:rsidP="00674A6B" w14:paraId="77F00516" w14:textId="77777777">
      <w:pPr>
        <w:spacing w:after="0" w:line="240" w:lineRule="auto"/>
        <w:rPr>
          <w:rFonts w:ascii="Times New Roman" w:eastAsia="Times New Roman" w:hAnsi="Times New Roman" w:cs="Times New Roman"/>
          <w:sz w:val="8"/>
          <w:szCs w:val="8"/>
          <w:lang w:eastAsia="en-US"/>
        </w:rPr>
      </w:pPr>
    </w:p>
    <w:p w:rsidR="00674A6B" w:rsidRPr="00674A6B" w:rsidP="00674A6B" w14:paraId="4E002117" w14:textId="17ACD810">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податкові надходження – 2 367 050 800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xml:space="preserve">; </w:t>
      </w:r>
    </w:p>
    <w:p w:rsidR="00674A6B" w:rsidRPr="00674A6B" w:rsidP="00674A6B" w14:paraId="7602522F" w14:textId="5CE9A24C">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неподаткові надходження – 30 513 000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xml:space="preserve">; </w:t>
      </w:r>
    </w:p>
    <w:p w:rsidR="00674A6B" w:rsidRPr="00674A6B" w:rsidP="00674A6B" w14:paraId="5217C551" w14:textId="0A041834">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доходи від операцій з капіталом – 170 000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w:t>
      </w:r>
    </w:p>
    <w:p w:rsidR="00674A6B" w:rsidRPr="00674A6B" w:rsidP="00674A6B" w14:paraId="74F99202" w14:textId="77777777">
      <w:pPr>
        <w:spacing w:after="0" w:line="240" w:lineRule="auto"/>
        <w:jc w:val="both"/>
        <w:rPr>
          <w:rFonts w:ascii="Times New Roman" w:eastAsia="Times New Roman" w:hAnsi="Times New Roman" w:cs="Times New Roman"/>
          <w:sz w:val="8"/>
          <w:szCs w:val="8"/>
          <w:lang w:eastAsia="en-US"/>
        </w:rPr>
      </w:pPr>
    </w:p>
    <w:p w:rsidR="00674A6B" w:rsidRPr="00674A6B" w:rsidP="00674A6B" w14:paraId="256351E9" w14:textId="5A212728">
      <w:pPr>
        <w:spacing w:after="0" w:line="240" w:lineRule="auto"/>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трансферти з державного бюджету – 422 833 100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в тому числі:</w:t>
      </w:r>
    </w:p>
    <w:p w:rsidR="00674A6B" w:rsidRPr="00674A6B" w:rsidP="00674A6B" w14:paraId="6E4A22CC" w14:textId="77777777">
      <w:pPr>
        <w:spacing w:after="0" w:line="240" w:lineRule="auto"/>
        <w:jc w:val="both"/>
        <w:rPr>
          <w:rFonts w:ascii="Times New Roman" w:eastAsia="Times New Roman" w:hAnsi="Times New Roman" w:cs="Times New Roman"/>
          <w:sz w:val="8"/>
          <w:szCs w:val="8"/>
          <w:lang w:eastAsia="en-US"/>
        </w:rPr>
      </w:pPr>
    </w:p>
    <w:p w:rsidR="00674A6B" w:rsidRPr="00674A6B" w:rsidP="00674A6B" w14:paraId="2D25CD11" w14:textId="4268B571">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субвенції з державного бюджету місцевим бюджетам – 422 833 100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xml:space="preserve">.; </w:t>
      </w:r>
    </w:p>
    <w:p w:rsidR="00674A6B" w:rsidRPr="00674A6B" w:rsidP="006A5D24" w14:paraId="1E38E0AA" w14:textId="5D8AA15F">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трансферти з інших бюджетів – 46 974 358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в тому числі:</w:t>
      </w:r>
    </w:p>
    <w:p w:rsidR="00674A6B" w:rsidRPr="00674A6B" w:rsidP="00674A6B" w14:paraId="070FAB49" w14:textId="623B5D41">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дотації з місцевих бюджетів іншим місцевим бюджетам – 5 838 980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xml:space="preserve">; </w:t>
      </w:r>
    </w:p>
    <w:p w:rsidR="00674A6B" w:rsidRPr="00674A6B" w:rsidP="00674A6B" w14:paraId="7F2AB49B" w14:textId="0F018609">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субвенції з місцевих бюджетів іншим місцевим бюджетам –41 135 378 </w:t>
      </w:r>
      <w:r w:rsidRPr="00674A6B" w:rsidR="006A5D24">
        <w:rPr>
          <w:rFonts w:ascii="Times New Roman" w:eastAsia="Times New Roman" w:hAnsi="Times New Roman" w:cs="Times New Roman"/>
          <w:sz w:val="28"/>
          <w:szCs w:val="28"/>
          <w:lang w:eastAsia="ru-RU"/>
        </w:rPr>
        <w:t>гривень</w:t>
      </w:r>
      <w:r w:rsidR="006A5D24">
        <w:rPr>
          <w:rFonts w:ascii="Times New Roman" w:eastAsia="Times New Roman" w:hAnsi="Times New Roman" w:cs="Times New Roman"/>
          <w:sz w:val="28"/>
          <w:szCs w:val="28"/>
          <w:lang w:eastAsia="ru-RU"/>
        </w:rPr>
        <w:t>;</w:t>
      </w:r>
    </w:p>
    <w:p w:rsidR="00674A6B" w:rsidRPr="00674A6B" w:rsidP="00674A6B" w14:paraId="245F9B24" w14:textId="77777777">
      <w:pPr>
        <w:spacing w:after="0" w:line="240" w:lineRule="auto"/>
        <w:rPr>
          <w:rFonts w:ascii="Times New Roman" w:eastAsia="Times New Roman" w:hAnsi="Times New Roman" w:cs="Times New Roman"/>
          <w:sz w:val="8"/>
          <w:szCs w:val="8"/>
          <w:lang w:eastAsia="en-US"/>
        </w:rPr>
      </w:pPr>
    </w:p>
    <w:p w:rsidR="00674A6B" w:rsidRPr="00674A6B" w:rsidP="006A5D24" w14:paraId="02CF7F16" w14:textId="6859D57A">
      <w:pPr>
        <w:spacing w:after="0" w:line="240" w:lineRule="auto"/>
        <w:ind w:firstLine="567"/>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доходи спеціального фонду 109 295 169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в тому числі:</w:t>
      </w:r>
    </w:p>
    <w:p w:rsidR="00674A6B" w:rsidRPr="00674A6B" w:rsidP="00674A6B" w14:paraId="6D4B1BA6" w14:textId="77777777">
      <w:pPr>
        <w:spacing w:after="0" w:line="240" w:lineRule="auto"/>
        <w:rPr>
          <w:rFonts w:ascii="Times New Roman" w:eastAsia="Times New Roman" w:hAnsi="Times New Roman" w:cs="Times New Roman"/>
          <w:sz w:val="10"/>
          <w:szCs w:val="10"/>
          <w:lang w:eastAsia="en-US"/>
        </w:rPr>
      </w:pPr>
    </w:p>
    <w:p w:rsidR="00674A6B" w:rsidRPr="00674A6B" w:rsidP="00674A6B" w14:paraId="75709309" w14:textId="737736E1">
      <w:pPr>
        <w:spacing w:after="0" w:line="240" w:lineRule="auto"/>
        <w:ind w:firstLine="567"/>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неподаткові надходження – 87 395 169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w:t>
      </w:r>
    </w:p>
    <w:p w:rsidR="00674A6B" w:rsidRPr="00674A6B" w:rsidP="00674A6B" w14:paraId="7AC5A80B" w14:textId="3F815173">
      <w:pPr>
        <w:spacing w:after="0" w:line="240" w:lineRule="auto"/>
        <w:ind w:firstLine="567"/>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доходи від операцій з капіталом – 20 000 000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w:t>
      </w:r>
    </w:p>
    <w:p w:rsidR="00674A6B" w:rsidRPr="00674A6B" w:rsidP="00674A6B" w14:paraId="0BCC9DDE" w14:textId="5F1E6EFC">
      <w:pPr>
        <w:spacing w:after="0" w:line="240" w:lineRule="auto"/>
        <w:ind w:firstLine="567"/>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цільові фонди – 1 900 000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en-US"/>
        </w:rPr>
        <w:t xml:space="preserve"> </w:t>
      </w:r>
    </w:p>
    <w:p w:rsidR="00674A6B" w:rsidRPr="00674A6B" w:rsidP="00674A6B" w14:paraId="43D10878" w14:textId="77777777">
      <w:pPr>
        <w:spacing w:after="0" w:line="240" w:lineRule="auto"/>
        <w:jc w:val="both"/>
        <w:rPr>
          <w:rFonts w:ascii="Times New Roman" w:eastAsia="Times New Roman" w:hAnsi="Times New Roman" w:cs="Times New Roman"/>
          <w:sz w:val="8"/>
          <w:szCs w:val="8"/>
          <w:lang w:eastAsia="en-US"/>
        </w:rPr>
      </w:pPr>
    </w:p>
    <w:p w:rsidR="00674A6B" w:rsidRPr="00674A6B" w:rsidP="00674A6B" w14:paraId="453EAD9F" w14:textId="77777777">
      <w:pPr>
        <w:spacing w:after="0" w:line="240" w:lineRule="auto"/>
        <w:ind w:firstLine="567"/>
        <w:jc w:val="both"/>
        <w:rPr>
          <w:rFonts w:ascii="Times New Roman" w:eastAsia="Times New Roman" w:hAnsi="Times New Roman" w:cs="Times New Roman"/>
          <w:sz w:val="28"/>
          <w:szCs w:val="28"/>
          <w:lang w:eastAsia="en-US"/>
        </w:rPr>
      </w:pPr>
      <w:r w:rsidRPr="00674A6B">
        <w:rPr>
          <w:rFonts w:ascii="Times New Roman" w:eastAsia="Times New Roman" w:hAnsi="Times New Roman" w:cs="Times New Roman"/>
          <w:sz w:val="28"/>
          <w:szCs w:val="28"/>
          <w:lang w:eastAsia="en-US"/>
        </w:rPr>
        <w:t xml:space="preserve">При прогнозуванні обсягу доходів бюджету Броварської міської територіальної громади на 2026-2028 роки враховано: </w:t>
      </w:r>
    </w:p>
    <w:p w:rsidR="00674A6B" w:rsidRPr="00674A6B" w:rsidP="00674A6B" w14:paraId="10979849" w14:textId="77777777">
      <w:pPr>
        <w:spacing w:after="0" w:line="240" w:lineRule="auto"/>
        <w:ind w:firstLine="567"/>
        <w:jc w:val="both"/>
        <w:rPr>
          <w:rFonts w:ascii="Times New Roman" w:eastAsia="Times New Roman" w:hAnsi="Times New Roman" w:cs="Times New Roman"/>
          <w:sz w:val="8"/>
          <w:szCs w:val="8"/>
          <w:lang w:eastAsia="en-US"/>
        </w:rPr>
      </w:pPr>
    </w:p>
    <w:p w:rsidR="00674A6B" w:rsidRPr="00674A6B" w:rsidP="00674A6B" w14:paraId="22B9F519" w14:textId="38EE1904">
      <w:pPr>
        <w:spacing w:after="0" w:line="240" w:lineRule="auto"/>
        <w:ind w:firstLine="567"/>
        <w:jc w:val="both"/>
        <w:rPr>
          <w:rFonts w:ascii="Times New Roman" w:eastAsia="Calibri" w:hAnsi="Times New Roman" w:cs="Times New Roman"/>
          <w:sz w:val="28"/>
          <w:szCs w:val="28"/>
          <w:lang w:val="ru-RU" w:eastAsia="en-US"/>
        </w:rPr>
      </w:pPr>
      <w:r w:rsidRPr="00674A6B">
        <w:rPr>
          <w:rFonts w:ascii="Times New Roman" w:eastAsia="Calibri" w:hAnsi="Times New Roman" w:cs="Times New Roman"/>
          <w:sz w:val="28"/>
          <w:szCs w:val="28"/>
          <w:lang w:val="ru-RU" w:eastAsia="en-US"/>
        </w:rPr>
        <w:t xml:space="preserve">фактичні показники економічного і </w:t>
      </w:r>
      <w:r w:rsidRPr="00674A6B">
        <w:rPr>
          <w:rFonts w:ascii="Times New Roman" w:eastAsia="Calibri" w:hAnsi="Times New Roman" w:cs="Times New Roman"/>
          <w:sz w:val="28"/>
          <w:szCs w:val="28"/>
          <w:lang w:val="ru-RU" w:eastAsia="en-US"/>
        </w:rPr>
        <w:t>соц</w:t>
      </w:r>
      <w:r w:rsidRPr="00674A6B">
        <w:rPr>
          <w:rFonts w:ascii="Times New Roman" w:eastAsia="Calibri" w:hAnsi="Times New Roman" w:cs="Times New Roman"/>
          <w:sz w:val="28"/>
          <w:szCs w:val="28"/>
          <w:lang w:val="ru-RU" w:eastAsia="en-US"/>
        </w:rPr>
        <w:t xml:space="preserve">іального розвитку </w:t>
      </w:r>
      <w:r w:rsidRPr="00674A6B">
        <w:rPr>
          <w:rFonts w:ascii="Times New Roman" w:eastAsia="Calibri" w:hAnsi="Times New Roman" w:cs="Times New Roman"/>
          <w:sz w:val="28"/>
          <w:szCs w:val="28"/>
          <w:lang w:eastAsia="en-US"/>
        </w:rPr>
        <w:t>громади</w:t>
      </w:r>
      <w:r w:rsidRPr="00674A6B">
        <w:rPr>
          <w:rFonts w:ascii="Times New Roman" w:eastAsia="Calibri" w:hAnsi="Times New Roman" w:cs="Times New Roman"/>
          <w:sz w:val="28"/>
          <w:szCs w:val="28"/>
          <w:lang w:val="ru-RU" w:eastAsia="en-US"/>
        </w:rPr>
        <w:t xml:space="preserve"> </w:t>
      </w:r>
      <w:r w:rsidR="006A5D24">
        <w:rPr>
          <w:rFonts w:ascii="Times New Roman" w:eastAsia="Calibri" w:hAnsi="Times New Roman" w:cs="Times New Roman"/>
          <w:sz w:val="28"/>
          <w:szCs w:val="28"/>
          <w:lang w:val="ru-RU" w:eastAsia="en-US"/>
        </w:rPr>
        <w:t xml:space="preserve">           </w:t>
      </w:r>
      <w:r w:rsidRPr="00674A6B">
        <w:rPr>
          <w:rFonts w:ascii="Times New Roman" w:eastAsia="Calibri" w:hAnsi="Times New Roman" w:cs="Times New Roman"/>
          <w:sz w:val="28"/>
          <w:szCs w:val="28"/>
          <w:lang w:val="ru-RU" w:eastAsia="en-US"/>
        </w:rPr>
        <w:t>за 202</w:t>
      </w:r>
      <w:r w:rsidRPr="00674A6B">
        <w:rPr>
          <w:rFonts w:ascii="Times New Roman" w:eastAsia="Calibri" w:hAnsi="Times New Roman" w:cs="Times New Roman"/>
          <w:sz w:val="28"/>
          <w:szCs w:val="28"/>
          <w:lang w:eastAsia="en-US"/>
        </w:rPr>
        <w:t>4</w:t>
      </w:r>
      <w:r w:rsidRPr="00674A6B">
        <w:rPr>
          <w:rFonts w:ascii="Times New Roman" w:eastAsia="Calibri" w:hAnsi="Times New Roman" w:cs="Times New Roman"/>
          <w:sz w:val="28"/>
          <w:szCs w:val="28"/>
          <w:lang w:val="ru-RU" w:eastAsia="en-US"/>
        </w:rPr>
        <w:t xml:space="preserve"> рік; </w:t>
      </w:r>
    </w:p>
    <w:p w:rsidR="00674A6B" w:rsidRPr="00674A6B" w:rsidP="00674A6B" w14:paraId="52FC8BFC" w14:textId="21426FCB">
      <w:pPr>
        <w:spacing w:after="0" w:line="240" w:lineRule="auto"/>
        <w:ind w:firstLine="567"/>
        <w:jc w:val="both"/>
        <w:rPr>
          <w:rFonts w:ascii="Times New Roman" w:eastAsia="Calibri" w:hAnsi="Times New Roman" w:cs="Times New Roman"/>
          <w:sz w:val="28"/>
          <w:szCs w:val="28"/>
          <w:lang w:val="ru-RU" w:eastAsia="en-US"/>
        </w:rPr>
      </w:pPr>
      <w:r w:rsidRPr="00674A6B">
        <w:rPr>
          <w:rFonts w:ascii="Times New Roman" w:eastAsia="Calibri" w:hAnsi="Times New Roman" w:cs="Times New Roman"/>
          <w:sz w:val="28"/>
          <w:szCs w:val="28"/>
          <w:lang w:val="ru-RU" w:eastAsia="en-US"/>
        </w:rPr>
        <w:t xml:space="preserve">очікувані показники економічного і </w:t>
      </w:r>
      <w:r w:rsidRPr="00674A6B">
        <w:rPr>
          <w:rFonts w:ascii="Times New Roman" w:eastAsia="Calibri" w:hAnsi="Times New Roman" w:cs="Times New Roman"/>
          <w:sz w:val="28"/>
          <w:szCs w:val="28"/>
          <w:lang w:val="ru-RU" w:eastAsia="en-US"/>
        </w:rPr>
        <w:t>соц</w:t>
      </w:r>
      <w:r w:rsidRPr="00674A6B">
        <w:rPr>
          <w:rFonts w:ascii="Times New Roman" w:eastAsia="Calibri" w:hAnsi="Times New Roman" w:cs="Times New Roman"/>
          <w:sz w:val="28"/>
          <w:szCs w:val="28"/>
          <w:lang w:val="ru-RU" w:eastAsia="en-US"/>
        </w:rPr>
        <w:t xml:space="preserve">іального розвитку </w:t>
      </w:r>
      <w:r w:rsidRPr="00674A6B">
        <w:rPr>
          <w:rFonts w:ascii="Times New Roman" w:eastAsia="Calibri" w:hAnsi="Times New Roman" w:cs="Times New Roman"/>
          <w:sz w:val="28"/>
          <w:szCs w:val="28"/>
          <w:lang w:eastAsia="en-US"/>
        </w:rPr>
        <w:t>громади</w:t>
      </w:r>
      <w:r w:rsidRPr="00674A6B">
        <w:rPr>
          <w:rFonts w:ascii="Times New Roman" w:eastAsia="Calibri" w:hAnsi="Times New Roman" w:cs="Times New Roman"/>
          <w:sz w:val="28"/>
          <w:szCs w:val="28"/>
          <w:lang w:val="ru-RU" w:eastAsia="en-US"/>
        </w:rPr>
        <w:t xml:space="preserve"> </w:t>
      </w:r>
      <w:r w:rsidR="006A5D24">
        <w:rPr>
          <w:rFonts w:ascii="Times New Roman" w:eastAsia="Calibri" w:hAnsi="Times New Roman" w:cs="Times New Roman"/>
          <w:sz w:val="28"/>
          <w:szCs w:val="28"/>
          <w:lang w:val="ru-RU" w:eastAsia="en-US"/>
        </w:rPr>
        <w:t xml:space="preserve">           </w:t>
      </w:r>
      <w:r w:rsidRPr="00674A6B">
        <w:rPr>
          <w:rFonts w:ascii="Times New Roman" w:eastAsia="Calibri" w:hAnsi="Times New Roman" w:cs="Times New Roman"/>
          <w:sz w:val="28"/>
          <w:szCs w:val="28"/>
          <w:lang w:val="ru-RU" w:eastAsia="en-US"/>
        </w:rPr>
        <w:t>за 202</w:t>
      </w:r>
      <w:r w:rsidRPr="00674A6B">
        <w:rPr>
          <w:rFonts w:ascii="Times New Roman" w:eastAsia="Calibri" w:hAnsi="Times New Roman" w:cs="Times New Roman"/>
          <w:sz w:val="28"/>
          <w:szCs w:val="28"/>
          <w:lang w:eastAsia="en-US"/>
        </w:rPr>
        <w:t>5</w:t>
      </w:r>
      <w:r w:rsidRPr="00674A6B">
        <w:rPr>
          <w:rFonts w:ascii="Times New Roman" w:eastAsia="Calibri" w:hAnsi="Times New Roman" w:cs="Times New Roman"/>
          <w:sz w:val="28"/>
          <w:szCs w:val="28"/>
          <w:lang w:val="ru-RU" w:eastAsia="en-US"/>
        </w:rPr>
        <w:t xml:space="preserve"> рік; </w:t>
      </w:r>
    </w:p>
    <w:p w:rsidR="00674A6B" w:rsidRPr="00674A6B" w:rsidP="00674A6B" w14:paraId="3D931C76" w14:textId="0CC78136">
      <w:pPr>
        <w:spacing w:after="0" w:line="240" w:lineRule="auto"/>
        <w:ind w:firstLine="567"/>
        <w:jc w:val="both"/>
        <w:rPr>
          <w:rFonts w:ascii="Times New Roman" w:eastAsia="Calibri" w:hAnsi="Times New Roman" w:cs="Times New Roman"/>
          <w:sz w:val="28"/>
          <w:szCs w:val="28"/>
          <w:lang w:val="ru-RU" w:eastAsia="en-US"/>
        </w:rPr>
      </w:pPr>
      <w:r w:rsidRPr="00674A6B">
        <w:rPr>
          <w:rFonts w:ascii="Times New Roman" w:eastAsia="Calibri" w:hAnsi="Times New Roman" w:cs="Times New Roman"/>
          <w:sz w:val="28"/>
          <w:szCs w:val="28"/>
          <w:lang w:val="ru-RU" w:eastAsia="en-US"/>
        </w:rPr>
        <w:t xml:space="preserve">прогнозні показники економічного і </w:t>
      </w:r>
      <w:r w:rsidRPr="00674A6B">
        <w:rPr>
          <w:rFonts w:ascii="Times New Roman" w:eastAsia="Calibri" w:hAnsi="Times New Roman" w:cs="Times New Roman"/>
          <w:sz w:val="28"/>
          <w:szCs w:val="28"/>
          <w:lang w:val="ru-RU" w:eastAsia="en-US"/>
        </w:rPr>
        <w:t>соц</w:t>
      </w:r>
      <w:r w:rsidRPr="00674A6B">
        <w:rPr>
          <w:rFonts w:ascii="Times New Roman" w:eastAsia="Calibri" w:hAnsi="Times New Roman" w:cs="Times New Roman"/>
          <w:sz w:val="28"/>
          <w:szCs w:val="28"/>
          <w:lang w:val="ru-RU" w:eastAsia="en-US"/>
        </w:rPr>
        <w:t xml:space="preserve">іального розвитку </w:t>
      </w:r>
      <w:r w:rsidRPr="00674A6B">
        <w:rPr>
          <w:rFonts w:ascii="Times New Roman" w:eastAsia="Calibri" w:hAnsi="Times New Roman" w:cs="Times New Roman"/>
          <w:sz w:val="28"/>
          <w:szCs w:val="28"/>
          <w:lang w:eastAsia="en-US"/>
        </w:rPr>
        <w:t>громади</w:t>
      </w:r>
      <w:r w:rsidRPr="00674A6B">
        <w:rPr>
          <w:rFonts w:ascii="Times New Roman" w:eastAsia="Calibri" w:hAnsi="Times New Roman" w:cs="Times New Roman"/>
          <w:sz w:val="28"/>
          <w:szCs w:val="28"/>
          <w:lang w:val="ru-RU" w:eastAsia="en-US"/>
        </w:rPr>
        <w:t xml:space="preserve"> </w:t>
      </w:r>
      <w:r w:rsidR="006A5D24">
        <w:rPr>
          <w:rFonts w:ascii="Times New Roman" w:eastAsia="Calibri" w:hAnsi="Times New Roman" w:cs="Times New Roman"/>
          <w:sz w:val="28"/>
          <w:szCs w:val="28"/>
          <w:lang w:val="ru-RU" w:eastAsia="en-US"/>
        </w:rPr>
        <w:t xml:space="preserve">         </w:t>
      </w:r>
      <w:r w:rsidRPr="00674A6B">
        <w:rPr>
          <w:rFonts w:ascii="Times New Roman" w:eastAsia="Calibri" w:hAnsi="Times New Roman" w:cs="Times New Roman"/>
          <w:sz w:val="28"/>
          <w:szCs w:val="28"/>
          <w:lang w:val="ru-RU" w:eastAsia="en-US"/>
        </w:rPr>
        <w:t>на 202</w:t>
      </w:r>
      <w:r w:rsidRPr="00674A6B">
        <w:rPr>
          <w:rFonts w:ascii="Times New Roman" w:eastAsia="Calibri" w:hAnsi="Times New Roman" w:cs="Times New Roman"/>
          <w:sz w:val="28"/>
          <w:szCs w:val="28"/>
          <w:lang w:eastAsia="en-US"/>
        </w:rPr>
        <w:t>6</w:t>
      </w:r>
      <w:r w:rsidRPr="00674A6B">
        <w:rPr>
          <w:rFonts w:ascii="Times New Roman" w:eastAsia="Calibri" w:hAnsi="Times New Roman" w:cs="Times New Roman"/>
          <w:sz w:val="28"/>
          <w:szCs w:val="28"/>
          <w:lang w:val="ru-RU" w:eastAsia="en-US"/>
        </w:rPr>
        <w:t>-202</w:t>
      </w:r>
      <w:r w:rsidRPr="00674A6B">
        <w:rPr>
          <w:rFonts w:ascii="Times New Roman" w:eastAsia="Calibri" w:hAnsi="Times New Roman" w:cs="Times New Roman"/>
          <w:sz w:val="28"/>
          <w:szCs w:val="28"/>
          <w:lang w:eastAsia="en-US"/>
        </w:rPr>
        <w:t>8</w:t>
      </w:r>
      <w:r w:rsidRPr="00674A6B">
        <w:rPr>
          <w:rFonts w:ascii="Times New Roman" w:eastAsia="Calibri" w:hAnsi="Times New Roman" w:cs="Times New Roman"/>
          <w:sz w:val="28"/>
          <w:szCs w:val="28"/>
          <w:lang w:val="ru-RU" w:eastAsia="en-US"/>
        </w:rPr>
        <w:t xml:space="preserve"> роки; </w:t>
      </w:r>
    </w:p>
    <w:p w:rsidR="00674A6B" w:rsidRPr="00674A6B" w:rsidP="00674A6B" w14:paraId="4FB7B382" w14:textId="1A4B0AC3">
      <w:pPr>
        <w:spacing w:after="0" w:line="240" w:lineRule="auto"/>
        <w:ind w:firstLine="567"/>
        <w:jc w:val="both"/>
        <w:rPr>
          <w:rFonts w:ascii="Times New Roman" w:eastAsia="Calibri" w:hAnsi="Times New Roman" w:cs="Times New Roman"/>
          <w:sz w:val="28"/>
          <w:szCs w:val="28"/>
          <w:lang w:val="ru-RU" w:eastAsia="en-US"/>
        </w:rPr>
      </w:pPr>
      <w:r w:rsidRPr="00674A6B">
        <w:rPr>
          <w:rFonts w:ascii="Times New Roman" w:eastAsia="Calibri" w:hAnsi="Times New Roman" w:cs="Times New Roman"/>
          <w:sz w:val="28"/>
          <w:szCs w:val="28"/>
          <w:lang w:val="ru-RU" w:eastAsia="en-US"/>
        </w:rPr>
        <w:t xml:space="preserve">макропоказники економічного і </w:t>
      </w:r>
      <w:r w:rsidRPr="00674A6B">
        <w:rPr>
          <w:rFonts w:ascii="Times New Roman" w:eastAsia="Calibri" w:hAnsi="Times New Roman" w:cs="Times New Roman"/>
          <w:sz w:val="28"/>
          <w:szCs w:val="28"/>
          <w:lang w:val="ru-RU" w:eastAsia="en-US"/>
        </w:rPr>
        <w:t>соц</w:t>
      </w:r>
      <w:r w:rsidRPr="00674A6B">
        <w:rPr>
          <w:rFonts w:ascii="Times New Roman" w:eastAsia="Calibri" w:hAnsi="Times New Roman" w:cs="Times New Roman"/>
          <w:sz w:val="28"/>
          <w:szCs w:val="28"/>
          <w:lang w:val="ru-RU" w:eastAsia="en-US"/>
        </w:rPr>
        <w:t>іального розвитку України на 202</w:t>
      </w:r>
      <w:r w:rsidRPr="00674A6B">
        <w:rPr>
          <w:rFonts w:ascii="Times New Roman" w:eastAsia="Calibri" w:hAnsi="Times New Roman" w:cs="Times New Roman"/>
          <w:sz w:val="28"/>
          <w:szCs w:val="28"/>
          <w:lang w:eastAsia="en-US"/>
        </w:rPr>
        <w:t>6</w:t>
      </w:r>
      <w:r w:rsidRPr="00674A6B">
        <w:rPr>
          <w:rFonts w:ascii="Times New Roman" w:eastAsia="Calibri" w:hAnsi="Times New Roman" w:cs="Times New Roman"/>
          <w:sz w:val="28"/>
          <w:szCs w:val="28"/>
          <w:lang w:val="ru-RU" w:eastAsia="en-US"/>
        </w:rPr>
        <w:t>-202</w:t>
      </w:r>
      <w:r w:rsidRPr="00674A6B">
        <w:rPr>
          <w:rFonts w:ascii="Times New Roman" w:eastAsia="Calibri" w:hAnsi="Times New Roman" w:cs="Times New Roman"/>
          <w:sz w:val="28"/>
          <w:szCs w:val="28"/>
          <w:lang w:eastAsia="en-US"/>
        </w:rPr>
        <w:t>8</w:t>
      </w:r>
      <w:r w:rsidRPr="00674A6B">
        <w:rPr>
          <w:rFonts w:ascii="Times New Roman" w:eastAsia="Calibri" w:hAnsi="Times New Roman" w:cs="Times New Roman"/>
          <w:sz w:val="28"/>
          <w:szCs w:val="28"/>
          <w:lang w:val="ru-RU" w:eastAsia="en-US"/>
        </w:rPr>
        <w:t xml:space="preserve"> роки, схвалені постановою Кабінету Міністрів України від </w:t>
      </w:r>
      <w:r w:rsidRPr="00674A6B">
        <w:rPr>
          <w:rFonts w:ascii="Times New Roman" w:eastAsia="Calibri" w:hAnsi="Times New Roman" w:cs="Times New Roman"/>
          <w:color w:val="040C28"/>
          <w:sz w:val="28"/>
          <w:szCs w:val="28"/>
          <w:shd w:val="clear" w:color="auto" w:fill="FFFFFF"/>
          <w:lang w:val="ru-RU" w:eastAsia="en-US"/>
        </w:rPr>
        <w:t xml:space="preserve">06.08.2025 </w:t>
      </w:r>
      <w:r w:rsidR="006A5D24">
        <w:rPr>
          <w:rFonts w:ascii="Times New Roman" w:eastAsia="Calibri" w:hAnsi="Times New Roman" w:cs="Times New Roman"/>
          <w:color w:val="040C28"/>
          <w:sz w:val="28"/>
          <w:szCs w:val="28"/>
          <w:shd w:val="clear" w:color="auto" w:fill="FFFFFF"/>
          <w:lang w:val="ru-RU" w:eastAsia="en-US"/>
        </w:rPr>
        <w:t xml:space="preserve">   </w:t>
      </w:r>
      <w:r w:rsidRPr="00674A6B">
        <w:rPr>
          <w:rFonts w:ascii="Times New Roman" w:eastAsia="Calibri" w:hAnsi="Times New Roman" w:cs="Times New Roman"/>
          <w:color w:val="040C28"/>
          <w:sz w:val="28"/>
          <w:szCs w:val="28"/>
          <w:shd w:val="clear" w:color="auto" w:fill="FFFFFF"/>
          <w:lang w:eastAsia="en-US"/>
        </w:rPr>
        <w:t xml:space="preserve"> </w:t>
      </w:r>
      <w:r w:rsidRPr="00674A6B">
        <w:rPr>
          <w:rFonts w:ascii="Times New Roman" w:eastAsia="Calibri" w:hAnsi="Times New Roman" w:cs="Times New Roman"/>
          <w:color w:val="040C28"/>
          <w:sz w:val="28"/>
          <w:szCs w:val="28"/>
          <w:shd w:val="clear" w:color="auto" w:fill="FFFFFF"/>
          <w:lang w:val="ru-RU" w:eastAsia="en-US"/>
        </w:rPr>
        <w:t>№ 946</w:t>
      </w:r>
      <w:r w:rsidRPr="00674A6B">
        <w:rPr>
          <w:rFonts w:ascii="Times New Roman" w:eastAsia="Calibri" w:hAnsi="Times New Roman" w:cs="Times New Roman"/>
          <w:color w:val="040C28"/>
          <w:sz w:val="28"/>
          <w:szCs w:val="28"/>
          <w:shd w:val="clear" w:color="auto" w:fill="FFFFFF"/>
          <w:lang w:eastAsia="en-US"/>
        </w:rPr>
        <w:t xml:space="preserve"> </w:t>
      </w:r>
      <w:r w:rsidRPr="00674A6B">
        <w:rPr>
          <w:rFonts w:ascii="Times New Roman" w:eastAsia="Calibri" w:hAnsi="Times New Roman" w:cs="Times New Roman"/>
          <w:sz w:val="28"/>
          <w:szCs w:val="28"/>
          <w:lang w:val="ru-RU" w:eastAsia="en-US"/>
        </w:rPr>
        <w:t>та визначені Бюджетною декларацією на 202</w:t>
      </w:r>
      <w:r w:rsidRPr="00674A6B">
        <w:rPr>
          <w:rFonts w:ascii="Times New Roman" w:eastAsia="Calibri" w:hAnsi="Times New Roman" w:cs="Times New Roman"/>
          <w:sz w:val="28"/>
          <w:szCs w:val="28"/>
          <w:lang w:eastAsia="en-US"/>
        </w:rPr>
        <w:t>6</w:t>
      </w:r>
      <w:r w:rsidRPr="00674A6B">
        <w:rPr>
          <w:rFonts w:ascii="Times New Roman" w:eastAsia="Calibri" w:hAnsi="Times New Roman" w:cs="Times New Roman"/>
          <w:sz w:val="28"/>
          <w:szCs w:val="28"/>
          <w:lang w:val="ru-RU" w:eastAsia="en-US"/>
        </w:rPr>
        <w:t>-202</w:t>
      </w:r>
      <w:r w:rsidRPr="00674A6B">
        <w:rPr>
          <w:rFonts w:ascii="Times New Roman" w:eastAsia="Calibri" w:hAnsi="Times New Roman" w:cs="Times New Roman"/>
          <w:sz w:val="28"/>
          <w:szCs w:val="28"/>
          <w:lang w:eastAsia="en-US"/>
        </w:rPr>
        <w:t>8</w:t>
      </w:r>
      <w:r w:rsidRPr="00674A6B">
        <w:rPr>
          <w:rFonts w:ascii="Times New Roman" w:eastAsia="Calibri" w:hAnsi="Times New Roman" w:cs="Times New Roman"/>
          <w:sz w:val="28"/>
          <w:szCs w:val="28"/>
          <w:lang w:val="ru-RU" w:eastAsia="en-US"/>
        </w:rPr>
        <w:t xml:space="preserve"> роки, що затверджена</w:t>
      </w:r>
      <w:r w:rsidRPr="00674A6B">
        <w:rPr>
          <w:rFonts w:ascii="Times New Roman" w:eastAsia="Calibri" w:hAnsi="Times New Roman" w:cs="Times New Roman"/>
          <w:sz w:val="28"/>
          <w:szCs w:val="28"/>
          <w:lang w:eastAsia="en-US"/>
        </w:rPr>
        <w:t xml:space="preserve"> </w:t>
      </w:r>
      <w:r w:rsidRPr="00674A6B">
        <w:rPr>
          <w:rFonts w:ascii="Times New Roman" w:eastAsia="Calibri" w:hAnsi="Times New Roman" w:cs="Times New Roman"/>
          <w:sz w:val="28"/>
          <w:szCs w:val="28"/>
          <w:lang w:val="ru-RU" w:eastAsia="en-US"/>
        </w:rPr>
        <w:t xml:space="preserve">постановою Кабінету Міністрів України від </w:t>
      </w:r>
      <w:r w:rsidRPr="00674A6B">
        <w:rPr>
          <w:rFonts w:ascii="Times New Roman" w:eastAsia="Calibri" w:hAnsi="Times New Roman" w:cs="Times New Roman"/>
          <w:color w:val="474747"/>
          <w:sz w:val="28"/>
          <w:szCs w:val="28"/>
          <w:shd w:val="clear" w:color="auto" w:fill="FFFFFF"/>
          <w:lang w:val="ru-RU" w:eastAsia="en-US"/>
        </w:rPr>
        <w:t>7.06.2025 № 774</w:t>
      </w:r>
      <w:r w:rsidRPr="00674A6B">
        <w:rPr>
          <w:rFonts w:ascii="Times New Roman" w:eastAsia="Calibri" w:hAnsi="Times New Roman" w:cs="Times New Roman"/>
          <w:sz w:val="28"/>
          <w:szCs w:val="28"/>
          <w:lang w:val="ru-RU" w:eastAsia="en-US"/>
        </w:rPr>
        <w:t>;</w:t>
      </w:r>
    </w:p>
    <w:p w:rsidR="00674A6B" w:rsidRPr="00674A6B" w:rsidP="00674A6B" w14:paraId="556E577E" w14:textId="4BE8A744">
      <w:pPr>
        <w:spacing w:after="0" w:line="240" w:lineRule="auto"/>
        <w:ind w:firstLine="567"/>
        <w:jc w:val="both"/>
        <w:rPr>
          <w:rFonts w:ascii="Times New Roman" w:eastAsia="Calibri" w:hAnsi="Times New Roman" w:cs="Times New Roman"/>
          <w:sz w:val="28"/>
          <w:szCs w:val="28"/>
          <w:lang w:val="ru-RU" w:eastAsia="en-US"/>
        </w:rPr>
      </w:pPr>
      <w:r w:rsidRPr="00674A6B">
        <w:rPr>
          <w:rFonts w:ascii="Times New Roman" w:eastAsia="Calibri" w:hAnsi="Times New Roman" w:cs="Times New Roman"/>
          <w:sz w:val="28"/>
          <w:szCs w:val="28"/>
          <w:lang w:val="ru-RU" w:eastAsia="en-US"/>
        </w:rPr>
        <w:t>застосування чинних ставок загальнодержавних податкі</w:t>
      </w:r>
      <w:r w:rsidRPr="00674A6B">
        <w:rPr>
          <w:rFonts w:ascii="Times New Roman" w:eastAsia="Calibri" w:hAnsi="Times New Roman" w:cs="Times New Roman"/>
          <w:sz w:val="28"/>
          <w:szCs w:val="28"/>
          <w:lang w:val="ru-RU" w:eastAsia="en-US"/>
        </w:rPr>
        <w:t>в</w:t>
      </w:r>
      <w:r w:rsidRPr="00674A6B">
        <w:rPr>
          <w:rFonts w:ascii="Times New Roman" w:eastAsia="Calibri" w:hAnsi="Times New Roman" w:cs="Times New Roman"/>
          <w:sz w:val="28"/>
          <w:szCs w:val="28"/>
          <w:lang w:val="ru-RU" w:eastAsia="en-US"/>
        </w:rPr>
        <w:t xml:space="preserve">; </w:t>
      </w:r>
    </w:p>
    <w:p w:rsidR="00674A6B" w:rsidRPr="00674A6B" w:rsidP="00674A6B" w14:paraId="051F71BE" w14:textId="3765C008">
      <w:pPr>
        <w:spacing w:after="0" w:line="240" w:lineRule="auto"/>
        <w:ind w:firstLine="567"/>
        <w:jc w:val="both"/>
        <w:rPr>
          <w:rFonts w:ascii="Times New Roman" w:eastAsia="Calibri" w:hAnsi="Times New Roman" w:cs="Times New Roman"/>
          <w:sz w:val="28"/>
          <w:szCs w:val="28"/>
          <w:lang w:val="ru-RU" w:eastAsia="en-US"/>
        </w:rPr>
      </w:pPr>
      <w:r w:rsidRPr="00674A6B">
        <w:rPr>
          <w:rFonts w:ascii="Times New Roman" w:eastAsia="Calibri" w:hAnsi="Times New Roman" w:cs="Times New Roman"/>
          <w:sz w:val="28"/>
          <w:szCs w:val="28"/>
          <w:lang w:val="ru-RU" w:eastAsia="en-US"/>
        </w:rPr>
        <w:t>застосування індексу споживчих цін, що використовується для визначення коефіцієнта індексації нормативної грошової оцінки земель населених пунктів, із значенням 1</w:t>
      </w:r>
      <w:r w:rsidRPr="00674A6B">
        <w:rPr>
          <w:rFonts w:ascii="Times New Roman" w:eastAsia="Calibri" w:hAnsi="Times New Roman" w:cs="Times New Roman"/>
          <w:sz w:val="28"/>
          <w:szCs w:val="28"/>
          <w:lang w:eastAsia="en-US"/>
        </w:rPr>
        <w:t>,12</w:t>
      </w:r>
      <w:r w:rsidRPr="00674A6B">
        <w:rPr>
          <w:rFonts w:ascii="Times New Roman" w:eastAsia="Calibri" w:hAnsi="Times New Roman" w:cs="Times New Roman"/>
          <w:sz w:val="28"/>
          <w:szCs w:val="28"/>
          <w:lang w:val="ru-RU" w:eastAsia="en-US"/>
        </w:rPr>
        <w:t>;</w:t>
      </w:r>
    </w:p>
    <w:p w:rsidR="00674A6B" w:rsidRPr="00674A6B" w:rsidP="00674A6B" w14:paraId="225B27E5" w14:textId="5584D510">
      <w:pPr>
        <w:spacing w:after="0" w:line="240" w:lineRule="auto"/>
        <w:ind w:firstLine="567"/>
        <w:jc w:val="both"/>
        <w:rPr>
          <w:rFonts w:ascii="Times New Roman" w:eastAsia="Calibri" w:hAnsi="Times New Roman" w:cs="Times New Roman"/>
          <w:sz w:val="28"/>
          <w:szCs w:val="28"/>
          <w:lang w:val="ru-RU" w:eastAsia="en-US"/>
        </w:rPr>
      </w:pPr>
      <w:r w:rsidRPr="00674A6B">
        <w:rPr>
          <w:rFonts w:ascii="Times New Roman" w:eastAsia="Calibri" w:hAnsi="Times New Roman" w:cs="Times New Roman"/>
          <w:sz w:val="28"/>
          <w:szCs w:val="28"/>
          <w:lang w:val="ru-RU" w:eastAsia="en-US"/>
        </w:rPr>
        <w:t>п</w:t>
      </w:r>
      <w:r w:rsidRPr="00674A6B">
        <w:rPr>
          <w:rFonts w:ascii="Times New Roman" w:eastAsia="Calibri" w:hAnsi="Times New Roman" w:cs="Times New Roman"/>
          <w:sz w:val="28"/>
          <w:szCs w:val="28"/>
          <w:lang w:val="ru-RU" w:eastAsia="en-US"/>
        </w:rPr>
        <w:t xml:space="preserve">ідвищення розміру прожиткового мінімуму, мінімальної заробітної плати та посадового окладу (тарифної ставки) працівника I тарифного розряду Єдиної тарифної сітки; </w:t>
      </w:r>
    </w:p>
    <w:p w:rsidR="00674A6B" w:rsidRPr="00674A6B" w:rsidP="00674A6B" w14:paraId="1E163391" w14:textId="63EE9EB4">
      <w:pPr>
        <w:spacing w:after="0" w:line="240" w:lineRule="auto"/>
        <w:ind w:firstLine="567"/>
        <w:jc w:val="both"/>
        <w:rPr>
          <w:rFonts w:ascii="Times New Roman" w:eastAsia="Calibri" w:hAnsi="Times New Roman" w:cs="Times New Roman"/>
          <w:sz w:val="28"/>
          <w:szCs w:val="28"/>
          <w:lang w:val="ru-RU" w:eastAsia="en-US"/>
        </w:rPr>
      </w:pPr>
      <w:r w:rsidRPr="00674A6B">
        <w:rPr>
          <w:rFonts w:ascii="Times New Roman" w:eastAsia="Calibri" w:hAnsi="Times New Roman" w:cs="Times New Roman"/>
          <w:sz w:val="28"/>
          <w:szCs w:val="28"/>
          <w:lang w:val="ru-RU" w:eastAsia="en-US"/>
        </w:rPr>
        <w:t xml:space="preserve">застосування ставок місцевих податків, встановлених </w:t>
      </w:r>
      <w:r w:rsidRPr="00674A6B">
        <w:rPr>
          <w:rFonts w:ascii="Times New Roman" w:eastAsia="Calibri" w:hAnsi="Times New Roman" w:cs="Times New Roman"/>
          <w:sz w:val="28"/>
          <w:szCs w:val="28"/>
          <w:lang w:val="ru-RU" w:eastAsia="en-US"/>
        </w:rPr>
        <w:t>р</w:t>
      </w:r>
      <w:r w:rsidRPr="00674A6B">
        <w:rPr>
          <w:rFonts w:ascii="Times New Roman" w:eastAsia="Calibri" w:hAnsi="Times New Roman" w:cs="Times New Roman"/>
          <w:sz w:val="28"/>
          <w:szCs w:val="28"/>
          <w:lang w:val="ru-RU" w:eastAsia="en-US"/>
        </w:rPr>
        <w:t xml:space="preserve">ішенням </w:t>
      </w:r>
      <w:r w:rsidRPr="00674A6B">
        <w:rPr>
          <w:rFonts w:ascii="Times New Roman" w:eastAsia="Calibri" w:hAnsi="Times New Roman" w:cs="Times New Roman"/>
          <w:sz w:val="28"/>
          <w:szCs w:val="28"/>
          <w:lang w:eastAsia="en-US"/>
        </w:rPr>
        <w:t>Броварської міської ради Броварського району Київської області від 08.07.2021 року №309-09-08 «</w:t>
      </w:r>
      <w:r w:rsidRPr="00674A6B">
        <w:rPr>
          <w:rFonts w:ascii="Times New Roman" w:eastAsia="Calibri" w:hAnsi="Times New Roman" w:cs="Times New Roman"/>
          <w:sz w:val="28"/>
          <w:szCs w:val="28"/>
          <w:lang w:val="ru-RU" w:eastAsia="en-US"/>
        </w:rPr>
        <w:t xml:space="preserve">Про </w:t>
      </w:r>
      <w:r w:rsidRPr="00674A6B">
        <w:rPr>
          <w:rFonts w:ascii="Times New Roman" w:eastAsia="Calibri" w:hAnsi="Times New Roman" w:cs="Times New Roman"/>
          <w:sz w:val="28"/>
          <w:szCs w:val="28"/>
          <w:lang w:eastAsia="en-US"/>
        </w:rPr>
        <w:t xml:space="preserve">встановлення податків і зборів на території Броварської міської територіальної громади» та </w:t>
      </w:r>
      <w:r w:rsidRPr="00674A6B">
        <w:rPr>
          <w:rFonts w:ascii="Times New Roman" w:eastAsia="Calibri" w:hAnsi="Times New Roman" w:cs="Times New Roman"/>
          <w:sz w:val="28"/>
          <w:szCs w:val="28"/>
          <w:lang w:val="ru-RU" w:eastAsia="en-US"/>
        </w:rPr>
        <w:t xml:space="preserve">ставок </w:t>
      </w:r>
      <w:r w:rsidRPr="00674A6B">
        <w:rPr>
          <w:rFonts w:ascii="Times New Roman" w:eastAsia="Calibri" w:hAnsi="Times New Roman" w:cs="Times New Roman"/>
          <w:sz w:val="28"/>
          <w:szCs w:val="28"/>
          <w:lang w:eastAsia="en-US"/>
        </w:rPr>
        <w:t xml:space="preserve">земельного </w:t>
      </w:r>
      <w:r w:rsidRPr="00674A6B">
        <w:rPr>
          <w:rFonts w:ascii="Times New Roman" w:eastAsia="Calibri" w:hAnsi="Times New Roman" w:cs="Times New Roman"/>
          <w:sz w:val="28"/>
          <w:szCs w:val="28"/>
          <w:lang w:val="ru-RU" w:eastAsia="en-US"/>
        </w:rPr>
        <w:t>податк</w:t>
      </w:r>
      <w:r w:rsidRPr="00674A6B">
        <w:rPr>
          <w:rFonts w:ascii="Times New Roman" w:eastAsia="Calibri" w:hAnsi="Times New Roman" w:cs="Times New Roman"/>
          <w:sz w:val="28"/>
          <w:szCs w:val="28"/>
          <w:lang w:eastAsia="en-US"/>
        </w:rPr>
        <w:t>у та податку про нерухоме майно, відмінне від земельної ділянки, а також збору за паркування транспортних засобів</w:t>
      </w:r>
      <w:r w:rsidRPr="00674A6B">
        <w:rPr>
          <w:rFonts w:ascii="Times New Roman" w:eastAsia="Calibri" w:hAnsi="Times New Roman" w:cs="Times New Roman"/>
          <w:sz w:val="28"/>
          <w:szCs w:val="28"/>
          <w:lang w:val="ru-RU" w:eastAsia="en-US"/>
        </w:rPr>
        <w:t xml:space="preserve">, встановлених рішенням </w:t>
      </w:r>
      <w:r w:rsidRPr="00674A6B">
        <w:rPr>
          <w:rFonts w:ascii="Times New Roman" w:eastAsia="Calibri" w:hAnsi="Times New Roman" w:cs="Times New Roman"/>
          <w:sz w:val="28"/>
          <w:szCs w:val="28"/>
          <w:lang w:eastAsia="en-US"/>
        </w:rPr>
        <w:t xml:space="preserve">Броварської міської ради Броварського району Київської області від </w:t>
      </w:r>
      <w:r w:rsidRPr="00674A6B">
        <w:rPr>
          <w:rFonts w:ascii="Times New Roman" w:eastAsia="Calibri" w:hAnsi="Times New Roman" w:cs="Times New Roman"/>
          <w:spacing w:val="-2"/>
          <w:sz w:val="28"/>
          <w:szCs w:val="28"/>
          <w:lang w:val="ru-RU" w:eastAsia="en-US"/>
        </w:rPr>
        <w:t>27.06.2024</w:t>
      </w:r>
      <w:r w:rsidRPr="00674A6B">
        <w:rPr>
          <w:rFonts w:ascii="Times New Roman" w:eastAsia="Calibri" w:hAnsi="Times New Roman" w:cs="Times New Roman"/>
          <w:sz w:val="28"/>
          <w:szCs w:val="28"/>
          <w:lang w:eastAsia="en-US"/>
        </w:rPr>
        <w:t xml:space="preserve"> року №</w:t>
      </w:r>
      <w:r w:rsidRPr="00674A6B">
        <w:rPr>
          <w:rFonts w:ascii="Times New Roman" w:eastAsia="Calibri" w:hAnsi="Times New Roman" w:cs="Times New Roman"/>
          <w:sz w:val="28"/>
          <w:szCs w:val="28"/>
          <w:lang w:val="ru-RU" w:eastAsia="en-US"/>
        </w:rPr>
        <w:t>1663-73-</w:t>
      </w:r>
      <w:r w:rsidRPr="00674A6B">
        <w:rPr>
          <w:rFonts w:ascii="Times New Roman" w:eastAsia="Calibri" w:hAnsi="Times New Roman" w:cs="Times New Roman"/>
          <w:spacing w:val="-5"/>
          <w:sz w:val="28"/>
          <w:szCs w:val="28"/>
          <w:lang w:val="ru-RU" w:eastAsia="en-US"/>
        </w:rPr>
        <w:t>08</w:t>
      </w:r>
      <w:r w:rsidRPr="00674A6B">
        <w:rPr>
          <w:rFonts w:ascii="Times New Roman" w:eastAsia="Calibri" w:hAnsi="Times New Roman" w:cs="Times New Roman"/>
          <w:sz w:val="28"/>
          <w:szCs w:val="28"/>
          <w:lang w:eastAsia="en-US"/>
        </w:rPr>
        <w:t xml:space="preserve"> «</w:t>
      </w:r>
      <w:r w:rsidRPr="00674A6B">
        <w:rPr>
          <w:rFonts w:ascii="Times New Roman" w:eastAsia="Calibri" w:hAnsi="Times New Roman" w:cs="Times New Roman"/>
          <w:sz w:val="28"/>
          <w:szCs w:val="28"/>
          <w:lang w:val="ru-RU" w:eastAsia="en-US"/>
        </w:rPr>
        <w:t>Про внесення змін до рішення Броварської міської ради Броварського району Київської області від</w:t>
      </w:r>
      <w:r w:rsidRPr="00674A6B">
        <w:rPr>
          <w:rFonts w:ascii="Times New Roman" w:eastAsia="Calibri" w:hAnsi="Times New Roman" w:cs="Times New Roman"/>
          <w:spacing w:val="-1"/>
          <w:sz w:val="28"/>
          <w:szCs w:val="28"/>
          <w:lang w:val="ru-RU" w:eastAsia="en-US"/>
        </w:rPr>
        <w:t xml:space="preserve"> </w:t>
      </w:r>
      <w:r w:rsidRPr="00674A6B">
        <w:rPr>
          <w:rFonts w:ascii="Times New Roman" w:eastAsia="Calibri" w:hAnsi="Times New Roman" w:cs="Times New Roman"/>
          <w:sz w:val="28"/>
          <w:szCs w:val="28"/>
          <w:lang w:val="ru-RU" w:eastAsia="en-US"/>
        </w:rPr>
        <w:t xml:space="preserve">08.07.2021 </w:t>
      </w:r>
      <w:r w:rsidRPr="00674A6B">
        <w:rPr>
          <w:rFonts w:ascii="Times New Roman" w:eastAsia="Calibri" w:hAnsi="Times New Roman" w:cs="Times New Roman"/>
          <w:spacing w:val="-4"/>
          <w:sz w:val="28"/>
          <w:szCs w:val="28"/>
          <w:lang w:val="ru-RU" w:eastAsia="en-US"/>
        </w:rPr>
        <w:t>року</w:t>
      </w:r>
      <w:r w:rsidRPr="00674A6B">
        <w:rPr>
          <w:rFonts w:ascii="Times New Roman" w:eastAsia="Calibri" w:hAnsi="Times New Roman" w:cs="Times New Roman"/>
          <w:sz w:val="28"/>
          <w:szCs w:val="28"/>
          <w:lang w:val="ru-RU" w:eastAsia="en-US"/>
        </w:rPr>
        <w:t xml:space="preserve"> №309-09-08</w:t>
      </w:r>
      <w:r w:rsidRPr="00674A6B">
        <w:rPr>
          <w:rFonts w:ascii="Times New Roman" w:eastAsia="Calibri" w:hAnsi="Times New Roman" w:cs="Times New Roman"/>
          <w:spacing w:val="-6"/>
          <w:sz w:val="28"/>
          <w:szCs w:val="28"/>
          <w:lang w:val="ru-RU" w:eastAsia="en-US"/>
        </w:rPr>
        <w:t xml:space="preserve"> </w:t>
      </w:r>
      <w:r w:rsidRPr="00674A6B">
        <w:rPr>
          <w:rFonts w:ascii="Times New Roman" w:eastAsia="Calibri" w:hAnsi="Times New Roman" w:cs="Times New Roman"/>
          <w:spacing w:val="-6"/>
          <w:sz w:val="28"/>
          <w:szCs w:val="28"/>
          <w:lang w:eastAsia="en-US"/>
        </w:rPr>
        <w:t>«</w:t>
      </w:r>
      <w:r w:rsidRPr="00674A6B">
        <w:rPr>
          <w:rFonts w:ascii="Times New Roman" w:eastAsia="Calibri" w:hAnsi="Times New Roman" w:cs="Times New Roman"/>
          <w:sz w:val="28"/>
          <w:szCs w:val="28"/>
          <w:lang w:val="ru-RU" w:eastAsia="en-US"/>
        </w:rPr>
        <w:t xml:space="preserve">Про </w:t>
      </w:r>
      <w:r w:rsidRPr="00674A6B">
        <w:rPr>
          <w:rFonts w:ascii="Times New Roman" w:eastAsia="Calibri" w:hAnsi="Times New Roman" w:cs="Times New Roman"/>
          <w:sz w:val="28"/>
          <w:szCs w:val="28"/>
          <w:lang w:eastAsia="en-US"/>
        </w:rPr>
        <w:t>встановлення податків і зборів на території Броварської міської територіальної громади»</w:t>
      </w:r>
      <w:r w:rsidRPr="00674A6B">
        <w:rPr>
          <w:rFonts w:ascii="Times New Roman" w:eastAsia="Calibri" w:hAnsi="Times New Roman" w:cs="Times New Roman"/>
          <w:sz w:val="28"/>
          <w:szCs w:val="28"/>
          <w:lang w:val="ru-RU" w:eastAsia="en-US"/>
        </w:rPr>
        <w:t xml:space="preserve">; </w:t>
      </w:r>
    </w:p>
    <w:p w:rsidR="00674A6B" w:rsidRPr="00674A6B" w:rsidP="00674A6B" w14:paraId="54C4FE11" w14:textId="544B3BB4">
      <w:pPr>
        <w:spacing w:after="0" w:line="240" w:lineRule="auto"/>
        <w:ind w:firstLine="567"/>
        <w:jc w:val="both"/>
        <w:rPr>
          <w:rFonts w:ascii="Times New Roman" w:eastAsia="Calibri" w:hAnsi="Times New Roman" w:cs="Times New Roman"/>
          <w:sz w:val="28"/>
          <w:szCs w:val="28"/>
          <w:lang w:val="ru-RU" w:eastAsia="en-US"/>
        </w:rPr>
      </w:pPr>
      <w:r w:rsidRPr="00674A6B">
        <w:rPr>
          <w:rFonts w:ascii="Times New Roman" w:eastAsia="Calibri" w:hAnsi="Times New Roman" w:cs="Times New Roman"/>
          <w:sz w:val="28"/>
          <w:szCs w:val="28"/>
          <w:lang w:val="ru-RU" w:eastAsia="en-US"/>
        </w:rPr>
        <w:t>фактичне виконання дох</w:t>
      </w:r>
      <w:r w:rsidRPr="00674A6B">
        <w:rPr>
          <w:rFonts w:ascii="Times New Roman" w:eastAsia="Calibri" w:hAnsi="Times New Roman" w:cs="Times New Roman"/>
          <w:sz w:val="28"/>
          <w:szCs w:val="28"/>
          <w:lang w:eastAsia="en-US"/>
        </w:rPr>
        <w:t>о</w:t>
      </w:r>
      <w:r w:rsidRPr="00674A6B">
        <w:rPr>
          <w:rFonts w:ascii="Times New Roman" w:eastAsia="Calibri" w:hAnsi="Times New Roman" w:cs="Times New Roman"/>
          <w:sz w:val="28"/>
          <w:szCs w:val="28"/>
          <w:lang w:val="ru-RU" w:eastAsia="en-US"/>
        </w:rPr>
        <w:t xml:space="preserve">дної частини бюджету </w:t>
      </w:r>
      <w:r w:rsidRPr="00674A6B">
        <w:rPr>
          <w:rFonts w:ascii="Times New Roman" w:eastAsia="Calibri" w:hAnsi="Times New Roman" w:cs="Times New Roman"/>
          <w:sz w:val="28"/>
          <w:szCs w:val="28"/>
          <w:lang w:eastAsia="en-US"/>
        </w:rPr>
        <w:t>громади</w:t>
      </w:r>
      <w:r w:rsidRPr="00674A6B">
        <w:rPr>
          <w:rFonts w:ascii="Times New Roman" w:eastAsia="Calibri" w:hAnsi="Times New Roman" w:cs="Times New Roman"/>
          <w:sz w:val="28"/>
          <w:szCs w:val="28"/>
          <w:lang w:val="ru-RU" w:eastAsia="en-US"/>
        </w:rPr>
        <w:t xml:space="preserve"> за результатами 20</w:t>
      </w:r>
      <w:r w:rsidRPr="00674A6B">
        <w:rPr>
          <w:rFonts w:ascii="Times New Roman" w:eastAsia="Calibri" w:hAnsi="Times New Roman" w:cs="Times New Roman"/>
          <w:sz w:val="28"/>
          <w:szCs w:val="28"/>
          <w:lang w:eastAsia="en-US"/>
        </w:rPr>
        <w:t xml:space="preserve">23 </w:t>
      </w:r>
      <w:r w:rsidRPr="00674A6B">
        <w:rPr>
          <w:rFonts w:ascii="Times New Roman" w:eastAsia="Calibri" w:hAnsi="Times New Roman" w:cs="Times New Roman"/>
          <w:sz w:val="28"/>
          <w:szCs w:val="28"/>
          <w:lang w:val="ru-RU" w:eastAsia="en-US"/>
        </w:rPr>
        <w:t>-</w:t>
      </w:r>
      <w:r w:rsidRPr="00674A6B">
        <w:rPr>
          <w:rFonts w:ascii="Times New Roman" w:eastAsia="Calibri" w:hAnsi="Times New Roman" w:cs="Times New Roman"/>
          <w:sz w:val="28"/>
          <w:szCs w:val="28"/>
          <w:lang w:eastAsia="en-US"/>
        </w:rPr>
        <w:t xml:space="preserve"> </w:t>
      </w:r>
      <w:r w:rsidRPr="00674A6B">
        <w:rPr>
          <w:rFonts w:ascii="Times New Roman" w:eastAsia="Calibri" w:hAnsi="Times New Roman" w:cs="Times New Roman"/>
          <w:sz w:val="28"/>
          <w:szCs w:val="28"/>
          <w:lang w:val="ru-RU" w:eastAsia="en-US"/>
        </w:rPr>
        <w:t>202</w:t>
      </w:r>
      <w:r w:rsidRPr="00674A6B">
        <w:rPr>
          <w:rFonts w:ascii="Times New Roman" w:eastAsia="Calibri" w:hAnsi="Times New Roman" w:cs="Times New Roman"/>
          <w:sz w:val="28"/>
          <w:szCs w:val="28"/>
          <w:lang w:eastAsia="en-US"/>
        </w:rPr>
        <w:t>4</w:t>
      </w:r>
      <w:r w:rsidRPr="00674A6B">
        <w:rPr>
          <w:rFonts w:ascii="Times New Roman" w:eastAsia="Calibri" w:hAnsi="Times New Roman" w:cs="Times New Roman"/>
          <w:sz w:val="28"/>
          <w:szCs w:val="28"/>
          <w:lang w:val="ru-RU" w:eastAsia="en-US"/>
        </w:rPr>
        <w:t xml:space="preserve"> рокі</w:t>
      </w:r>
      <w:r w:rsidRPr="00674A6B">
        <w:rPr>
          <w:rFonts w:ascii="Times New Roman" w:eastAsia="Calibri" w:hAnsi="Times New Roman" w:cs="Times New Roman"/>
          <w:sz w:val="28"/>
          <w:szCs w:val="28"/>
          <w:lang w:val="ru-RU" w:eastAsia="en-US"/>
        </w:rPr>
        <w:t>в</w:t>
      </w:r>
      <w:r w:rsidRPr="00674A6B">
        <w:rPr>
          <w:rFonts w:ascii="Times New Roman" w:eastAsia="Calibri" w:hAnsi="Times New Roman" w:cs="Times New Roman"/>
          <w:sz w:val="28"/>
          <w:szCs w:val="28"/>
          <w:lang w:val="ru-RU" w:eastAsia="en-US"/>
        </w:rPr>
        <w:t xml:space="preserve"> </w:t>
      </w:r>
      <w:r w:rsidRPr="00674A6B">
        <w:rPr>
          <w:rFonts w:ascii="Times New Roman" w:eastAsia="Calibri" w:hAnsi="Times New Roman" w:cs="Times New Roman"/>
          <w:sz w:val="28"/>
          <w:szCs w:val="28"/>
          <w:lang w:val="ru-RU" w:eastAsia="en-US"/>
        </w:rPr>
        <w:t>та</w:t>
      </w:r>
      <w:r w:rsidRPr="00674A6B">
        <w:rPr>
          <w:rFonts w:ascii="Times New Roman" w:eastAsia="Calibri" w:hAnsi="Times New Roman" w:cs="Times New Roman"/>
          <w:sz w:val="28"/>
          <w:szCs w:val="28"/>
          <w:lang w:val="ru-RU" w:eastAsia="en-US"/>
        </w:rPr>
        <w:t xml:space="preserve"> </w:t>
      </w:r>
      <w:r w:rsidRPr="00674A6B">
        <w:rPr>
          <w:rFonts w:ascii="Times New Roman" w:eastAsia="Calibri" w:hAnsi="Times New Roman" w:cs="Times New Roman"/>
          <w:sz w:val="28"/>
          <w:szCs w:val="28"/>
          <w:lang w:eastAsia="en-US"/>
        </w:rPr>
        <w:t xml:space="preserve">доходної частини громади за </w:t>
      </w:r>
      <w:r w:rsidRPr="00674A6B">
        <w:rPr>
          <w:rFonts w:ascii="Times New Roman" w:eastAsia="Calibri" w:hAnsi="Times New Roman" w:cs="Times New Roman"/>
          <w:sz w:val="28"/>
          <w:szCs w:val="28"/>
          <w:lang w:val="ru-RU" w:eastAsia="en-US"/>
        </w:rPr>
        <w:t>6 місяців 202</w:t>
      </w:r>
      <w:r w:rsidRPr="00674A6B">
        <w:rPr>
          <w:rFonts w:ascii="Times New Roman" w:eastAsia="Calibri" w:hAnsi="Times New Roman" w:cs="Times New Roman"/>
          <w:sz w:val="28"/>
          <w:szCs w:val="28"/>
          <w:lang w:eastAsia="en-US"/>
        </w:rPr>
        <w:t>5</w:t>
      </w:r>
      <w:r w:rsidRPr="00674A6B">
        <w:rPr>
          <w:rFonts w:ascii="Times New Roman" w:eastAsia="Calibri" w:hAnsi="Times New Roman" w:cs="Times New Roman"/>
          <w:sz w:val="28"/>
          <w:szCs w:val="28"/>
          <w:lang w:val="ru-RU" w:eastAsia="en-US"/>
        </w:rPr>
        <w:t xml:space="preserve"> року. </w:t>
      </w:r>
    </w:p>
    <w:p w:rsidR="00674A6B" w:rsidRPr="00674A6B" w:rsidP="00674A6B" w14:paraId="2453BB74" w14:textId="77777777">
      <w:pPr>
        <w:spacing w:after="0" w:line="240" w:lineRule="auto"/>
        <w:ind w:firstLine="567"/>
        <w:jc w:val="both"/>
        <w:rPr>
          <w:rFonts w:ascii="Times New Roman" w:eastAsia="Calibri" w:hAnsi="Times New Roman" w:cs="Times New Roman"/>
          <w:sz w:val="28"/>
          <w:szCs w:val="28"/>
          <w:lang w:val="ru-RU" w:eastAsia="en-US"/>
        </w:rPr>
      </w:pPr>
      <w:r w:rsidRPr="00674A6B">
        <w:rPr>
          <w:rFonts w:ascii="Times New Roman" w:eastAsia="Calibri" w:hAnsi="Times New Roman" w:cs="Times New Roman"/>
          <w:sz w:val="28"/>
          <w:szCs w:val="28"/>
          <w:lang w:val="ru-RU" w:eastAsia="en-US"/>
        </w:rPr>
        <w:t>Відповідно до статей 98</w:t>
      </w:r>
      <w:r w:rsidRPr="00674A6B">
        <w:rPr>
          <w:rFonts w:ascii="Times New Roman" w:eastAsia="Calibri" w:hAnsi="Times New Roman" w:cs="Times New Roman"/>
          <w:sz w:val="28"/>
          <w:szCs w:val="28"/>
          <w:lang w:eastAsia="en-US"/>
        </w:rPr>
        <w:t xml:space="preserve"> </w:t>
      </w:r>
      <w:r w:rsidRPr="00674A6B">
        <w:rPr>
          <w:rFonts w:ascii="Times New Roman" w:eastAsia="Calibri" w:hAnsi="Times New Roman" w:cs="Times New Roman"/>
          <w:sz w:val="28"/>
          <w:szCs w:val="28"/>
          <w:lang w:val="ru-RU" w:eastAsia="en-US"/>
        </w:rPr>
        <w:t>-</w:t>
      </w:r>
      <w:r w:rsidRPr="00674A6B">
        <w:rPr>
          <w:rFonts w:ascii="Times New Roman" w:eastAsia="Calibri" w:hAnsi="Times New Roman" w:cs="Times New Roman"/>
          <w:sz w:val="28"/>
          <w:szCs w:val="28"/>
          <w:lang w:eastAsia="en-US"/>
        </w:rPr>
        <w:t xml:space="preserve"> </w:t>
      </w:r>
      <w:r w:rsidRPr="00674A6B">
        <w:rPr>
          <w:rFonts w:ascii="Times New Roman" w:eastAsia="Calibri" w:hAnsi="Times New Roman" w:cs="Times New Roman"/>
          <w:sz w:val="28"/>
          <w:szCs w:val="28"/>
          <w:lang w:val="ru-RU" w:eastAsia="en-US"/>
        </w:rPr>
        <w:t xml:space="preserve">100 Бюджетного кодексу України система бюджетного вирівнювання передбачає горизонтальне вирівнювання податкоспроможності територій залежно від </w:t>
      </w:r>
      <w:r w:rsidRPr="00674A6B">
        <w:rPr>
          <w:rFonts w:ascii="Times New Roman" w:eastAsia="Calibri" w:hAnsi="Times New Roman" w:cs="Times New Roman"/>
          <w:sz w:val="28"/>
          <w:szCs w:val="28"/>
          <w:lang w:val="ru-RU" w:eastAsia="en-US"/>
        </w:rPr>
        <w:t>р</w:t>
      </w:r>
      <w:r w:rsidRPr="00674A6B">
        <w:rPr>
          <w:rFonts w:ascii="Times New Roman" w:eastAsia="Calibri" w:hAnsi="Times New Roman" w:cs="Times New Roman"/>
          <w:sz w:val="28"/>
          <w:szCs w:val="28"/>
          <w:lang w:val="ru-RU" w:eastAsia="en-US"/>
        </w:rPr>
        <w:t xml:space="preserve">івня надходжень податку на доходи фізичних осіб у розрахунку на одного жителя, шляхом передачі трансфертів. </w:t>
      </w:r>
    </w:p>
    <w:p w:rsidR="00674A6B" w:rsidRPr="00674A6B" w:rsidP="00674A6B" w14:paraId="3B4B0C7C"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З урахуванням прогнозу основних макроекономічних показників економічного та соціального розвитку країни, динаміки бази оподаткування, ефективності податкового адміністрування, загальні показники доходів </w:t>
      </w:r>
      <w:r w:rsidRPr="00674A6B">
        <w:rPr>
          <w:rFonts w:ascii="Times New Roman" w:eastAsia="Calibri" w:hAnsi="Times New Roman" w:cs="Times New Roman"/>
          <w:sz w:val="28"/>
          <w:szCs w:val="28"/>
          <w:lang w:eastAsia="en-US"/>
        </w:rPr>
        <w:t xml:space="preserve">бюджету Броварської міської територіальної громади на 2026-2028 роки зростають. </w:t>
      </w:r>
    </w:p>
    <w:p w:rsidR="00674A6B" w:rsidRPr="00674A6B" w:rsidP="00674A6B" w14:paraId="492AC57E" w14:textId="77777777">
      <w:pPr>
        <w:spacing w:after="0" w:line="240" w:lineRule="auto"/>
        <w:ind w:firstLine="567"/>
        <w:jc w:val="both"/>
        <w:rPr>
          <w:rFonts w:ascii="Times New Roman" w:eastAsia="Calibri" w:hAnsi="Times New Roman" w:cs="Times New Roman"/>
          <w:sz w:val="8"/>
          <w:szCs w:val="8"/>
          <w:lang w:eastAsia="en-US"/>
        </w:rPr>
      </w:pPr>
    </w:p>
    <w:p w:rsidR="00674A6B" w:rsidRPr="00674A6B" w:rsidP="00674A6B" w14:paraId="08E74174" w14:textId="77777777">
      <w:pPr>
        <w:spacing w:after="0" w:line="240" w:lineRule="auto"/>
        <w:ind w:firstLine="567"/>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eastAsia="en-US"/>
        </w:rPr>
        <w:t>Загальні показники доходів бюджету Броварської міської територіальної громади у 2026-2028 роках</w:t>
      </w:r>
    </w:p>
    <w:tbl>
      <w:tblPr>
        <w:tblW w:w="9780" w:type="dxa"/>
        <w:tblInd w:w="-416" w:type="dxa"/>
        <w:tblLayout w:type="fixed"/>
        <w:tblCellMar>
          <w:left w:w="10" w:type="dxa"/>
          <w:right w:w="10" w:type="dxa"/>
        </w:tblCellMar>
        <w:tblLook w:val="04A0"/>
      </w:tblPr>
      <w:tblGrid>
        <w:gridCol w:w="2268"/>
        <w:gridCol w:w="991"/>
        <w:gridCol w:w="851"/>
        <w:gridCol w:w="709"/>
        <w:gridCol w:w="992"/>
        <w:gridCol w:w="850"/>
        <w:gridCol w:w="709"/>
        <w:gridCol w:w="851"/>
        <w:gridCol w:w="850"/>
        <w:gridCol w:w="709"/>
      </w:tblGrid>
      <w:tr w14:paraId="3F263C90" w14:textId="77777777" w:rsidTr="00674A6B">
        <w:tblPrEx>
          <w:tblW w:w="9780" w:type="dxa"/>
          <w:tblInd w:w="-416" w:type="dxa"/>
          <w:tblLayout w:type="fixed"/>
          <w:tblCellMar>
            <w:left w:w="10" w:type="dxa"/>
            <w:right w:w="10" w:type="dxa"/>
          </w:tblCellMar>
          <w:tblLook w:val="04A0"/>
        </w:tblPrEx>
        <w:trPr>
          <w:trHeight w:hRule="exact" w:val="259"/>
        </w:trPr>
        <w:tc>
          <w:tcPr>
            <w:tcW w:w="2269" w:type="dxa"/>
            <w:vMerge w:val="restart"/>
            <w:tcBorders>
              <w:top w:val="single" w:sz="4" w:space="0" w:color="auto"/>
              <w:left w:val="single" w:sz="4" w:space="0" w:color="auto"/>
              <w:bottom w:val="nil"/>
              <w:right w:val="nil"/>
            </w:tcBorders>
            <w:shd w:val="clear" w:color="auto" w:fill="FFFFFF"/>
            <w:vAlign w:val="center"/>
            <w:hideMark/>
          </w:tcPr>
          <w:p w:rsidR="00674A6B" w:rsidRPr="00674A6B" w:rsidP="00674A6B" w14:paraId="2AC6A7FA" w14:textId="77777777">
            <w:pPr>
              <w:widowControl w:val="0"/>
              <w:spacing w:after="0" w:line="240" w:lineRule="auto"/>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Найменування</w:t>
            </w:r>
          </w:p>
          <w:p w:rsidR="00674A6B" w:rsidRPr="00674A6B" w:rsidP="00674A6B" w14:paraId="2226FB70" w14:textId="77777777">
            <w:pPr>
              <w:widowControl w:val="0"/>
              <w:spacing w:before="60" w:after="0" w:line="240" w:lineRule="auto"/>
              <w:jc w:val="both"/>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показника</w:t>
            </w:r>
          </w:p>
        </w:tc>
        <w:tc>
          <w:tcPr>
            <w:tcW w:w="2552" w:type="dxa"/>
            <w:gridSpan w:val="3"/>
            <w:tcBorders>
              <w:top w:val="single" w:sz="4" w:space="0" w:color="auto"/>
              <w:left w:val="single" w:sz="4" w:space="0" w:color="auto"/>
              <w:bottom w:val="nil"/>
              <w:right w:val="nil"/>
            </w:tcBorders>
            <w:shd w:val="clear" w:color="auto" w:fill="FFFFFF"/>
            <w:vAlign w:val="bottom"/>
            <w:hideMark/>
          </w:tcPr>
          <w:p w:rsidR="00674A6B" w:rsidRPr="00674A6B" w:rsidP="00674A6B" w14:paraId="4C88B474" w14:textId="77777777">
            <w:pPr>
              <w:widowControl w:val="0"/>
              <w:spacing w:after="0" w:line="240" w:lineRule="auto"/>
              <w:jc w:val="center"/>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2026 рік</w:t>
            </w:r>
          </w:p>
        </w:tc>
        <w:tc>
          <w:tcPr>
            <w:tcW w:w="2551" w:type="dxa"/>
            <w:gridSpan w:val="3"/>
            <w:tcBorders>
              <w:top w:val="single" w:sz="4" w:space="0" w:color="auto"/>
              <w:left w:val="single" w:sz="4" w:space="0" w:color="auto"/>
              <w:bottom w:val="nil"/>
              <w:right w:val="nil"/>
            </w:tcBorders>
            <w:shd w:val="clear" w:color="auto" w:fill="FFFFFF"/>
            <w:vAlign w:val="bottom"/>
            <w:hideMark/>
          </w:tcPr>
          <w:p w:rsidR="00674A6B" w:rsidRPr="00674A6B" w:rsidP="00674A6B" w14:paraId="337FABE5" w14:textId="77777777">
            <w:pPr>
              <w:widowControl w:val="0"/>
              <w:spacing w:after="0" w:line="240" w:lineRule="auto"/>
              <w:jc w:val="center"/>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2027 рік</w:t>
            </w:r>
          </w:p>
        </w:tc>
        <w:tc>
          <w:tcPr>
            <w:tcW w:w="2410" w:type="dxa"/>
            <w:gridSpan w:val="3"/>
            <w:tcBorders>
              <w:top w:val="single" w:sz="4" w:space="0" w:color="auto"/>
              <w:left w:val="single" w:sz="4" w:space="0" w:color="auto"/>
              <w:bottom w:val="nil"/>
              <w:right w:val="single" w:sz="4" w:space="0" w:color="auto"/>
            </w:tcBorders>
            <w:shd w:val="clear" w:color="auto" w:fill="FFFFFF"/>
            <w:vAlign w:val="bottom"/>
            <w:hideMark/>
          </w:tcPr>
          <w:p w:rsidR="00674A6B" w:rsidRPr="00674A6B" w:rsidP="00674A6B" w14:paraId="43F23D4B" w14:textId="77777777">
            <w:pPr>
              <w:widowControl w:val="0"/>
              <w:spacing w:after="0" w:line="240" w:lineRule="auto"/>
              <w:jc w:val="center"/>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2028 рік</w:t>
            </w:r>
          </w:p>
        </w:tc>
      </w:tr>
      <w:tr w14:paraId="5209DBA7" w14:textId="77777777" w:rsidTr="00674A6B">
        <w:tblPrEx>
          <w:tblW w:w="9780" w:type="dxa"/>
          <w:tblInd w:w="-416" w:type="dxa"/>
          <w:tblLayout w:type="fixed"/>
          <w:tblCellMar>
            <w:left w:w="10" w:type="dxa"/>
            <w:right w:w="10" w:type="dxa"/>
          </w:tblCellMar>
          <w:tblLook w:val="04A0"/>
        </w:tblPrEx>
        <w:trPr>
          <w:trHeight w:hRule="exact" w:val="710"/>
        </w:trPr>
        <w:tc>
          <w:tcPr>
            <w:tcW w:w="2269" w:type="dxa"/>
            <w:vMerge/>
            <w:tcBorders>
              <w:top w:val="single" w:sz="4" w:space="0" w:color="auto"/>
              <w:left w:val="single" w:sz="4" w:space="0" w:color="auto"/>
              <w:bottom w:val="nil"/>
              <w:right w:val="nil"/>
            </w:tcBorders>
            <w:vAlign w:val="center"/>
            <w:hideMark/>
          </w:tcPr>
          <w:p w:rsidR="00674A6B" w:rsidRPr="00674A6B" w:rsidP="00674A6B" w14:paraId="38EE43BE" w14:textId="77777777">
            <w:pPr>
              <w:spacing w:after="0" w:line="240" w:lineRule="auto"/>
              <w:rPr>
                <w:rFonts w:ascii="Times New Roman" w:eastAsia="Times New Roman" w:hAnsi="Times New Roman" w:cs="Times New Roman"/>
                <w:sz w:val="20"/>
                <w:szCs w:val="20"/>
                <w:lang w:val="ru-RU" w:eastAsia="ru-RU"/>
              </w:rPr>
            </w:pPr>
          </w:p>
        </w:tc>
        <w:tc>
          <w:tcPr>
            <w:tcW w:w="992" w:type="dxa"/>
            <w:vMerge w:val="restart"/>
            <w:tcBorders>
              <w:top w:val="single" w:sz="4" w:space="0" w:color="auto"/>
              <w:left w:val="single" w:sz="4" w:space="0" w:color="auto"/>
              <w:bottom w:val="nil"/>
              <w:right w:val="nil"/>
            </w:tcBorders>
            <w:shd w:val="clear" w:color="auto" w:fill="FFFFFF"/>
            <w:vAlign w:val="center"/>
            <w:hideMark/>
          </w:tcPr>
          <w:p w:rsidR="00674A6B" w:rsidRPr="00674A6B" w:rsidP="00674A6B" w14:paraId="27A9AB4A" w14:textId="77777777">
            <w:pPr>
              <w:widowControl w:val="0"/>
              <w:spacing w:after="0" w:line="240" w:lineRule="auto"/>
              <w:ind w:left="180"/>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прогноз</w:t>
            </w:r>
          </w:p>
        </w:tc>
        <w:tc>
          <w:tcPr>
            <w:tcW w:w="1560" w:type="dxa"/>
            <w:gridSpan w:val="2"/>
            <w:tcBorders>
              <w:top w:val="single" w:sz="4" w:space="0" w:color="auto"/>
              <w:left w:val="single" w:sz="4" w:space="0" w:color="auto"/>
              <w:bottom w:val="nil"/>
              <w:right w:val="nil"/>
            </w:tcBorders>
            <w:shd w:val="clear" w:color="auto" w:fill="FFFFFF"/>
            <w:vAlign w:val="bottom"/>
            <w:hideMark/>
          </w:tcPr>
          <w:p w:rsidR="00674A6B" w:rsidRPr="00674A6B" w:rsidP="00674A6B" w14:paraId="331CF280" w14:textId="77777777">
            <w:pPr>
              <w:widowControl w:val="0"/>
              <w:spacing w:after="0" w:line="240" w:lineRule="auto"/>
              <w:jc w:val="center"/>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Відхилення до попереднього року</w:t>
            </w:r>
          </w:p>
        </w:tc>
        <w:tc>
          <w:tcPr>
            <w:tcW w:w="992" w:type="dxa"/>
            <w:vMerge w:val="restart"/>
            <w:tcBorders>
              <w:top w:val="single" w:sz="4" w:space="0" w:color="auto"/>
              <w:left w:val="single" w:sz="4" w:space="0" w:color="auto"/>
              <w:bottom w:val="nil"/>
              <w:right w:val="nil"/>
            </w:tcBorders>
            <w:shd w:val="clear" w:color="auto" w:fill="FFFFFF"/>
            <w:vAlign w:val="center"/>
            <w:hideMark/>
          </w:tcPr>
          <w:p w:rsidR="00674A6B" w:rsidRPr="00674A6B" w:rsidP="00674A6B" w14:paraId="788FF050" w14:textId="77777777">
            <w:pPr>
              <w:widowControl w:val="0"/>
              <w:spacing w:after="0" w:line="240" w:lineRule="auto"/>
              <w:ind w:left="180"/>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прогноз</w:t>
            </w:r>
          </w:p>
        </w:tc>
        <w:tc>
          <w:tcPr>
            <w:tcW w:w="1559" w:type="dxa"/>
            <w:gridSpan w:val="2"/>
            <w:tcBorders>
              <w:top w:val="single" w:sz="4" w:space="0" w:color="auto"/>
              <w:left w:val="single" w:sz="4" w:space="0" w:color="auto"/>
              <w:bottom w:val="nil"/>
              <w:right w:val="nil"/>
            </w:tcBorders>
            <w:shd w:val="clear" w:color="auto" w:fill="FFFFFF"/>
            <w:vAlign w:val="bottom"/>
            <w:hideMark/>
          </w:tcPr>
          <w:p w:rsidR="00674A6B" w:rsidRPr="00674A6B" w:rsidP="00674A6B" w14:paraId="450328C5" w14:textId="77777777">
            <w:pPr>
              <w:widowControl w:val="0"/>
              <w:spacing w:after="0" w:line="240" w:lineRule="auto"/>
              <w:jc w:val="center"/>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Відхилення до попереднього року</w:t>
            </w:r>
          </w:p>
        </w:tc>
        <w:tc>
          <w:tcPr>
            <w:tcW w:w="851" w:type="dxa"/>
            <w:vMerge w:val="restart"/>
            <w:tcBorders>
              <w:top w:val="single" w:sz="4" w:space="0" w:color="auto"/>
              <w:left w:val="single" w:sz="4" w:space="0" w:color="auto"/>
              <w:bottom w:val="nil"/>
              <w:right w:val="nil"/>
            </w:tcBorders>
            <w:shd w:val="clear" w:color="auto" w:fill="FFFFFF"/>
            <w:vAlign w:val="center"/>
            <w:hideMark/>
          </w:tcPr>
          <w:p w:rsidR="00674A6B" w:rsidRPr="00674A6B" w:rsidP="00674A6B" w14:paraId="253FE336" w14:textId="77777777">
            <w:pPr>
              <w:widowControl w:val="0"/>
              <w:spacing w:after="0" w:line="240" w:lineRule="auto"/>
              <w:jc w:val="center"/>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прогноз</w:t>
            </w:r>
          </w:p>
        </w:tc>
        <w:tc>
          <w:tcPr>
            <w:tcW w:w="1559" w:type="dxa"/>
            <w:gridSpan w:val="2"/>
            <w:tcBorders>
              <w:top w:val="single" w:sz="4" w:space="0" w:color="auto"/>
              <w:left w:val="single" w:sz="4" w:space="0" w:color="auto"/>
              <w:bottom w:val="nil"/>
              <w:right w:val="single" w:sz="4" w:space="0" w:color="auto"/>
            </w:tcBorders>
            <w:shd w:val="clear" w:color="auto" w:fill="FFFFFF"/>
            <w:vAlign w:val="bottom"/>
            <w:hideMark/>
          </w:tcPr>
          <w:p w:rsidR="00674A6B" w:rsidRPr="00674A6B" w:rsidP="00674A6B" w14:paraId="1EFC59B3" w14:textId="77777777">
            <w:pPr>
              <w:widowControl w:val="0"/>
              <w:spacing w:after="0" w:line="240" w:lineRule="auto"/>
              <w:jc w:val="center"/>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Відхилення до попереднього року</w:t>
            </w:r>
          </w:p>
        </w:tc>
      </w:tr>
      <w:tr w14:paraId="37E732A1" w14:textId="77777777" w:rsidTr="00674A6B">
        <w:tblPrEx>
          <w:tblW w:w="9780" w:type="dxa"/>
          <w:tblInd w:w="-416" w:type="dxa"/>
          <w:tblLayout w:type="fixed"/>
          <w:tblCellMar>
            <w:left w:w="10" w:type="dxa"/>
            <w:right w:w="10" w:type="dxa"/>
          </w:tblCellMar>
          <w:tblLook w:val="04A0"/>
        </w:tblPrEx>
        <w:trPr>
          <w:trHeight w:hRule="exact" w:val="245"/>
        </w:trPr>
        <w:tc>
          <w:tcPr>
            <w:tcW w:w="2269" w:type="dxa"/>
            <w:vMerge/>
            <w:tcBorders>
              <w:top w:val="single" w:sz="4" w:space="0" w:color="auto"/>
              <w:left w:val="single" w:sz="4" w:space="0" w:color="auto"/>
              <w:bottom w:val="nil"/>
              <w:right w:val="nil"/>
            </w:tcBorders>
            <w:vAlign w:val="center"/>
            <w:hideMark/>
          </w:tcPr>
          <w:p w:rsidR="00674A6B" w:rsidRPr="00674A6B" w:rsidP="00674A6B" w14:paraId="5F3C7546" w14:textId="77777777">
            <w:pPr>
              <w:spacing w:after="0" w:line="240" w:lineRule="auto"/>
              <w:rPr>
                <w:rFonts w:ascii="Times New Roman" w:eastAsia="Times New Roman" w:hAnsi="Times New Roman" w:cs="Times New Roman"/>
                <w:sz w:val="20"/>
                <w:szCs w:val="20"/>
                <w:lang w:val="ru-RU" w:eastAsia="ru-RU"/>
              </w:rPr>
            </w:pPr>
          </w:p>
        </w:tc>
        <w:tc>
          <w:tcPr>
            <w:tcW w:w="2552" w:type="dxa"/>
            <w:vMerge/>
            <w:tcBorders>
              <w:top w:val="single" w:sz="4" w:space="0" w:color="auto"/>
              <w:left w:val="single" w:sz="4" w:space="0" w:color="auto"/>
              <w:bottom w:val="nil"/>
              <w:right w:val="nil"/>
            </w:tcBorders>
            <w:vAlign w:val="center"/>
            <w:hideMark/>
          </w:tcPr>
          <w:p w:rsidR="00674A6B" w:rsidRPr="00674A6B" w:rsidP="00674A6B" w14:paraId="2D6BF5F1" w14:textId="77777777">
            <w:pPr>
              <w:spacing w:after="0" w:line="240" w:lineRule="auto"/>
              <w:rPr>
                <w:rFonts w:ascii="Times New Roman" w:eastAsia="Times New Roman" w:hAnsi="Times New Roman" w:cs="Times New Roman"/>
                <w:sz w:val="20"/>
                <w:szCs w:val="20"/>
                <w:lang w:val="ru-RU" w:eastAsia="ru-RU"/>
              </w:rPr>
            </w:pPr>
          </w:p>
        </w:tc>
        <w:tc>
          <w:tcPr>
            <w:tcW w:w="851" w:type="dxa"/>
            <w:tcBorders>
              <w:top w:val="single" w:sz="4" w:space="0" w:color="auto"/>
              <w:left w:val="single" w:sz="4" w:space="0" w:color="auto"/>
              <w:bottom w:val="nil"/>
              <w:right w:val="nil"/>
            </w:tcBorders>
            <w:shd w:val="clear" w:color="auto" w:fill="FFFFFF"/>
            <w:vAlign w:val="center"/>
            <w:hideMark/>
          </w:tcPr>
          <w:p w:rsidR="00674A6B" w:rsidRPr="00674A6B" w:rsidP="00674A6B" w14:paraId="21C6ED87" w14:textId="77777777">
            <w:pPr>
              <w:widowControl w:val="0"/>
              <w:spacing w:after="0" w:line="240" w:lineRule="auto"/>
              <w:jc w:val="center"/>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w:t>
            </w:r>
          </w:p>
        </w:tc>
        <w:tc>
          <w:tcPr>
            <w:tcW w:w="709" w:type="dxa"/>
            <w:tcBorders>
              <w:top w:val="single" w:sz="4" w:space="0" w:color="auto"/>
              <w:left w:val="single" w:sz="4" w:space="0" w:color="auto"/>
              <w:bottom w:val="nil"/>
              <w:right w:val="nil"/>
            </w:tcBorders>
            <w:shd w:val="clear" w:color="auto" w:fill="FFFFFF"/>
            <w:vAlign w:val="center"/>
            <w:hideMark/>
          </w:tcPr>
          <w:p w:rsidR="00674A6B" w:rsidRPr="00674A6B" w:rsidP="00674A6B" w14:paraId="679318C0" w14:textId="77777777">
            <w:pPr>
              <w:widowControl w:val="0"/>
              <w:spacing w:after="0" w:line="240" w:lineRule="auto"/>
              <w:ind w:left="240"/>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w:t>
            </w:r>
          </w:p>
        </w:tc>
        <w:tc>
          <w:tcPr>
            <w:tcW w:w="2551" w:type="dxa"/>
            <w:vMerge/>
            <w:tcBorders>
              <w:top w:val="single" w:sz="4" w:space="0" w:color="auto"/>
              <w:left w:val="single" w:sz="4" w:space="0" w:color="auto"/>
              <w:bottom w:val="nil"/>
              <w:right w:val="nil"/>
            </w:tcBorders>
            <w:vAlign w:val="center"/>
            <w:hideMark/>
          </w:tcPr>
          <w:p w:rsidR="00674A6B" w:rsidRPr="00674A6B" w:rsidP="00674A6B" w14:paraId="11296D3F" w14:textId="77777777">
            <w:pPr>
              <w:spacing w:after="0" w:line="240" w:lineRule="auto"/>
              <w:rPr>
                <w:rFonts w:ascii="Times New Roman" w:eastAsia="Times New Roman" w:hAnsi="Times New Roman" w:cs="Times New Roman"/>
                <w:sz w:val="20"/>
                <w:szCs w:val="20"/>
                <w:lang w:val="ru-RU" w:eastAsia="ru-RU"/>
              </w:rPr>
            </w:pPr>
          </w:p>
        </w:tc>
        <w:tc>
          <w:tcPr>
            <w:tcW w:w="850" w:type="dxa"/>
            <w:tcBorders>
              <w:top w:val="single" w:sz="4" w:space="0" w:color="auto"/>
              <w:left w:val="single" w:sz="4" w:space="0" w:color="auto"/>
              <w:bottom w:val="nil"/>
              <w:right w:val="nil"/>
            </w:tcBorders>
            <w:shd w:val="clear" w:color="auto" w:fill="FFFFFF"/>
            <w:vAlign w:val="center"/>
            <w:hideMark/>
          </w:tcPr>
          <w:p w:rsidR="00674A6B" w:rsidRPr="00674A6B" w:rsidP="00674A6B" w14:paraId="7D50C826" w14:textId="77777777">
            <w:pPr>
              <w:widowControl w:val="0"/>
              <w:spacing w:after="0" w:line="240" w:lineRule="auto"/>
              <w:jc w:val="center"/>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w:t>
            </w:r>
          </w:p>
        </w:tc>
        <w:tc>
          <w:tcPr>
            <w:tcW w:w="709" w:type="dxa"/>
            <w:tcBorders>
              <w:top w:val="single" w:sz="4" w:space="0" w:color="auto"/>
              <w:left w:val="single" w:sz="4" w:space="0" w:color="auto"/>
              <w:bottom w:val="nil"/>
              <w:right w:val="nil"/>
            </w:tcBorders>
            <w:shd w:val="clear" w:color="auto" w:fill="FFFFFF"/>
            <w:vAlign w:val="center"/>
            <w:hideMark/>
          </w:tcPr>
          <w:p w:rsidR="00674A6B" w:rsidRPr="00674A6B" w:rsidP="00674A6B" w14:paraId="1F1B57D6" w14:textId="77777777">
            <w:pPr>
              <w:widowControl w:val="0"/>
              <w:spacing w:after="0" w:line="240" w:lineRule="auto"/>
              <w:jc w:val="center"/>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w:t>
            </w:r>
          </w:p>
        </w:tc>
        <w:tc>
          <w:tcPr>
            <w:tcW w:w="2410" w:type="dxa"/>
            <w:vMerge/>
            <w:tcBorders>
              <w:top w:val="single" w:sz="4" w:space="0" w:color="auto"/>
              <w:left w:val="single" w:sz="4" w:space="0" w:color="auto"/>
              <w:bottom w:val="nil"/>
              <w:right w:val="nil"/>
            </w:tcBorders>
            <w:vAlign w:val="center"/>
            <w:hideMark/>
          </w:tcPr>
          <w:p w:rsidR="00674A6B" w:rsidRPr="00674A6B" w:rsidP="00674A6B" w14:paraId="77057425" w14:textId="77777777">
            <w:pPr>
              <w:spacing w:after="0" w:line="240" w:lineRule="auto"/>
              <w:rPr>
                <w:rFonts w:ascii="Times New Roman" w:eastAsia="Times New Roman" w:hAnsi="Times New Roman" w:cs="Times New Roman"/>
                <w:sz w:val="20"/>
                <w:szCs w:val="20"/>
                <w:lang w:val="ru-RU" w:eastAsia="ru-RU"/>
              </w:rPr>
            </w:pPr>
          </w:p>
        </w:tc>
        <w:tc>
          <w:tcPr>
            <w:tcW w:w="850" w:type="dxa"/>
            <w:tcBorders>
              <w:top w:val="single" w:sz="4" w:space="0" w:color="auto"/>
              <w:left w:val="single" w:sz="4" w:space="0" w:color="auto"/>
              <w:bottom w:val="nil"/>
              <w:right w:val="nil"/>
            </w:tcBorders>
            <w:shd w:val="clear" w:color="auto" w:fill="FFFFFF"/>
            <w:vAlign w:val="center"/>
            <w:hideMark/>
          </w:tcPr>
          <w:p w:rsidR="00674A6B" w:rsidRPr="00674A6B" w:rsidP="00674A6B" w14:paraId="2745B39E" w14:textId="77777777">
            <w:pPr>
              <w:widowControl w:val="0"/>
              <w:spacing w:after="0" w:line="240" w:lineRule="auto"/>
              <w:jc w:val="center"/>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w:t>
            </w:r>
          </w:p>
        </w:tc>
        <w:tc>
          <w:tcPr>
            <w:tcW w:w="709" w:type="dxa"/>
            <w:tcBorders>
              <w:top w:val="single" w:sz="4" w:space="0" w:color="auto"/>
              <w:left w:val="single" w:sz="4" w:space="0" w:color="auto"/>
              <w:bottom w:val="nil"/>
              <w:right w:val="single" w:sz="4" w:space="0" w:color="auto"/>
            </w:tcBorders>
            <w:shd w:val="clear" w:color="auto" w:fill="FFFFFF"/>
            <w:vAlign w:val="center"/>
            <w:hideMark/>
          </w:tcPr>
          <w:p w:rsidR="00674A6B" w:rsidRPr="00674A6B" w:rsidP="00674A6B" w14:paraId="380877C3" w14:textId="77777777">
            <w:pPr>
              <w:widowControl w:val="0"/>
              <w:spacing w:after="0" w:line="240" w:lineRule="auto"/>
              <w:jc w:val="center"/>
              <w:rPr>
                <w:rFonts w:ascii="Times New Roman" w:eastAsia="Times New Roman" w:hAnsi="Times New Roman" w:cs="Times New Roman"/>
                <w:sz w:val="20"/>
                <w:szCs w:val="20"/>
                <w:lang w:val="ru-RU" w:eastAsia="ru-RU"/>
              </w:rPr>
            </w:pPr>
            <w:r w:rsidRPr="00674A6B">
              <w:rPr>
                <w:rFonts w:ascii="Times New Roman" w:eastAsia="Times New Roman" w:hAnsi="Times New Roman" w:cs="Times New Roman"/>
                <w:b/>
                <w:bCs/>
                <w:color w:val="000000"/>
                <w:sz w:val="20"/>
                <w:szCs w:val="20"/>
                <w:shd w:val="clear" w:color="auto" w:fill="FFFFFF"/>
                <w:lang w:bidi="uk-UA"/>
              </w:rPr>
              <w:t>%</w:t>
            </w:r>
          </w:p>
        </w:tc>
      </w:tr>
      <w:tr w14:paraId="67BCF7B2" w14:textId="77777777" w:rsidTr="00674A6B">
        <w:tblPrEx>
          <w:tblW w:w="9780" w:type="dxa"/>
          <w:tblInd w:w="-416" w:type="dxa"/>
          <w:tblLayout w:type="fixed"/>
          <w:tblCellMar>
            <w:left w:w="10" w:type="dxa"/>
            <w:right w:w="10" w:type="dxa"/>
          </w:tblCellMar>
          <w:tblLook w:val="04A0"/>
        </w:tblPrEx>
        <w:trPr>
          <w:cantSplit/>
          <w:trHeight w:hRule="exact" w:val="1876"/>
        </w:trPr>
        <w:tc>
          <w:tcPr>
            <w:tcW w:w="2269" w:type="dxa"/>
            <w:tcBorders>
              <w:top w:val="single" w:sz="4" w:space="0" w:color="auto"/>
              <w:left w:val="single" w:sz="4" w:space="0" w:color="auto"/>
              <w:bottom w:val="nil"/>
              <w:right w:val="nil"/>
            </w:tcBorders>
            <w:shd w:val="clear" w:color="auto" w:fill="FFFFFF"/>
            <w:vAlign w:val="bottom"/>
            <w:hideMark/>
          </w:tcPr>
          <w:p w:rsidR="00674A6B" w:rsidRPr="00674A6B" w:rsidP="00674A6B" w14:paraId="3B8E2C92" w14:textId="77777777">
            <w:pPr>
              <w:widowControl w:val="0"/>
              <w:spacing w:after="0" w:line="240" w:lineRule="auto"/>
              <w:rPr>
                <w:rFonts w:ascii="Times New Roman" w:eastAsia="Times New Roman" w:hAnsi="Times New Roman" w:cs="Times New Roman"/>
                <w:lang w:val="ru-RU" w:eastAsia="ru-RU"/>
              </w:rPr>
            </w:pPr>
            <w:r w:rsidRPr="00674A6B">
              <w:rPr>
                <w:rFonts w:ascii="Times New Roman" w:eastAsia="Times New Roman" w:hAnsi="Times New Roman" w:cs="Times New Roman"/>
                <w:bCs/>
                <w:color w:val="000000"/>
                <w:shd w:val="clear" w:color="auto" w:fill="FFFFFF"/>
                <w:lang w:bidi="uk-UA"/>
              </w:rPr>
              <w:t>Бюджет</w:t>
            </w:r>
          </w:p>
          <w:p w:rsidR="00674A6B" w:rsidRPr="00674A6B" w:rsidP="00674A6B" w14:paraId="5850ADF6" w14:textId="77777777">
            <w:pPr>
              <w:widowControl w:val="0"/>
              <w:spacing w:after="0" w:line="240" w:lineRule="auto"/>
              <w:rPr>
                <w:rFonts w:ascii="Times New Roman" w:eastAsia="Times New Roman" w:hAnsi="Times New Roman" w:cs="Times New Roman"/>
                <w:lang w:eastAsia="ru-RU"/>
              </w:rPr>
            </w:pPr>
            <w:r w:rsidRPr="00674A6B">
              <w:rPr>
                <w:rFonts w:ascii="Times New Roman" w:eastAsia="Times New Roman" w:hAnsi="Times New Roman" w:cs="Times New Roman"/>
                <w:lang w:eastAsia="ru-RU"/>
              </w:rPr>
              <w:t>Броварської</w:t>
            </w:r>
          </w:p>
          <w:p w:rsidR="00674A6B" w:rsidRPr="00674A6B" w:rsidP="00674A6B" w14:paraId="2A2E96CD" w14:textId="77777777">
            <w:pPr>
              <w:widowControl w:val="0"/>
              <w:spacing w:after="0" w:line="240" w:lineRule="auto"/>
              <w:rPr>
                <w:rFonts w:ascii="Times New Roman" w:eastAsia="Times New Roman" w:hAnsi="Times New Roman" w:cs="Times New Roman"/>
                <w:lang w:val="ru-RU" w:eastAsia="ru-RU"/>
              </w:rPr>
            </w:pPr>
            <w:r w:rsidRPr="00674A6B">
              <w:rPr>
                <w:rFonts w:ascii="Times New Roman" w:eastAsia="Times New Roman" w:hAnsi="Times New Roman" w:cs="Times New Roman"/>
                <w:bCs/>
                <w:color w:val="000000"/>
                <w:shd w:val="clear" w:color="auto" w:fill="FFFFFF"/>
                <w:lang w:bidi="uk-UA"/>
              </w:rPr>
              <w:t>міської</w:t>
            </w:r>
          </w:p>
          <w:p w:rsidR="00674A6B" w:rsidRPr="00674A6B" w:rsidP="00674A6B" w14:paraId="585C078B" w14:textId="77777777">
            <w:pPr>
              <w:widowControl w:val="0"/>
              <w:spacing w:after="0" w:line="240" w:lineRule="auto"/>
              <w:rPr>
                <w:rFonts w:ascii="Times New Roman" w:eastAsia="Times New Roman" w:hAnsi="Times New Roman" w:cs="Times New Roman"/>
                <w:bCs/>
                <w:color w:val="000000"/>
                <w:shd w:val="clear" w:color="auto" w:fill="FFFFFF"/>
                <w:lang w:bidi="uk-UA"/>
              </w:rPr>
            </w:pPr>
            <w:r w:rsidRPr="00674A6B">
              <w:rPr>
                <w:rFonts w:ascii="Times New Roman" w:eastAsia="Times New Roman" w:hAnsi="Times New Roman" w:cs="Times New Roman"/>
                <w:bCs/>
                <w:color w:val="000000"/>
                <w:shd w:val="clear" w:color="auto" w:fill="FFFFFF"/>
                <w:lang w:bidi="uk-UA"/>
              </w:rPr>
              <w:t xml:space="preserve">територіальної громади </w:t>
            </w:r>
          </w:p>
          <w:p w:rsidR="00674A6B" w:rsidRPr="00674A6B" w:rsidP="00674A6B" w14:paraId="5D9A4DDD" w14:textId="77777777">
            <w:pPr>
              <w:widowControl w:val="0"/>
              <w:spacing w:after="0" w:line="240" w:lineRule="auto"/>
              <w:rPr>
                <w:rFonts w:ascii="Times New Roman" w:eastAsia="Times New Roman" w:hAnsi="Times New Roman" w:cs="Times New Roman"/>
                <w:sz w:val="28"/>
                <w:szCs w:val="28"/>
                <w:lang w:val="ru-RU" w:eastAsia="ru-RU"/>
              </w:rPr>
            </w:pPr>
            <w:r w:rsidRPr="00674A6B">
              <w:rPr>
                <w:rFonts w:ascii="Times New Roman" w:eastAsia="Times New Roman" w:hAnsi="Times New Roman" w:cs="Times New Roman"/>
                <w:bCs/>
                <w:color w:val="000000"/>
                <w:shd w:val="clear" w:color="auto" w:fill="FFFFFF"/>
                <w:lang w:bidi="uk-UA"/>
              </w:rPr>
              <w:t>(без урахування міжбюджетних трансфертів), в тому числі:</w:t>
            </w:r>
          </w:p>
        </w:tc>
        <w:tc>
          <w:tcPr>
            <w:tcW w:w="992" w:type="dxa"/>
            <w:tcBorders>
              <w:top w:val="single" w:sz="4" w:space="0" w:color="auto"/>
              <w:left w:val="single" w:sz="4" w:space="0" w:color="auto"/>
              <w:bottom w:val="nil"/>
              <w:right w:val="nil"/>
            </w:tcBorders>
            <w:shd w:val="clear" w:color="auto" w:fill="FFFFFF"/>
            <w:textDirection w:val="btLr"/>
            <w:vAlign w:val="center"/>
            <w:hideMark/>
          </w:tcPr>
          <w:p w:rsidR="00674A6B" w:rsidRPr="00674A6B" w:rsidP="00674A6B" w14:paraId="03AA067C"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2 324 547 257</w:t>
            </w:r>
          </w:p>
        </w:tc>
        <w:tc>
          <w:tcPr>
            <w:tcW w:w="851" w:type="dxa"/>
            <w:tcBorders>
              <w:top w:val="single" w:sz="4" w:space="0" w:color="auto"/>
              <w:left w:val="single" w:sz="4" w:space="0" w:color="auto"/>
              <w:bottom w:val="nil"/>
              <w:right w:val="nil"/>
            </w:tcBorders>
            <w:shd w:val="clear" w:color="auto" w:fill="FFFFFF"/>
            <w:textDirection w:val="btLr"/>
            <w:vAlign w:val="center"/>
            <w:hideMark/>
          </w:tcPr>
          <w:p w:rsidR="00674A6B" w:rsidRPr="00674A6B" w:rsidP="00674A6B" w14:paraId="2CC76571" w14:textId="77777777">
            <w:pPr>
              <w:widowControl w:val="0"/>
              <w:spacing w:after="0" w:line="240" w:lineRule="auto"/>
              <w:ind w:left="-12"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138 768 245</w:t>
            </w:r>
          </w:p>
        </w:tc>
        <w:tc>
          <w:tcPr>
            <w:tcW w:w="709" w:type="dxa"/>
            <w:tcBorders>
              <w:top w:val="single" w:sz="4" w:space="0" w:color="auto"/>
              <w:left w:val="single" w:sz="4" w:space="0" w:color="auto"/>
              <w:bottom w:val="nil"/>
              <w:right w:val="nil"/>
            </w:tcBorders>
            <w:shd w:val="clear" w:color="auto" w:fill="FFFFFF"/>
            <w:textDirection w:val="btLr"/>
            <w:vAlign w:val="center"/>
            <w:hideMark/>
          </w:tcPr>
          <w:p w:rsidR="00674A6B" w:rsidRPr="00674A6B" w:rsidP="00674A6B" w14:paraId="788B61D6" w14:textId="77777777">
            <w:pPr>
              <w:widowControl w:val="0"/>
              <w:spacing w:after="0" w:line="240" w:lineRule="auto"/>
              <w:ind w:left="140"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106,3</w:t>
            </w:r>
          </w:p>
        </w:tc>
        <w:tc>
          <w:tcPr>
            <w:tcW w:w="992" w:type="dxa"/>
            <w:tcBorders>
              <w:top w:val="single" w:sz="4" w:space="0" w:color="auto"/>
              <w:left w:val="single" w:sz="4" w:space="0" w:color="auto"/>
              <w:bottom w:val="nil"/>
              <w:right w:val="nil"/>
            </w:tcBorders>
            <w:shd w:val="clear" w:color="auto" w:fill="FFFFFF"/>
            <w:textDirection w:val="btLr"/>
            <w:vAlign w:val="center"/>
            <w:hideMark/>
          </w:tcPr>
          <w:p w:rsidR="00674A6B" w:rsidRPr="00674A6B" w:rsidP="00674A6B" w14:paraId="16353B04" w14:textId="77777777">
            <w:pPr>
              <w:widowControl w:val="0"/>
              <w:spacing w:after="0" w:line="240" w:lineRule="auto"/>
              <w:ind w:left="129"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2 410 257 423</w:t>
            </w:r>
          </w:p>
        </w:tc>
        <w:tc>
          <w:tcPr>
            <w:tcW w:w="850" w:type="dxa"/>
            <w:tcBorders>
              <w:top w:val="single" w:sz="4" w:space="0" w:color="auto"/>
              <w:left w:val="single" w:sz="4" w:space="0" w:color="auto"/>
              <w:bottom w:val="nil"/>
              <w:right w:val="nil"/>
            </w:tcBorders>
            <w:shd w:val="clear" w:color="auto" w:fill="FFFFFF"/>
            <w:textDirection w:val="btLr"/>
            <w:vAlign w:val="center"/>
            <w:hideMark/>
          </w:tcPr>
          <w:p w:rsidR="00674A6B" w:rsidRPr="00674A6B" w:rsidP="00674A6B" w14:paraId="1325CE11"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85 710 166</w:t>
            </w:r>
          </w:p>
        </w:tc>
        <w:tc>
          <w:tcPr>
            <w:tcW w:w="709" w:type="dxa"/>
            <w:tcBorders>
              <w:top w:val="single" w:sz="4" w:space="0" w:color="auto"/>
              <w:left w:val="single" w:sz="4" w:space="0" w:color="auto"/>
              <w:bottom w:val="nil"/>
              <w:right w:val="nil"/>
            </w:tcBorders>
            <w:shd w:val="clear" w:color="auto" w:fill="FFFFFF"/>
            <w:textDirection w:val="btLr"/>
            <w:vAlign w:val="center"/>
            <w:hideMark/>
          </w:tcPr>
          <w:p w:rsidR="00674A6B" w:rsidRPr="00674A6B" w:rsidP="00674A6B" w14:paraId="2C5F0BD6"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103,7</w:t>
            </w:r>
          </w:p>
        </w:tc>
        <w:tc>
          <w:tcPr>
            <w:tcW w:w="851" w:type="dxa"/>
            <w:tcBorders>
              <w:top w:val="single" w:sz="4" w:space="0" w:color="auto"/>
              <w:left w:val="single" w:sz="4" w:space="0" w:color="auto"/>
              <w:bottom w:val="nil"/>
              <w:right w:val="nil"/>
            </w:tcBorders>
            <w:shd w:val="clear" w:color="auto" w:fill="FFFFFF"/>
            <w:textDirection w:val="btLr"/>
            <w:vAlign w:val="center"/>
            <w:hideMark/>
          </w:tcPr>
          <w:p w:rsidR="00674A6B" w:rsidRPr="00674A6B" w:rsidP="00674A6B" w14:paraId="5555EA48"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2 507 028 969</w:t>
            </w:r>
          </w:p>
        </w:tc>
        <w:tc>
          <w:tcPr>
            <w:tcW w:w="850" w:type="dxa"/>
            <w:tcBorders>
              <w:top w:val="single" w:sz="4" w:space="0" w:color="auto"/>
              <w:left w:val="single" w:sz="4" w:space="0" w:color="auto"/>
              <w:bottom w:val="nil"/>
              <w:right w:val="nil"/>
            </w:tcBorders>
            <w:shd w:val="clear" w:color="auto" w:fill="FFFFFF"/>
            <w:textDirection w:val="btLr"/>
            <w:vAlign w:val="center"/>
            <w:hideMark/>
          </w:tcPr>
          <w:p w:rsidR="00674A6B" w:rsidRPr="00674A6B" w:rsidP="00674A6B" w14:paraId="5C09A851"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96 771 546</w:t>
            </w:r>
          </w:p>
        </w:tc>
        <w:tc>
          <w:tcPr>
            <w:tcW w:w="709" w:type="dxa"/>
            <w:tcBorders>
              <w:top w:val="single" w:sz="4" w:space="0" w:color="auto"/>
              <w:left w:val="single" w:sz="4" w:space="0" w:color="auto"/>
              <w:bottom w:val="nil"/>
              <w:right w:val="single" w:sz="4" w:space="0" w:color="auto"/>
            </w:tcBorders>
            <w:shd w:val="clear" w:color="auto" w:fill="FFFFFF"/>
            <w:textDirection w:val="btLr"/>
            <w:vAlign w:val="center"/>
            <w:hideMark/>
          </w:tcPr>
          <w:p w:rsidR="00674A6B" w:rsidRPr="00674A6B" w:rsidP="00674A6B" w14:paraId="798B154C"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104,0</w:t>
            </w:r>
          </w:p>
        </w:tc>
      </w:tr>
      <w:tr w14:paraId="5703FBCF" w14:textId="77777777" w:rsidTr="00674A6B">
        <w:tblPrEx>
          <w:tblW w:w="9780" w:type="dxa"/>
          <w:tblInd w:w="-416" w:type="dxa"/>
          <w:tblLayout w:type="fixed"/>
          <w:tblCellMar>
            <w:left w:w="10" w:type="dxa"/>
            <w:right w:w="10" w:type="dxa"/>
          </w:tblCellMar>
          <w:tblLook w:val="04A0"/>
        </w:tblPrEx>
        <w:trPr>
          <w:cantSplit/>
          <w:trHeight w:hRule="exact" w:val="1690"/>
        </w:trPr>
        <w:tc>
          <w:tcPr>
            <w:tcW w:w="2269" w:type="dxa"/>
            <w:tcBorders>
              <w:top w:val="single" w:sz="4" w:space="0" w:color="auto"/>
              <w:left w:val="single" w:sz="4" w:space="0" w:color="auto"/>
              <w:bottom w:val="nil"/>
              <w:right w:val="nil"/>
            </w:tcBorders>
            <w:shd w:val="clear" w:color="auto" w:fill="FFFFFF"/>
            <w:vAlign w:val="bottom"/>
          </w:tcPr>
          <w:p w:rsidR="00674A6B" w:rsidRPr="00674A6B" w:rsidP="00674A6B" w14:paraId="577767DE" w14:textId="77777777">
            <w:pPr>
              <w:widowControl w:val="0"/>
              <w:spacing w:after="0" w:line="240" w:lineRule="auto"/>
              <w:rPr>
                <w:rFonts w:ascii="Times New Roman" w:eastAsia="Times New Roman" w:hAnsi="Times New Roman" w:cs="Times New Roman"/>
                <w:color w:val="000000"/>
                <w:shd w:val="clear" w:color="auto" w:fill="FFFFFF"/>
                <w:lang w:bidi="uk-UA"/>
              </w:rPr>
            </w:pPr>
            <w:r w:rsidRPr="00674A6B">
              <w:rPr>
                <w:rFonts w:ascii="Times New Roman" w:eastAsia="Times New Roman" w:hAnsi="Times New Roman" w:cs="Times New Roman"/>
                <w:color w:val="000000"/>
                <w:shd w:val="clear" w:color="auto" w:fill="FFFFFF"/>
                <w:lang w:bidi="uk-UA"/>
              </w:rPr>
              <w:t>Загальний фонд</w:t>
            </w:r>
          </w:p>
          <w:p w:rsidR="00674A6B" w:rsidRPr="00674A6B" w:rsidP="00674A6B" w14:paraId="1AD88153" w14:textId="77777777">
            <w:pPr>
              <w:widowControl w:val="0"/>
              <w:spacing w:after="0" w:line="240" w:lineRule="auto"/>
              <w:rPr>
                <w:rFonts w:ascii="Times New Roman" w:eastAsia="Times New Roman" w:hAnsi="Times New Roman" w:cs="Times New Roman"/>
                <w:color w:val="000000"/>
                <w:shd w:val="clear" w:color="auto" w:fill="FFFFFF"/>
                <w:lang w:bidi="uk-UA"/>
              </w:rPr>
            </w:pPr>
          </w:p>
          <w:p w:rsidR="00674A6B" w:rsidRPr="00674A6B" w:rsidP="00674A6B" w14:paraId="7EE6002D" w14:textId="77777777">
            <w:pPr>
              <w:widowControl w:val="0"/>
              <w:spacing w:after="0" w:line="240" w:lineRule="auto"/>
              <w:rPr>
                <w:rFonts w:ascii="Times New Roman" w:eastAsia="Times New Roman" w:hAnsi="Times New Roman" w:cs="Times New Roman"/>
                <w:color w:val="000000"/>
                <w:shd w:val="clear" w:color="auto" w:fill="FFFFFF"/>
                <w:lang w:bidi="uk-UA"/>
              </w:rPr>
            </w:pPr>
          </w:p>
          <w:p w:rsidR="00674A6B" w:rsidRPr="00674A6B" w:rsidP="00674A6B" w14:paraId="58A1B2EF" w14:textId="77777777">
            <w:pPr>
              <w:widowControl w:val="0"/>
              <w:spacing w:after="0" w:line="240" w:lineRule="auto"/>
              <w:rPr>
                <w:rFonts w:ascii="Times New Roman" w:eastAsia="Times New Roman" w:hAnsi="Times New Roman" w:cs="Times New Roman"/>
                <w:color w:val="000000"/>
                <w:shd w:val="clear" w:color="auto" w:fill="FFFFFF"/>
                <w:lang w:bidi="uk-UA"/>
              </w:rPr>
            </w:pPr>
          </w:p>
          <w:p w:rsidR="00674A6B" w:rsidRPr="00674A6B" w:rsidP="00674A6B" w14:paraId="4E5A6CF1" w14:textId="77777777">
            <w:pPr>
              <w:widowControl w:val="0"/>
              <w:spacing w:after="0" w:line="240" w:lineRule="auto"/>
              <w:rPr>
                <w:rFonts w:ascii="Times New Roman" w:eastAsia="Times New Roman" w:hAnsi="Times New Roman" w:cs="Times New Roman"/>
                <w:color w:val="000000"/>
                <w:shd w:val="clear" w:color="auto" w:fill="FFFFFF"/>
                <w:lang w:bidi="uk-UA"/>
              </w:rPr>
            </w:pPr>
          </w:p>
          <w:p w:rsidR="00674A6B" w:rsidRPr="00674A6B" w:rsidP="00674A6B" w14:paraId="7E122586" w14:textId="77777777">
            <w:pPr>
              <w:widowControl w:val="0"/>
              <w:spacing w:after="0" w:line="240" w:lineRule="auto"/>
              <w:rPr>
                <w:rFonts w:ascii="Times New Roman" w:eastAsia="Times New Roman" w:hAnsi="Times New Roman" w:cs="Times New Roman"/>
                <w:sz w:val="28"/>
                <w:szCs w:val="28"/>
                <w:lang w:val="ru-RU" w:eastAsia="ru-RU"/>
              </w:rPr>
            </w:pPr>
          </w:p>
        </w:tc>
        <w:tc>
          <w:tcPr>
            <w:tcW w:w="992" w:type="dxa"/>
            <w:tcBorders>
              <w:top w:val="single" w:sz="4" w:space="0" w:color="auto"/>
              <w:left w:val="single" w:sz="4" w:space="0" w:color="auto"/>
              <w:bottom w:val="nil"/>
              <w:right w:val="nil"/>
            </w:tcBorders>
            <w:shd w:val="clear" w:color="auto" w:fill="FFFFFF"/>
            <w:textDirection w:val="btLr"/>
            <w:vAlign w:val="bottom"/>
          </w:tcPr>
          <w:p w:rsidR="00674A6B" w:rsidRPr="00674A6B" w:rsidP="00674A6B" w14:paraId="19368CEE"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2 223 719 600</w:t>
            </w:r>
          </w:p>
          <w:p w:rsidR="00674A6B" w:rsidRPr="00674A6B" w:rsidP="00674A6B" w14:paraId="5CC934B1" w14:textId="77777777">
            <w:pPr>
              <w:widowControl w:val="0"/>
              <w:spacing w:after="0" w:line="240" w:lineRule="auto"/>
              <w:ind w:left="113" w:right="113"/>
              <w:jc w:val="both"/>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nil"/>
              <w:right w:val="nil"/>
            </w:tcBorders>
            <w:shd w:val="clear" w:color="auto" w:fill="FFFFFF"/>
            <w:textDirection w:val="btLr"/>
            <w:vAlign w:val="bottom"/>
          </w:tcPr>
          <w:p w:rsidR="00674A6B" w:rsidRPr="00674A6B" w:rsidP="00674A6B" w14:paraId="2DF746EA"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162 183 388</w:t>
            </w:r>
          </w:p>
          <w:p w:rsidR="00674A6B" w:rsidRPr="00674A6B" w:rsidP="00674A6B" w14:paraId="026845F8" w14:textId="77777777">
            <w:pPr>
              <w:widowControl w:val="0"/>
              <w:spacing w:after="0" w:line="240" w:lineRule="auto"/>
              <w:ind w:left="113" w:right="113"/>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nil"/>
              <w:right w:val="nil"/>
            </w:tcBorders>
            <w:shd w:val="clear" w:color="auto" w:fill="FFFFFF"/>
            <w:textDirection w:val="btLr"/>
            <w:vAlign w:val="bottom"/>
          </w:tcPr>
          <w:p w:rsidR="00674A6B" w:rsidRPr="00674A6B" w:rsidP="00674A6B" w14:paraId="7550EF17" w14:textId="77777777">
            <w:pPr>
              <w:widowControl w:val="0"/>
              <w:spacing w:after="0" w:line="240" w:lineRule="auto"/>
              <w:ind w:left="140"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107,9</w:t>
            </w:r>
          </w:p>
          <w:p w:rsidR="00674A6B" w:rsidRPr="00674A6B" w:rsidP="00674A6B" w14:paraId="3CF147CF" w14:textId="77777777">
            <w:pPr>
              <w:widowControl w:val="0"/>
              <w:spacing w:after="0" w:line="240" w:lineRule="auto"/>
              <w:ind w:left="140" w:right="113"/>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nil"/>
              <w:right w:val="nil"/>
            </w:tcBorders>
            <w:shd w:val="clear" w:color="auto" w:fill="FFFFFF"/>
            <w:textDirection w:val="btLr"/>
            <w:vAlign w:val="bottom"/>
          </w:tcPr>
          <w:p w:rsidR="00674A6B" w:rsidRPr="00674A6B" w:rsidP="00674A6B" w14:paraId="0F5CA3BF" w14:textId="77777777">
            <w:pPr>
              <w:widowControl w:val="0"/>
              <w:spacing w:after="0" w:line="240" w:lineRule="auto"/>
              <w:ind w:left="129"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rPr>
              <w:t>2 306 098 000</w:t>
            </w:r>
          </w:p>
          <w:p w:rsidR="00674A6B" w:rsidRPr="00674A6B" w:rsidP="00674A6B" w14:paraId="70029E2A" w14:textId="77777777">
            <w:pPr>
              <w:widowControl w:val="0"/>
              <w:spacing w:after="0" w:line="240" w:lineRule="auto"/>
              <w:ind w:left="129" w:right="113"/>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nil"/>
              <w:right w:val="nil"/>
            </w:tcBorders>
            <w:shd w:val="clear" w:color="auto" w:fill="FFFFFF"/>
            <w:textDirection w:val="btLr"/>
            <w:vAlign w:val="bottom"/>
          </w:tcPr>
          <w:p w:rsidR="00674A6B" w:rsidRPr="00674A6B" w:rsidP="00674A6B" w14:paraId="2F7AB1E9" w14:textId="77777777">
            <w:pPr>
              <w:widowControl w:val="0"/>
              <w:spacing w:after="0" w:line="240" w:lineRule="auto"/>
              <w:ind w:left="136"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82 378 400</w:t>
            </w:r>
          </w:p>
          <w:p w:rsidR="00674A6B" w:rsidRPr="00674A6B" w:rsidP="00674A6B" w14:paraId="11080CD7" w14:textId="77777777">
            <w:pPr>
              <w:widowControl w:val="0"/>
              <w:spacing w:after="0" w:line="240" w:lineRule="auto"/>
              <w:ind w:left="136" w:right="113"/>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nil"/>
              <w:right w:val="nil"/>
            </w:tcBorders>
            <w:shd w:val="clear" w:color="auto" w:fill="FFFFFF"/>
            <w:textDirection w:val="btLr"/>
            <w:vAlign w:val="bottom"/>
          </w:tcPr>
          <w:p w:rsidR="00674A6B" w:rsidRPr="00674A6B" w:rsidP="00674A6B" w14:paraId="7CE15BBC"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103,7</w:t>
            </w:r>
          </w:p>
          <w:p w:rsidR="00674A6B" w:rsidRPr="00674A6B" w:rsidP="00674A6B" w14:paraId="6C892E02" w14:textId="77777777">
            <w:pPr>
              <w:widowControl w:val="0"/>
              <w:spacing w:after="0" w:line="240" w:lineRule="auto"/>
              <w:ind w:left="200" w:right="113"/>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nil"/>
              <w:right w:val="nil"/>
            </w:tcBorders>
            <w:shd w:val="clear" w:color="auto" w:fill="FFFFFF"/>
            <w:textDirection w:val="btLr"/>
            <w:vAlign w:val="bottom"/>
          </w:tcPr>
          <w:p w:rsidR="00674A6B" w:rsidRPr="00674A6B" w:rsidP="00674A6B" w14:paraId="65B70686" w14:textId="77777777">
            <w:pPr>
              <w:widowControl w:val="0"/>
              <w:spacing w:after="0" w:line="240" w:lineRule="auto"/>
              <w:ind w:left="273" w:right="113" w:hanging="160"/>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rPr>
              <w:t>2 397 733 800</w:t>
            </w:r>
          </w:p>
          <w:p w:rsidR="00674A6B" w:rsidRPr="00674A6B" w:rsidP="00674A6B" w14:paraId="39823000" w14:textId="77777777">
            <w:pPr>
              <w:widowControl w:val="0"/>
              <w:spacing w:after="0" w:line="240" w:lineRule="auto"/>
              <w:ind w:left="273" w:right="113" w:hanging="160"/>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nil"/>
              <w:right w:val="nil"/>
            </w:tcBorders>
            <w:shd w:val="clear" w:color="auto" w:fill="FFFFFF"/>
            <w:textDirection w:val="btLr"/>
            <w:vAlign w:val="bottom"/>
          </w:tcPr>
          <w:p w:rsidR="00674A6B" w:rsidRPr="00674A6B" w:rsidP="00674A6B" w14:paraId="52784A5D" w14:textId="77777777">
            <w:pPr>
              <w:widowControl w:val="0"/>
              <w:spacing w:after="0" w:line="240" w:lineRule="auto"/>
              <w:ind w:left="-15"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91 635 800</w:t>
            </w:r>
          </w:p>
          <w:p w:rsidR="00674A6B" w:rsidRPr="00674A6B" w:rsidP="00674A6B" w14:paraId="6BC9ADDF" w14:textId="77777777">
            <w:pPr>
              <w:widowControl w:val="0"/>
              <w:spacing w:after="0" w:line="240" w:lineRule="auto"/>
              <w:ind w:left="-15" w:right="113"/>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nil"/>
              <w:right w:val="single" w:sz="4" w:space="0" w:color="auto"/>
            </w:tcBorders>
            <w:shd w:val="clear" w:color="auto" w:fill="FFFFFF"/>
            <w:textDirection w:val="btLr"/>
            <w:vAlign w:val="bottom"/>
          </w:tcPr>
          <w:p w:rsidR="00674A6B" w:rsidRPr="00674A6B" w:rsidP="00674A6B" w14:paraId="332026EB"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104,0</w:t>
            </w:r>
          </w:p>
          <w:p w:rsidR="00674A6B" w:rsidRPr="00674A6B" w:rsidP="00674A6B" w14:paraId="7381D637" w14:textId="77777777">
            <w:pPr>
              <w:widowControl w:val="0"/>
              <w:spacing w:after="0" w:line="240" w:lineRule="auto"/>
              <w:ind w:left="200" w:right="113"/>
              <w:jc w:val="center"/>
              <w:rPr>
                <w:rFonts w:ascii="Times New Roman" w:eastAsia="Times New Roman" w:hAnsi="Times New Roman" w:cs="Times New Roman"/>
                <w:sz w:val="20"/>
                <w:szCs w:val="20"/>
                <w:lang w:eastAsia="ru-RU"/>
              </w:rPr>
            </w:pPr>
          </w:p>
        </w:tc>
      </w:tr>
      <w:tr w14:paraId="62BED11B" w14:textId="77777777" w:rsidTr="00674A6B">
        <w:tblPrEx>
          <w:tblW w:w="9780" w:type="dxa"/>
          <w:tblInd w:w="-416" w:type="dxa"/>
          <w:tblLayout w:type="fixed"/>
          <w:tblCellMar>
            <w:left w:w="10" w:type="dxa"/>
            <w:right w:w="10" w:type="dxa"/>
          </w:tblCellMar>
          <w:tblLook w:val="04A0"/>
        </w:tblPrEx>
        <w:trPr>
          <w:cantSplit/>
          <w:trHeight w:hRule="exact" w:val="1558"/>
        </w:trPr>
        <w:tc>
          <w:tcPr>
            <w:tcW w:w="2269" w:type="dxa"/>
            <w:tcBorders>
              <w:top w:val="single" w:sz="4" w:space="0" w:color="auto"/>
              <w:left w:val="single" w:sz="4" w:space="0" w:color="auto"/>
              <w:bottom w:val="single" w:sz="4" w:space="0" w:color="auto"/>
              <w:right w:val="nil"/>
            </w:tcBorders>
            <w:shd w:val="clear" w:color="auto" w:fill="FFFFFF"/>
            <w:vAlign w:val="bottom"/>
          </w:tcPr>
          <w:p w:rsidR="00674A6B" w:rsidRPr="00674A6B" w:rsidP="00674A6B" w14:paraId="4EE00964" w14:textId="77777777">
            <w:pPr>
              <w:widowControl w:val="0"/>
              <w:spacing w:after="0" w:line="240" w:lineRule="auto"/>
              <w:ind w:left="300" w:hanging="306"/>
              <w:rPr>
                <w:rFonts w:ascii="Times New Roman" w:eastAsia="Times New Roman" w:hAnsi="Times New Roman" w:cs="Times New Roman"/>
                <w:color w:val="000000"/>
                <w:shd w:val="clear" w:color="auto" w:fill="FFFFFF"/>
                <w:lang w:bidi="uk-UA"/>
              </w:rPr>
            </w:pPr>
            <w:r w:rsidRPr="00674A6B">
              <w:rPr>
                <w:rFonts w:ascii="Times New Roman" w:eastAsia="Times New Roman" w:hAnsi="Times New Roman" w:cs="Times New Roman"/>
                <w:color w:val="000000"/>
                <w:shd w:val="clear" w:color="auto" w:fill="FFFFFF"/>
                <w:lang w:bidi="uk-UA"/>
              </w:rPr>
              <w:t>Спеціальний фонд</w:t>
            </w:r>
          </w:p>
          <w:p w:rsidR="00674A6B" w:rsidRPr="00674A6B" w:rsidP="00674A6B" w14:paraId="03D52F54" w14:textId="77777777">
            <w:pPr>
              <w:widowControl w:val="0"/>
              <w:spacing w:after="0" w:line="240" w:lineRule="auto"/>
              <w:ind w:left="300" w:hanging="306"/>
              <w:rPr>
                <w:rFonts w:ascii="Times New Roman" w:eastAsia="Times New Roman" w:hAnsi="Times New Roman" w:cs="Times New Roman"/>
                <w:color w:val="000000"/>
                <w:shd w:val="clear" w:color="auto" w:fill="FFFFFF"/>
                <w:lang w:bidi="uk-UA"/>
              </w:rPr>
            </w:pPr>
          </w:p>
          <w:p w:rsidR="00674A6B" w:rsidRPr="00674A6B" w:rsidP="00674A6B" w14:paraId="24854F82" w14:textId="77777777">
            <w:pPr>
              <w:widowControl w:val="0"/>
              <w:spacing w:after="0" w:line="240" w:lineRule="auto"/>
              <w:ind w:left="300" w:hanging="306"/>
              <w:rPr>
                <w:rFonts w:ascii="Times New Roman" w:eastAsia="Times New Roman" w:hAnsi="Times New Roman" w:cs="Times New Roman"/>
                <w:color w:val="000000"/>
                <w:shd w:val="clear" w:color="auto" w:fill="FFFFFF"/>
                <w:lang w:bidi="uk-UA"/>
              </w:rPr>
            </w:pPr>
          </w:p>
          <w:p w:rsidR="00674A6B" w:rsidRPr="00674A6B" w:rsidP="00674A6B" w14:paraId="2947E53A" w14:textId="77777777">
            <w:pPr>
              <w:widowControl w:val="0"/>
              <w:spacing w:after="0" w:line="240" w:lineRule="auto"/>
              <w:ind w:left="300" w:hanging="306"/>
              <w:rPr>
                <w:rFonts w:ascii="Times New Roman" w:eastAsia="Times New Roman" w:hAnsi="Times New Roman" w:cs="Times New Roman"/>
                <w:sz w:val="28"/>
                <w:szCs w:val="28"/>
                <w:lang w:val="ru-RU" w:eastAsia="ru-RU"/>
              </w:rPr>
            </w:pPr>
          </w:p>
        </w:tc>
        <w:tc>
          <w:tcPr>
            <w:tcW w:w="992" w:type="dxa"/>
            <w:tcBorders>
              <w:top w:val="single" w:sz="4" w:space="0" w:color="auto"/>
              <w:left w:val="single" w:sz="4" w:space="0" w:color="auto"/>
              <w:bottom w:val="single" w:sz="4" w:space="0" w:color="auto"/>
              <w:right w:val="nil"/>
            </w:tcBorders>
            <w:shd w:val="clear" w:color="auto" w:fill="FFFFFF"/>
            <w:textDirection w:val="btLr"/>
            <w:vAlign w:val="center"/>
            <w:hideMark/>
          </w:tcPr>
          <w:p w:rsidR="00674A6B" w:rsidRPr="00674A6B" w:rsidP="00674A6B" w14:paraId="4631A1FC" w14:textId="77777777">
            <w:pPr>
              <w:widowControl w:val="0"/>
              <w:spacing w:after="0" w:line="240" w:lineRule="auto"/>
              <w:ind w:left="129"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rPr>
              <w:t>100 827 657</w:t>
            </w:r>
          </w:p>
        </w:tc>
        <w:tc>
          <w:tcPr>
            <w:tcW w:w="851" w:type="dxa"/>
            <w:tcBorders>
              <w:top w:val="single" w:sz="4" w:space="0" w:color="auto"/>
              <w:left w:val="single" w:sz="4" w:space="0" w:color="auto"/>
              <w:bottom w:val="single" w:sz="4" w:space="0" w:color="auto"/>
              <w:right w:val="nil"/>
            </w:tcBorders>
            <w:shd w:val="clear" w:color="auto" w:fill="FFFFFF"/>
            <w:textDirection w:val="btLr"/>
            <w:vAlign w:val="center"/>
            <w:hideMark/>
          </w:tcPr>
          <w:p w:rsidR="00674A6B" w:rsidRPr="00674A6B" w:rsidP="00674A6B" w14:paraId="7920180F"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-23 415 143</w:t>
            </w:r>
          </w:p>
        </w:tc>
        <w:tc>
          <w:tcPr>
            <w:tcW w:w="709" w:type="dxa"/>
            <w:tcBorders>
              <w:top w:val="single" w:sz="4" w:space="0" w:color="auto"/>
              <w:left w:val="single" w:sz="4" w:space="0" w:color="auto"/>
              <w:bottom w:val="single" w:sz="4" w:space="0" w:color="auto"/>
              <w:right w:val="nil"/>
            </w:tcBorders>
            <w:shd w:val="clear" w:color="auto" w:fill="FFFFFF"/>
            <w:textDirection w:val="btLr"/>
            <w:vAlign w:val="center"/>
            <w:hideMark/>
          </w:tcPr>
          <w:p w:rsidR="00674A6B" w:rsidRPr="00674A6B" w:rsidP="00674A6B" w14:paraId="5F47FDA5" w14:textId="77777777">
            <w:pPr>
              <w:widowControl w:val="0"/>
              <w:spacing w:after="0" w:line="240" w:lineRule="auto"/>
              <w:ind w:left="140"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81,2</w:t>
            </w:r>
          </w:p>
        </w:tc>
        <w:tc>
          <w:tcPr>
            <w:tcW w:w="992" w:type="dxa"/>
            <w:tcBorders>
              <w:top w:val="single" w:sz="4" w:space="0" w:color="auto"/>
              <w:left w:val="single" w:sz="4" w:space="0" w:color="auto"/>
              <w:bottom w:val="single" w:sz="4" w:space="0" w:color="auto"/>
              <w:right w:val="nil"/>
            </w:tcBorders>
            <w:shd w:val="clear" w:color="auto" w:fill="FFFFFF"/>
            <w:textDirection w:val="btLr"/>
            <w:vAlign w:val="center"/>
            <w:hideMark/>
          </w:tcPr>
          <w:p w:rsidR="00674A6B" w:rsidRPr="00674A6B" w:rsidP="00674A6B" w14:paraId="67DA8911" w14:textId="77777777">
            <w:pPr>
              <w:widowControl w:val="0"/>
              <w:spacing w:after="0" w:line="240" w:lineRule="auto"/>
              <w:ind w:left="129"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rPr>
              <w:t>104 159 423</w:t>
            </w:r>
          </w:p>
        </w:tc>
        <w:tc>
          <w:tcPr>
            <w:tcW w:w="850" w:type="dxa"/>
            <w:tcBorders>
              <w:top w:val="single" w:sz="4" w:space="0" w:color="auto"/>
              <w:left w:val="single" w:sz="4" w:space="0" w:color="auto"/>
              <w:bottom w:val="single" w:sz="4" w:space="0" w:color="auto"/>
              <w:right w:val="nil"/>
            </w:tcBorders>
            <w:shd w:val="clear" w:color="auto" w:fill="FFFFFF"/>
            <w:textDirection w:val="btLr"/>
            <w:vAlign w:val="center"/>
            <w:hideMark/>
          </w:tcPr>
          <w:p w:rsidR="00674A6B" w:rsidRPr="00674A6B" w:rsidP="00674A6B" w14:paraId="45C9411E" w14:textId="77777777">
            <w:pPr>
              <w:widowControl w:val="0"/>
              <w:spacing w:after="0" w:line="240" w:lineRule="auto"/>
              <w:ind w:left="180"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3 331 766</w:t>
            </w:r>
          </w:p>
        </w:tc>
        <w:tc>
          <w:tcPr>
            <w:tcW w:w="709" w:type="dxa"/>
            <w:tcBorders>
              <w:top w:val="single" w:sz="4" w:space="0" w:color="auto"/>
              <w:left w:val="single" w:sz="4" w:space="0" w:color="auto"/>
              <w:bottom w:val="single" w:sz="4" w:space="0" w:color="auto"/>
              <w:right w:val="nil"/>
            </w:tcBorders>
            <w:shd w:val="clear" w:color="auto" w:fill="FFFFFF"/>
            <w:textDirection w:val="btLr"/>
            <w:vAlign w:val="center"/>
            <w:hideMark/>
          </w:tcPr>
          <w:p w:rsidR="00674A6B" w:rsidRPr="00674A6B" w:rsidP="00674A6B" w14:paraId="54D403F9"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103,3</w:t>
            </w:r>
          </w:p>
        </w:tc>
        <w:tc>
          <w:tcPr>
            <w:tcW w:w="851" w:type="dxa"/>
            <w:tcBorders>
              <w:top w:val="single" w:sz="4" w:space="0" w:color="auto"/>
              <w:left w:val="single" w:sz="4" w:space="0" w:color="auto"/>
              <w:bottom w:val="single" w:sz="4" w:space="0" w:color="auto"/>
              <w:right w:val="nil"/>
            </w:tcBorders>
            <w:shd w:val="clear" w:color="auto" w:fill="FFFFFF"/>
            <w:textDirection w:val="btLr"/>
            <w:vAlign w:val="center"/>
            <w:hideMark/>
          </w:tcPr>
          <w:p w:rsidR="00674A6B" w:rsidRPr="00674A6B" w:rsidP="00674A6B" w14:paraId="64A94CC2"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rPr>
              <w:t>109 295 169</w:t>
            </w:r>
          </w:p>
        </w:tc>
        <w:tc>
          <w:tcPr>
            <w:tcW w:w="850" w:type="dxa"/>
            <w:tcBorders>
              <w:top w:val="single" w:sz="4" w:space="0" w:color="auto"/>
              <w:left w:val="single" w:sz="4" w:space="0" w:color="auto"/>
              <w:bottom w:val="single" w:sz="4" w:space="0" w:color="auto"/>
              <w:right w:val="nil"/>
            </w:tcBorders>
            <w:shd w:val="clear" w:color="auto" w:fill="FFFFFF"/>
            <w:textDirection w:val="btLr"/>
            <w:vAlign w:val="center"/>
            <w:hideMark/>
          </w:tcPr>
          <w:p w:rsidR="00674A6B" w:rsidRPr="00674A6B" w:rsidP="00674A6B" w14:paraId="4DF29E7E" w14:textId="77777777">
            <w:pPr>
              <w:widowControl w:val="0"/>
              <w:spacing w:after="0" w:line="240" w:lineRule="auto"/>
              <w:ind w:left="-157"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5 135 746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674A6B" w:rsidRPr="00674A6B" w:rsidP="00674A6B" w14:paraId="6FB736D1"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sidRPr="00674A6B">
              <w:rPr>
                <w:rFonts w:ascii="Times New Roman" w:eastAsia="Times New Roman" w:hAnsi="Times New Roman" w:cs="Times New Roman"/>
                <w:sz w:val="20"/>
                <w:szCs w:val="20"/>
                <w:lang w:eastAsia="ru-RU"/>
              </w:rPr>
              <w:t>104,9</w:t>
            </w:r>
          </w:p>
        </w:tc>
      </w:tr>
    </w:tbl>
    <w:p w:rsidR="00674A6B" w:rsidRPr="00674A6B" w:rsidP="00674A6B" w14:paraId="4D68E947" w14:textId="77777777">
      <w:pPr>
        <w:spacing w:after="0" w:line="240" w:lineRule="auto"/>
        <w:rPr>
          <w:rFonts w:ascii="Times New Roman" w:eastAsia="Calibri" w:hAnsi="Times New Roman" w:cs="Times New Roman"/>
          <w:b/>
          <w:sz w:val="28"/>
          <w:szCs w:val="28"/>
          <w:lang w:eastAsia="en-US"/>
        </w:rPr>
      </w:pPr>
    </w:p>
    <w:p w:rsidR="00674A6B" w:rsidRPr="00674A6B" w:rsidP="00674A6B" w14:paraId="4CCA14EB" w14:textId="77777777">
      <w:pPr>
        <w:spacing w:after="0" w:line="240" w:lineRule="auto"/>
        <w:ind w:firstLine="567"/>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val="ru-RU" w:eastAsia="en-US"/>
        </w:rPr>
        <w:t>V</w:t>
      </w:r>
      <w:r w:rsidRPr="00674A6B">
        <w:rPr>
          <w:rFonts w:ascii="Times New Roman" w:eastAsia="Calibri" w:hAnsi="Times New Roman" w:cs="Times New Roman"/>
          <w:b/>
          <w:sz w:val="28"/>
          <w:szCs w:val="28"/>
          <w:lang w:eastAsia="en-US"/>
        </w:rPr>
        <w:t>. Показники фінансування бюджету, показники місцевого боргу,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w:t>
      </w:r>
    </w:p>
    <w:p w:rsidR="00674A6B" w:rsidRPr="00674A6B" w:rsidP="00674A6B" w14:paraId="7F916A30" w14:textId="77777777">
      <w:pPr>
        <w:spacing w:after="0" w:line="240" w:lineRule="auto"/>
        <w:ind w:firstLine="567"/>
        <w:jc w:val="center"/>
        <w:rPr>
          <w:rFonts w:ascii="Times New Roman" w:eastAsia="Calibri" w:hAnsi="Times New Roman" w:cs="Times New Roman"/>
          <w:sz w:val="16"/>
          <w:szCs w:val="16"/>
          <w:lang w:eastAsia="en-US"/>
        </w:rPr>
      </w:pPr>
    </w:p>
    <w:p w:rsidR="00674A6B" w:rsidRPr="00674A6B" w:rsidP="00674A6B" w14:paraId="08A3A61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Прогнозні показники фінансування Броварської  міської територіальної громади в першу чергу враховують передачу коштів із загального фонду бюджету до бюджету розвитку (спеціального фонду) на реалізацію публічних інвестицій, на підготовку та реалізацію публічних інвестиційних проектів та програм публічних інвестицій із зазначенням пріоритетних напрямів таких публічних інвестицій з урахуванням середньострокового плану пріоритетних публічних інвестицій територіальної громади. </w:t>
      </w:r>
    </w:p>
    <w:p w:rsidR="00674A6B" w:rsidRPr="00674A6B" w:rsidP="00674A6B" w14:paraId="092723A9"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674A6B" w:rsidRPr="00674A6B" w:rsidP="00674A6B" w14:paraId="3D8FCE6E"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 xml:space="preserve">Показники фінансування бюджету наведені у додатку 3 до «Прогнозу бюджету Броварської міської територіальної громади на 2026-2028 роки». </w:t>
      </w:r>
    </w:p>
    <w:p w:rsidR="00674A6B" w:rsidRPr="00674A6B" w:rsidP="00674A6B" w14:paraId="50EF291A" w14:textId="22FF541B">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color w:val="000000"/>
          <w:sz w:val="28"/>
          <w:szCs w:val="28"/>
          <w:lang w:eastAsia="ru-RU"/>
        </w:rPr>
        <w:t>Профіцит за загальним фондом бюджету Броварської міської територіальної громади визначений у сумі: на 2026 рік</w:t>
      </w:r>
      <w:r w:rsidRPr="00674A6B">
        <w:rPr>
          <w:rFonts w:ascii="Times New Roman" w:eastAsia="Times New Roman" w:hAnsi="Times New Roman" w:cs="Times New Roman"/>
          <w:sz w:val="28"/>
          <w:szCs w:val="28"/>
          <w:lang w:eastAsia="ru-RU"/>
        </w:rPr>
        <w:t xml:space="preserve"> – 249 800 000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ru-RU"/>
        </w:rPr>
        <w:t xml:space="preserve">, на 2027 рік – 247 800 000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ru-RU"/>
        </w:rPr>
        <w:t xml:space="preserve">, на 2028 рік – 249 800 000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ru-RU"/>
        </w:rPr>
        <w:t xml:space="preserve">. </w:t>
      </w:r>
    </w:p>
    <w:p w:rsidR="00674A6B" w:rsidRPr="00674A6B" w:rsidP="00674A6B" w14:paraId="0208ADCE" w14:textId="08B47341">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Дефіцит за спеціальним фондом бюджету Броварської міської територіальної громади визначений у сумі: на 2026 рік – 219 500 000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ru-RU"/>
        </w:rPr>
        <w:t xml:space="preserve">, </w:t>
      </w:r>
      <w:r w:rsidRPr="00674A6B">
        <w:rPr>
          <w:rFonts w:ascii="Times New Roman" w:eastAsia="Times New Roman" w:hAnsi="Times New Roman" w:cs="Times New Roman"/>
          <w:sz w:val="28"/>
          <w:szCs w:val="28"/>
          <w:lang w:eastAsia="ru-RU"/>
        </w:rPr>
        <w:t xml:space="preserve">на 2027 рік – 217 500 000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Times New Roman" w:hAnsi="Times New Roman" w:cs="Times New Roman"/>
          <w:sz w:val="28"/>
          <w:szCs w:val="28"/>
          <w:lang w:eastAsia="ru-RU"/>
        </w:rPr>
        <w:t xml:space="preserve">, на 2028 рік – 219 500 000 </w:t>
      </w:r>
      <w:r w:rsidRPr="00674A6B" w:rsidR="006A5D24">
        <w:rPr>
          <w:rFonts w:ascii="Times New Roman" w:eastAsia="Times New Roman" w:hAnsi="Times New Roman" w:cs="Times New Roman"/>
          <w:sz w:val="28"/>
          <w:szCs w:val="28"/>
          <w:lang w:eastAsia="ru-RU"/>
        </w:rPr>
        <w:t>гривень</w:t>
      </w:r>
      <w:r w:rsidR="006A5D24">
        <w:rPr>
          <w:rFonts w:ascii="Times New Roman" w:eastAsia="Times New Roman" w:hAnsi="Times New Roman" w:cs="Times New Roman"/>
          <w:sz w:val="28"/>
          <w:szCs w:val="28"/>
          <w:lang w:eastAsia="ru-RU"/>
        </w:rPr>
        <w:t>.</w:t>
      </w:r>
      <w:r w:rsidRPr="00674A6B">
        <w:rPr>
          <w:rFonts w:ascii="Times New Roman" w:eastAsia="Times New Roman" w:hAnsi="Times New Roman" w:cs="Times New Roman"/>
          <w:sz w:val="28"/>
          <w:szCs w:val="28"/>
          <w:lang w:eastAsia="ru-RU"/>
        </w:rPr>
        <w:t xml:space="preserve"> </w:t>
      </w:r>
    </w:p>
    <w:p w:rsidR="00674A6B" w:rsidRPr="00674A6B" w:rsidP="00674A6B" w14:paraId="220065C5"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Times New Roman" w:hAnsi="Times New Roman" w:cs="Times New Roman"/>
          <w:sz w:val="28"/>
          <w:szCs w:val="28"/>
          <w:lang w:eastAsia="ru-RU"/>
        </w:rPr>
        <w:t xml:space="preserve">Погашення кредиту </w:t>
      </w:r>
      <w:r w:rsidRPr="00674A6B">
        <w:rPr>
          <w:rFonts w:ascii="Times New Roman" w:eastAsia="Calibri" w:hAnsi="Times New Roman" w:cs="Times New Roman"/>
          <w:sz w:val="28"/>
          <w:szCs w:val="28"/>
          <w:lang w:eastAsia="en-US"/>
        </w:rPr>
        <w:t>від Акціонерного товариства «Державний експортно - імпортний банк України» для фінансування видатків по об’єкту: «Будівництво загальноосвітньої школи І ступеню по вул. Петлюри Симона (Черняховського), 17-Б в м.Бровари Київської області»:</w:t>
      </w:r>
    </w:p>
    <w:p w:rsidR="00674A6B" w:rsidRPr="00674A6B" w:rsidP="006A5D24" w14:paraId="044CF750" w14:textId="2275DD53">
      <w:pPr>
        <w:spacing w:after="0" w:line="240" w:lineRule="auto"/>
        <w:ind w:left="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у 2026 році – 30 300 000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Calibri" w:hAnsi="Times New Roman" w:cs="Times New Roman"/>
          <w:sz w:val="28"/>
          <w:szCs w:val="28"/>
          <w:lang w:eastAsia="en-US"/>
        </w:rPr>
        <w:t>;</w:t>
      </w:r>
    </w:p>
    <w:p w:rsidR="00674A6B" w:rsidRPr="00674A6B" w:rsidP="006A5D24" w14:paraId="17B859C8" w14:textId="24882A06">
      <w:pPr>
        <w:spacing w:after="0" w:line="240" w:lineRule="auto"/>
        <w:ind w:left="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у 2027 році – 30 300 000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Calibri" w:hAnsi="Times New Roman" w:cs="Times New Roman"/>
          <w:sz w:val="28"/>
          <w:szCs w:val="28"/>
          <w:lang w:eastAsia="en-US"/>
        </w:rPr>
        <w:t>;</w:t>
      </w:r>
    </w:p>
    <w:p w:rsidR="00674A6B" w:rsidRPr="00674A6B" w:rsidP="006A5D24" w14:paraId="16591D75" w14:textId="02E2293D">
      <w:pPr>
        <w:spacing w:after="0" w:line="240" w:lineRule="auto"/>
        <w:ind w:left="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у 2028 році – 30 300 000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Calibri" w:hAnsi="Times New Roman" w:cs="Times New Roman"/>
          <w:sz w:val="28"/>
          <w:szCs w:val="28"/>
          <w:lang w:eastAsia="en-US"/>
        </w:rPr>
        <w:t xml:space="preserve"> </w:t>
      </w:r>
    </w:p>
    <w:p w:rsidR="00674A6B" w:rsidRPr="00674A6B" w:rsidP="00674A6B" w14:paraId="73CBD62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Пріоритетними напрямками розвитку міської територіальної громади на середньостроковий період, визначено об‘єкти соціально-економічного значення в усіх галузях і сферах діяльності, підвищення рівня умов для населення громади, підтримка в належному стані об’єктів житлово-комунального господарства, інших об’єктів інфраструктури територіальної громади, визначених Стратегією розвитку Броварської міської територіальної громади, впровадження заходів з енергозбереження, а також, виконання в межах фінансових можливостей місцевих цільових програм.</w:t>
      </w:r>
    </w:p>
    <w:p w:rsidR="00674A6B" w:rsidRPr="00674A6B" w:rsidP="00674A6B" w14:paraId="6DE2E53D" w14:textId="77777777">
      <w:pPr>
        <w:widowControl w:val="0"/>
        <w:snapToGrid w:val="0"/>
        <w:spacing w:after="0" w:line="240" w:lineRule="auto"/>
        <w:ind w:firstLine="567"/>
        <w:jc w:val="both"/>
        <w:rPr>
          <w:rFonts w:ascii="Times New Roman" w:eastAsia="Times New Roman" w:hAnsi="Times New Roman" w:cs="Times New Roman"/>
          <w:color w:val="FF0000"/>
          <w:sz w:val="16"/>
          <w:szCs w:val="16"/>
          <w:lang w:eastAsia="ru-RU"/>
        </w:rPr>
      </w:pPr>
    </w:p>
    <w:p w:rsidR="00674A6B" w:rsidRPr="00674A6B" w:rsidP="00674A6B" w14:paraId="34813DFC"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Показники місцевого боргу наведені у додатку 4 до «Прогнозу бюджету Броварської міської територіальної громади на 2026-2028 роки».</w:t>
      </w:r>
    </w:p>
    <w:p w:rsidR="00674A6B" w:rsidRPr="00674A6B" w:rsidP="00674A6B" w14:paraId="5D33CAE1" w14:textId="77777777">
      <w:pPr>
        <w:spacing w:after="0" w:line="240" w:lineRule="auto"/>
        <w:ind w:firstLine="567"/>
        <w:jc w:val="both"/>
        <w:rPr>
          <w:rFonts w:ascii="Times New Roman" w:eastAsia="Calibri" w:hAnsi="Times New Roman" w:cs="Times New Roman"/>
          <w:color w:val="000000"/>
          <w:sz w:val="28"/>
          <w:szCs w:val="28"/>
          <w:lang w:eastAsia="en-US"/>
        </w:rPr>
      </w:pPr>
      <w:r w:rsidRPr="00674A6B">
        <w:rPr>
          <w:rFonts w:ascii="Times New Roman" w:eastAsia="Calibri" w:hAnsi="Times New Roman" w:cs="Times New Roman"/>
          <w:color w:val="000000"/>
          <w:sz w:val="28"/>
          <w:szCs w:val="28"/>
          <w:lang w:eastAsia="en-US"/>
        </w:rPr>
        <w:t xml:space="preserve">В показниках фінансування бюджету Броварської міської територіальної громади в прогнозованому періоді враховано виконання зобов’язань за запозиченням від Акціонерного товариства «Державний експортно - імпортний банк України» та </w:t>
      </w:r>
      <w:r w:rsidRPr="00674A6B">
        <w:rPr>
          <w:rFonts w:ascii="Times New Roman" w:eastAsia="Calibri" w:hAnsi="Times New Roman" w:cs="Times New Roman"/>
          <w:sz w:val="28"/>
          <w:szCs w:val="28"/>
          <w:lang w:eastAsia="en-US"/>
        </w:rPr>
        <w:t>борг по середньостроковій позичці з єдиного казначейського рахунку (відсутній механізм повернення).</w:t>
      </w:r>
    </w:p>
    <w:p w:rsidR="00674A6B" w:rsidRPr="00674A6B" w:rsidP="00674A6B" w14:paraId="26FB0DE1" w14:textId="77777777">
      <w:pPr>
        <w:spacing w:after="0" w:line="0" w:lineRule="atLeast"/>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color w:val="000000"/>
          <w:sz w:val="28"/>
          <w:szCs w:val="28"/>
          <w:lang w:eastAsia="en-US"/>
        </w:rPr>
        <w:t>На виконання рішення Броварської міської ради Броварського району Київської області  від 18 жовтня 2024 року № 1782-79-08 «Про здійснення місцевого запозичення Броварською міською радою Броварського району Київської області у 2024 році»</w:t>
      </w:r>
      <w:r w:rsidRPr="00674A6B">
        <w:rPr>
          <w:rFonts w:ascii="Times New Roman" w:eastAsia="Calibri" w:hAnsi="Times New Roman" w:cs="Times New Roman"/>
          <w:color w:val="FF0000"/>
          <w:sz w:val="28"/>
          <w:szCs w:val="28"/>
          <w:lang w:eastAsia="en-US"/>
        </w:rPr>
        <w:t xml:space="preserve"> </w:t>
      </w:r>
      <w:r w:rsidRPr="00674A6B">
        <w:rPr>
          <w:rFonts w:ascii="Times New Roman" w:eastAsia="Calibri" w:hAnsi="Times New Roman" w:cs="Times New Roman"/>
          <w:color w:val="000000"/>
          <w:sz w:val="28"/>
          <w:szCs w:val="28"/>
          <w:lang w:eastAsia="en-US"/>
        </w:rPr>
        <w:t>залучено 2 200 000 євро  кредитних коштів від Акціонерного товариства «Державний експортно-імпортний банк України» на період  60 місяців,</w:t>
      </w:r>
      <w:r w:rsidRPr="00674A6B">
        <w:rPr>
          <w:rFonts w:ascii="Times New Roman" w:eastAsia="Calibri" w:hAnsi="Times New Roman" w:cs="Times New Roman"/>
          <w:color w:val="FF0000"/>
          <w:sz w:val="28"/>
          <w:szCs w:val="28"/>
          <w:lang w:eastAsia="en-US"/>
        </w:rPr>
        <w:t xml:space="preserve"> </w:t>
      </w:r>
      <w:r w:rsidRPr="00674A6B">
        <w:rPr>
          <w:rFonts w:ascii="Times New Roman" w:eastAsia="Calibri" w:hAnsi="Times New Roman" w:cs="Times New Roman"/>
          <w:sz w:val="28"/>
          <w:szCs w:val="28"/>
          <w:lang w:eastAsia="en-US"/>
        </w:rPr>
        <w:t>відсоткова ставка за користування кредитними коштами – змінювана та встановлюється з урахуванням Європейської міжбанківської ставки пропозиції (EURIBOR 6М) і збільшується на розмір маржі, але не може бути більше 8,0 % річних. Маржа визначається як різниця між ставкою 6,5% та розміром EURIBOR 6М, який складеться на день, що передує дню укладання кредитного договору. Маржа банку фіксується в кредитному договорі на дату укладання та залишається незмінною протягом всього строку дії кредитного договору.</w:t>
      </w:r>
    </w:p>
    <w:p w:rsidR="00674A6B" w:rsidRPr="00674A6B" w:rsidP="00674A6B" w14:paraId="0850390C" w14:textId="77777777">
      <w:pPr>
        <w:shd w:val="clear" w:color="auto" w:fill="FFFFFF"/>
        <w:spacing w:after="0" w:line="240" w:lineRule="auto"/>
        <w:ind w:firstLine="567"/>
        <w:jc w:val="both"/>
        <w:textAlignment w:val="baseline"/>
        <w:rPr>
          <w:rFonts w:ascii="Times New Roman" w:eastAsia="Calibri" w:hAnsi="Times New Roman" w:cs="Times New Roman"/>
          <w:color w:val="000000"/>
          <w:sz w:val="28"/>
          <w:szCs w:val="28"/>
          <w:lang w:eastAsia="en-US"/>
        </w:rPr>
      </w:pPr>
      <w:r w:rsidRPr="00674A6B">
        <w:rPr>
          <w:rFonts w:ascii="Times New Roman" w:eastAsia="Calibri" w:hAnsi="Times New Roman" w:cs="Times New Roman"/>
          <w:color w:val="000000"/>
          <w:sz w:val="28"/>
          <w:szCs w:val="28"/>
          <w:lang w:val="ru-RU" w:eastAsia="en-US"/>
        </w:rPr>
        <w:t>Витрати бюджету на 202</w:t>
      </w:r>
      <w:r w:rsidRPr="00674A6B">
        <w:rPr>
          <w:rFonts w:ascii="Times New Roman" w:eastAsia="Calibri" w:hAnsi="Times New Roman" w:cs="Times New Roman"/>
          <w:color w:val="000000"/>
          <w:sz w:val="28"/>
          <w:szCs w:val="28"/>
          <w:lang w:eastAsia="en-US"/>
        </w:rPr>
        <w:t>6</w:t>
      </w:r>
      <w:r w:rsidRPr="00674A6B">
        <w:rPr>
          <w:rFonts w:ascii="Times New Roman" w:eastAsia="Calibri" w:hAnsi="Times New Roman" w:cs="Times New Roman"/>
          <w:color w:val="000000"/>
          <w:sz w:val="28"/>
          <w:szCs w:val="28"/>
          <w:lang w:val="ru-RU" w:eastAsia="en-US"/>
        </w:rPr>
        <w:t xml:space="preserve"> – 202</w:t>
      </w:r>
      <w:r w:rsidRPr="00674A6B">
        <w:rPr>
          <w:rFonts w:ascii="Times New Roman" w:eastAsia="Calibri" w:hAnsi="Times New Roman" w:cs="Times New Roman"/>
          <w:color w:val="000000"/>
          <w:sz w:val="28"/>
          <w:szCs w:val="28"/>
          <w:lang w:eastAsia="en-US"/>
        </w:rPr>
        <w:t>8</w:t>
      </w:r>
      <w:r w:rsidRPr="00674A6B">
        <w:rPr>
          <w:rFonts w:ascii="Times New Roman" w:eastAsia="Calibri" w:hAnsi="Times New Roman" w:cs="Times New Roman"/>
          <w:color w:val="000000"/>
          <w:sz w:val="28"/>
          <w:szCs w:val="28"/>
          <w:lang w:val="ru-RU" w:eastAsia="en-US"/>
        </w:rPr>
        <w:t xml:space="preserve"> роки з погашення та обслуговування місцевого боргу заплановано відповідно до графі</w:t>
      </w:r>
      <w:r w:rsidRPr="00674A6B">
        <w:rPr>
          <w:rFonts w:ascii="Times New Roman" w:eastAsia="Calibri" w:hAnsi="Times New Roman" w:cs="Times New Roman"/>
          <w:color w:val="000000"/>
          <w:sz w:val="28"/>
          <w:szCs w:val="28"/>
          <w:lang w:val="ru-RU" w:eastAsia="en-US"/>
        </w:rPr>
        <w:t>к</w:t>
      </w:r>
      <w:r w:rsidRPr="00674A6B">
        <w:rPr>
          <w:rFonts w:ascii="Times New Roman" w:eastAsia="Calibri" w:hAnsi="Times New Roman" w:cs="Times New Roman"/>
          <w:color w:val="000000"/>
          <w:sz w:val="28"/>
          <w:szCs w:val="28"/>
          <w:lang w:val="ru-RU" w:eastAsia="en-US"/>
        </w:rPr>
        <w:t xml:space="preserve">ів платежів за вже існуючим місцевим боргом, прогнозних відсоткових ставок. </w:t>
      </w:r>
    </w:p>
    <w:p w:rsidR="00674A6B" w:rsidRPr="00674A6B" w:rsidP="00674A6B" w14:paraId="08A93FB4" w14:textId="77777777">
      <w:pPr>
        <w:spacing w:after="0" w:line="240" w:lineRule="auto"/>
        <w:ind w:firstLine="567"/>
        <w:jc w:val="both"/>
        <w:rPr>
          <w:rFonts w:ascii="Times New Roman" w:eastAsia="Calibri" w:hAnsi="Times New Roman" w:cs="Times New Roman"/>
          <w:color w:val="000000"/>
          <w:sz w:val="28"/>
          <w:szCs w:val="28"/>
          <w:lang w:eastAsia="en-US"/>
        </w:rPr>
      </w:pPr>
      <w:r w:rsidRPr="00674A6B">
        <w:rPr>
          <w:rFonts w:ascii="Times New Roman" w:eastAsia="Calibri" w:hAnsi="Times New Roman" w:cs="Times New Roman"/>
          <w:color w:val="000000"/>
          <w:sz w:val="28"/>
          <w:szCs w:val="28"/>
          <w:lang w:val="ru-RU" w:eastAsia="en-US"/>
        </w:rPr>
        <w:t xml:space="preserve">Спроможність бюджету забезпечити своєчасне погашення місцевого боргу характеризується </w:t>
      </w:r>
      <w:r w:rsidRPr="00674A6B">
        <w:rPr>
          <w:rFonts w:ascii="Times New Roman" w:eastAsia="Calibri" w:hAnsi="Times New Roman" w:cs="Times New Roman"/>
          <w:color w:val="000000"/>
          <w:sz w:val="28"/>
          <w:szCs w:val="28"/>
          <w:lang w:val="ru-RU" w:eastAsia="en-US"/>
        </w:rPr>
        <w:t>такими</w:t>
      </w:r>
      <w:r w:rsidRPr="00674A6B">
        <w:rPr>
          <w:rFonts w:ascii="Times New Roman" w:eastAsia="Calibri" w:hAnsi="Times New Roman" w:cs="Times New Roman"/>
          <w:color w:val="000000"/>
          <w:sz w:val="28"/>
          <w:szCs w:val="28"/>
          <w:lang w:val="ru-RU" w:eastAsia="en-US"/>
        </w:rPr>
        <w:t xml:space="preserve"> даними: </w:t>
      </w:r>
    </w:p>
    <w:p w:rsidR="00674A6B" w:rsidRPr="00674A6B" w:rsidP="00674A6B" w14:paraId="5FFD94A9" w14:textId="77777777">
      <w:pPr>
        <w:spacing w:after="0" w:line="240" w:lineRule="auto"/>
        <w:ind w:firstLine="567"/>
        <w:jc w:val="both"/>
        <w:rPr>
          <w:rFonts w:ascii="Times New Roman" w:eastAsia="Calibri" w:hAnsi="Times New Roman" w:cs="Times New Roman"/>
          <w:color w:val="000000"/>
          <w:sz w:val="28"/>
          <w:szCs w:val="28"/>
          <w:lang w:eastAsia="en-US"/>
        </w:rPr>
      </w:pPr>
      <w:r w:rsidRPr="00674A6B">
        <w:rPr>
          <w:rFonts w:ascii="Times New Roman" w:eastAsia="Calibri" w:hAnsi="Times New Roman" w:cs="Times New Roman"/>
          <w:color w:val="000000"/>
          <w:sz w:val="28"/>
          <w:szCs w:val="28"/>
          <w:lang w:eastAsia="en-US"/>
        </w:rPr>
        <w:t xml:space="preserve">- співвідношення запланованого обсягу місцевого боргу та середньорічного прогнозного обсягу надходжень бюджету розвитку </w:t>
      </w:r>
      <w:r w:rsidRPr="00674A6B">
        <w:rPr>
          <w:rFonts w:ascii="Times New Roman" w:eastAsia="Calibri" w:hAnsi="Times New Roman" w:cs="Times New Roman"/>
          <w:color w:val="000000"/>
          <w:sz w:val="28"/>
          <w:szCs w:val="28"/>
          <w:lang w:eastAsia="en-US"/>
        </w:rPr>
        <w:t xml:space="preserve">спеціального фонду бюджету Броварської міської територіальної громади (з урахуванням коштів, що передаються із загального фонду бюджету до бюджету розвитку) відповідає вимогам п. 3 ст. 18 Бюджетного кодексу України; </w:t>
      </w:r>
    </w:p>
    <w:p w:rsidR="00674A6B" w:rsidRPr="00674A6B" w:rsidP="00674A6B" w14:paraId="1E3D010C" w14:textId="77777777">
      <w:pPr>
        <w:spacing w:after="0" w:line="240" w:lineRule="auto"/>
        <w:ind w:firstLine="567"/>
        <w:jc w:val="both"/>
        <w:rPr>
          <w:rFonts w:ascii="Times New Roman" w:eastAsia="Calibri" w:hAnsi="Times New Roman" w:cs="Times New Roman"/>
          <w:color w:val="000000"/>
          <w:sz w:val="28"/>
          <w:szCs w:val="28"/>
          <w:lang w:eastAsia="en-US"/>
        </w:rPr>
      </w:pPr>
      <w:r w:rsidRPr="00674A6B">
        <w:rPr>
          <w:rFonts w:ascii="Times New Roman" w:eastAsia="Calibri" w:hAnsi="Times New Roman" w:cs="Times New Roman"/>
          <w:color w:val="000000"/>
          <w:sz w:val="28"/>
          <w:szCs w:val="28"/>
          <w:lang w:eastAsia="en-US"/>
        </w:rPr>
        <w:t>- частка відсотків за обслуговування місцевого боргу у видатках загального фонду бюджету Броварської міської територіальної громади (без урахування реверсної дотації та субвенцій, крім субвенцій, передбачених пунктами 6-8 частини першої статті 97 Бюджетного кодексу</w:t>
      </w:r>
      <w:r w:rsidRPr="00674A6B">
        <w:rPr>
          <w:rFonts w:ascii="Times New Roman" w:eastAsia="Calibri" w:hAnsi="Times New Roman" w:cs="Times New Roman"/>
          <w:color w:val="FF0000"/>
          <w:sz w:val="28"/>
          <w:szCs w:val="28"/>
          <w:lang w:eastAsia="en-US"/>
        </w:rPr>
        <w:t xml:space="preserve"> </w:t>
      </w:r>
      <w:r w:rsidRPr="00674A6B">
        <w:rPr>
          <w:rFonts w:ascii="Times New Roman" w:eastAsia="Calibri" w:hAnsi="Times New Roman" w:cs="Times New Roman"/>
          <w:color w:val="000000"/>
          <w:sz w:val="28"/>
          <w:szCs w:val="28"/>
          <w:lang w:eastAsia="en-US"/>
        </w:rPr>
        <w:t xml:space="preserve">України) відповідає вимогам статті 74 Бюджетного кодексу України. </w:t>
      </w:r>
    </w:p>
    <w:p w:rsidR="00674A6B" w:rsidRPr="00674A6B" w:rsidP="00674A6B" w14:paraId="255DE12F" w14:textId="77777777">
      <w:pPr>
        <w:spacing w:after="0" w:line="240" w:lineRule="auto"/>
        <w:ind w:firstLine="567"/>
        <w:jc w:val="both"/>
        <w:rPr>
          <w:rFonts w:ascii="Times New Roman" w:eastAsia="Calibri" w:hAnsi="Times New Roman" w:cs="Times New Roman"/>
          <w:color w:val="000000"/>
          <w:sz w:val="28"/>
          <w:szCs w:val="28"/>
          <w:lang w:eastAsia="en-US"/>
        </w:rPr>
      </w:pPr>
      <w:r w:rsidRPr="00674A6B">
        <w:rPr>
          <w:rFonts w:ascii="Times New Roman" w:eastAsia="Calibri" w:hAnsi="Times New Roman" w:cs="Times New Roman"/>
          <w:color w:val="000000"/>
          <w:sz w:val="28"/>
          <w:szCs w:val="28"/>
          <w:lang w:val="ru-RU" w:eastAsia="en-US"/>
        </w:rPr>
        <w:t>Основними завданнями управління місцевим боргом є забезпечення виконання запланованих податкових та неподаткових надходжень до загального фонду та бюджету розвитку спеціального фонду бюджету громади, виконання платежі</w:t>
      </w:r>
      <w:r w:rsidRPr="00674A6B">
        <w:rPr>
          <w:rFonts w:ascii="Times New Roman" w:eastAsia="Calibri" w:hAnsi="Times New Roman" w:cs="Times New Roman"/>
          <w:color w:val="000000"/>
          <w:sz w:val="28"/>
          <w:szCs w:val="28"/>
          <w:lang w:val="ru-RU" w:eastAsia="en-US"/>
        </w:rPr>
        <w:t>в</w:t>
      </w:r>
      <w:r w:rsidRPr="00674A6B">
        <w:rPr>
          <w:rFonts w:ascii="Times New Roman" w:eastAsia="Calibri" w:hAnsi="Times New Roman" w:cs="Times New Roman"/>
          <w:color w:val="000000"/>
          <w:sz w:val="28"/>
          <w:szCs w:val="28"/>
          <w:lang w:val="ru-RU" w:eastAsia="en-US"/>
        </w:rPr>
        <w:t xml:space="preserve"> за місцевим </w:t>
      </w:r>
      <w:r w:rsidRPr="00674A6B">
        <w:rPr>
          <w:rFonts w:ascii="Times New Roman" w:eastAsia="Calibri" w:hAnsi="Times New Roman" w:cs="Times New Roman"/>
          <w:color w:val="000000"/>
          <w:sz w:val="28"/>
          <w:szCs w:val="28"/>
          <w:lang w:val="ru-RU" w:eastAsia="en-US"/>
        </w:rPr>
        <w:t>боргом</w:t>
      </w:r>
      <w:r w:rsidRPr="00674A6B">
        <w:rPr>
          <w:rFonts w:ascii="Times New Roman" w:eastAsia="Calibri" w:hAnsi="Times New Roman" w:cs="Times New Roman"/>
          <w:color w:val="000000"/>
          <w:sz w:val="28"/>
          <w:szCs w:val="28"/>
          <w:lang w:val="ru-RU" w:eastAsia="en-US"/>
        </w:rPr>
        <w:t xml:space="preserve"> відповідно до умов кредитних договорів, недопущення заборгованості в процесі обслуговування боргу. </w:t>
      </w:r>
    </w:p>
    <w:p w:rsidR="00674A6B" w:rsidRPr="00674A6B" w:rsidP="00674A6B" w14:paraId="1D9487EA" w14:textId="77777777">
      <w:pPr>
        <w:spacing w:after="0" w:line="240" w:lineRule="auto"/>
        <w:ind w:firstLine="567"/>
        <w:jc w:val="both"/>
        <w:rPr>
          <w:rFonts w:ascii="Times New Roman" w:eastAsia="Calibri" w:hAnsi="Times New Roman" w:cs="Times New Roman"/>
          <w:color w:val="000000"/>
          <w:sz w:val="28"/>
          <w:szCs w:val="28"/>
          <w:lang w:eastAsia="en-US"/>
        </w:rPr>
      </w:pPr>
      <w:r w:rsidRPr="00674A6B">
        <w:rPr>
          <w:rFonts w:ascii="Times New Roman" w:eastAsia="Calibri" w:hAnsi="Times New Roman" w:cs="Times New Roman"/>
          <w:color w:val="000000"/>
          <w:sz w:val="28"/>
          <w:szCs w:val="28"/>
          <w:lang w:eastAsia="en-US"/>
        </w:rPr>
        <w:t>Показники внутрішнього місцевого боргу перед Акціонерним товариством «Державний експортно - імпортний банк України» на кінець року прогнозуються:</w:t>
      </w:r>
    </w:p>
    <w:p w:rsidR="00674A6B" w:rsidRPr="00674A6B" w:rsidP="006A5D24" w14:paraId="662EEC8E" w14:textId="01151F11">
      <w:pPr>
        <w:spacing w:after="0" w:line="240" w:lineRule="auto"/>
        <w:ind w:firstLine="567"/>
        <w:jc w:val="both"/>
        <w:rPr>
          <w:rFonts w:ascii="Times New Roman" w:eastAsia="Calibri" w:hAnsi="Times New Roman" w:cs="Times New Roman"/>
          <w:color w:val="000000"/>
          <w:sz w:val="28"/>
          <w:szCs w:val="28"/>
          <w:lang w:eastAsia="en-US"/>
        </w:rPr>
      </w:pPr>
      <w:r w:rsidRPr="00674A6B">
        <w:rPr>
          <w:rFonts w:ascii="Times New Roman" w:eastAsia="Calibri" w:hAnsi="Times New Roman" w:cs="Times New Roman"/>
          <w:color w:val="000000"/>
          <w:sz w:val="28"/>
          <w:szCs w:val="28"/>
          <w:lang w:eastAsia="en-US"/>
        </w:rPr>
        <w:t xml:space="preserve">у 2026 році – 1 477 175 євро, що в гривневому еквіваленті іноземної валюти становить 71 058 750 </w:t>
      </w:r>
      <w:r w:rsidRPr="00674A6B" w:rsidR="006A5D24">
        <w:rPr>
          <w:rFonts w:ascii="Times New Roman" w:eastAsia="Times New Roman" w:hAnsi="Times New Roman" w:cs="Times New Roman"/>
          <w:sz w:val="28"/>
          <w:szCs w:val="28"/>
          <w:lang w:eastAsia="ru-RU"/>
        </w:rPr>
        <w:t>гривень</w:t>
      </w:r>
      <w:r w:rsidRPr="00674A6B">
        <w:rPr>
          <w:rFonts w:ascii="Times New Roman" w:eastAsia="Calibri" w:hAnsi="Times New Roman" w:cs="Times New Roman"/>
          <w:color w:val="000000"/>
          <w:sz w:val="28"/>
          <w:szCs w:val="28"/>
          <w:lang w:eastAsia="en-US"/>
        </w:rPr>
        <w:t>;</w:t>
      </w:r>
    </w:p>
    <w:p w:rsidR="00674A6B" w:rsidRPr="00674A6B" w:rsidP="006A5D24" w14:paraId="3135E78B" w14:textId="68B5AF24">
      <w:pPr>
        <w:spacing w:after="0" w:line="240" w:lineRule="auto"/>
        <w:ind w:firstLine="567"/>
        <w:jc w:val="both"/>
        <w:rPr>
          <w:rFonts w:ascii="Times New Roman" w:eastAsia="Calibri" w:hAnsi="Times New Roman" w:cs="Times New Roman"/>
          <w:color w:val="000000"/>
          <w:sz w:val="28"/>
          <w:szCs w:val="28"/>
          <w:lang w:eastAsia="en-US"/>
        </w:rPr>
      </w:pPr>
      <w:r w:rsidRPr="00674A6B">
        <w:rPr>
          <w:rFonts w:ascii="Times New Roman" w:eastAsia="Calibri" w:hAnsi="Times New Roman" w:cs="Times New Roman"/>
          <w:color w:val="000000"/>
          <w:sz w:val="28"/>
          <w:szCs w:val="28"/>
          <w:lang w:eastAsia="en-US"/>
        </w:rPr>
        <w:t xml:space="preserve">у 2027 році – 927 175 євро, що в гривневому еквіваленті іноземної валюти становить 40 758 750 </w:t>
      </w:r>
      <w:r w:rsidRPr="00674A6B" w:rsidR="006A5D24">
        <w:rPr>
          <w:rFonts w:ascii="Times New Roman" w:eastAsia="Times New Roman" w:hAnsi="Times New Roman" w:cs="Times New Roman"/>
          <w:sz w:val="28"/>
          <w:szCs w:val="28"/>
          <w:lang w:eastAsia="ru-RU"/>
        </w:rPr>
        <w:t>гривень</w:t>
      </w:r>
      <w:r w:rsidRPr="00674A6B">
        <w:rPr>
          <w:rFonts w:ascii="Times New Roman" w:eastAsia="Calibri" w:hAnsi="Times New Roman" w:cs="Times New Roman"/>
          <w:color w:val="000000"/>
          <w:sz w:val="28"/>
          <w:szCs w:val="28"/>
          <w:lang w:eastAsia="en-US"/>
        </w:rPr>
        <w:t>;</w:t>
      </w:r>
    </w:p>
    <w:p w:rsidR="00674A6B" w:rsidRPr="00674A6B" w:rsidP="006A5D24" w14:paraId="7C007ECF" w14:textId="14840081">
      <w:pPr>
        <w:spacing w:after="0" w:line="240" w:lineRule="auto"/>
        <w:ind w:firstLine="567"/>
        <w:jc w:val="both"/>
        <w:rPr>
          <w:rFonts w:ascii="Times New Roman" w:eastAsia="Calibri" w:hAnsi="Times New Roman" w:cs="Times New Roman"/>
          <w:color w:val="000000"/>
          <w:sz w:val="28"/>
          <w:szCs w:val="28"/>
          <w:lang w:eastAsia="en-US"/>
        </w:rPr>
      </w:pPr>
      <w:r w:rsidRPr="00674A6B">
        <w:rPr>
          <w:rFonts w:ascii="Times New Roman" w:eastAsia="Calibri" w:hAnsi="Times New Roman" w:cs="Times New Roman"/>
          <w:color w:val="000000"/>
          <w:sz w:val="28"/>
          <w:szCs w:val="28"/>
          <w:lang w:eastAsia="en-US"/>
        </w:rPr>
        <w:t xml:space="preserve">у 2028 році – 377 175 євро, що в гривневому еквіваленті іноземної валюти становить 10 458 750 </w:t>
      </w:r>
      <w:r w:rsidRPr="00674A6B" w:rsidR="006A5D24">
        <w:rPr>
          <w:rFonts w:ascii="Times New Roman" w:eastAsia="Times New Roman" w:hAnsi="Times New Roman" w:cs="Times New Roman"/>
          <w:sz w:val="28"/>
          <w:szCs w:val="28"/>
          <w:lang w:eastAsia="ru-RU"/>
        </w:rPr>
        <w:t>гривень</w:t>
      </w:r>
      <w:r w:rsidRPr="00674A6B">
        <w:rPr>
          <w:rFonts w:ascii="Times New Roman" w:eastAsia="Calibri" w:hAnsi="Times New Roman" w:cs="Times New Roman"/>
          <w:color w:val="000000"/>
          <w:sz w:val="28"/>
          <w:szCs w:val="28"/>
          <w:lang w:eastAsia="en-US"/>
        </w:rPr>
        <w:t>;</w:t>
      </w:r>
    </w:p>
    <w:p w:rsidR="00674A6B" w:rsidP="00674A6B" w14:paraId="3A0DB7B2" w14:textId="6EF8D92A">
      <w:pPr>
        <w:spacing w:after="0" w:line="0" w:lineRule="atLeast"/>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Також враховано </w:t>
      </w:r>
      <w:r w:rsidRPr="00674A6B">
        <w:rPr>
          <w:rFonts w:ascii="Times New Roman" w:eastAsia="Calibri" w:hAnsi="Times New Roman" w:cs="Times New Roman"/>
          <w:color w:val="000000"/>
          <w:sz w:val="28"/>
          <w:szCs w:val="28"/>
          <w:lang w:eastAsia="en-US"/>
        </w:rPr>
        <w:t xml:space="preserve">внутрішній місцевий </w:t>
      </w:r>
      <w:r w:rsidRPr="00674A6B">
        <w:rPr>
          <w:rFonts w:ascii="Times New Roman" w:eastAsia="Calibri" w:hAnsi="Times New Roman" w:cs="Times New Roman"/>
          <w:sz w:val="28"/>
          <w:szCs w:val="28"/>
          <w:lang w:eastAsia="en-US"/>
        </w:rPr>
        <w:t xml:space="preserve">борг по середньостроковій позичці з єдиного казначейського рахунку на 2026 рік – 1 810 000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Calibri" w:hAnsi="Times New Roman" w:cs="Times New Roman"/>
          <w:sz w:val="28"/>
          <w:szCs w:val="28"/>
          <w:lang w:eastAsia="en-US"/>
        </w:rPr>
        <w:t xml:space="preserve">,   на 2027 рік – 1 810 000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Calibri" w:hAnsi="Times New Roman" w:cs="Times New Roman"/>
          <w:sz w:val="28"/>
          <w:szCs w:val="28"/>
          <w:lang w:eastAsia="en-US"/>
        </w:rPr>
        <w:t xml:space="preserve">,   на 2028 рік – 1 810 000 </w:t>
      </w:r>
      <w:r w:rsidRPr="00674A6B" w:rsidR="006A5D24">
        <w:rPr>
          <w:rFonts w:ascii="Times New Roman" w:eastAsia="Times New Roman" w:hAnsi="Times New Roman" w:cs="Times New Roman"/>
          <w:sz w:val="28"/>
          <w:szCs w:val="28"/>
          <w:lang w:eastAsia="ru-RU"/>
        </w:rPr>
        <w:t>гривень</w:t>
      </w:r>
      <w:r w:rsidRPr="00674A6B">
        <w:rPr>
          <w:rFonts w:ascii="Times New Roman" w:eastAsia="Calibri" w:hAnsi="Times New Roman" w:cs="Times New Roman"/>
          <w:sz w:val="28"/>
          <w:szCs w:val="28"/>
          <w:lang w:eastAsia="en-US"/>
        </w:rPr>
        <w:t xml:space="preserve">  (відсутній механізм повернення)</w:t>
      </w:r>
      <w:r w:rsidR="00E15BA0">
        <w:rPr>
          <w:rFonts w:ascii="Times New Roman" w:eastAsia="Calibri" w:hAnsi="Times New Roman" w:cs="Times New Roman"/>
          <w:sz w:val="28"/>
          <w:szCs w:val="28"/>
          <w:lang w:eastAsia="en-US"/>
        </w:rPr>
        <w:t>.</w:t>
      </w:r>
    </w:p>
    <w:p w:rsidR="00E15BA0" w:rsidRPr="00E15BA0" w:rsidP="00674A6B" w14:paraId="7A537693" w14:textId="77777777">
      <w:pPr>
        <w:spacing w:after="0" w:line="0" w:lineRule="atLeast"/>
        <w:ind w:firstLine="567"/>
        <w:jc w:val="both"/>
        <w:rPr>
          <w:rFonts w:ascii="Times New Roman" w:eastAsia="Calibri" w:hAnsi="Times New Roman" w:cs="Times New Roman"/>
          <w:sz w:val="16"/>
          <w:szCs w:val="16"/>
          <w:lang w:eastAsia="en-US"/>
        </w:rPr>
      </w:pPr>
    </w:p>
    <w:p w:rsidR="00674A6B" w:rsidRPr="00674A6B" w:rsidP="00674A6B" w14:paraId="3B4D021A"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Додаток 5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«Прогнозу бюджету Броварської міської територіальної громади на 2026-2028 роки» відсутній, у зв’язку з відсутністю інформації для відображення в зазначеному додатку до Прогнозу бюджету Броварської міської територіальної громади на 2026-2028 роки.</w:t>
      </w:r>
    </w:p>
    <w:p w:rsidR="00674A6B" w:rsidRPr="00674A6B" w:rsidP="00674A6B" w14:paraId="14568281" w14:textId="77777777">
      <w:pPr>
        <w:spacing w:after="0" w:line="240" w:lineRule="auto"/>
        <w:ind w:firstLine="709"/>
        <w:jc w:val="both"/>
        <w:rPr>
          <w:rFonts w:ascii="Times New Roman" w:eastAsia="Times New Roman" w:hAnsi="Times New Roman" w:cs="Times New Roman"/>
          <w:sz w:val="16"/>
          <w:szCs w:val="16"/>
          <w:lang w:eastAsia="ru-RU"/>
        </w:rPr>
      </w:pPr>
    </w:p>
    <w:p w:rsidR="00674A6B" w:rsidRPr="00674A6B" w:rsidP="00674A6B" w14:paraId="55D94749"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Показники обсягу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Броварської міської територіальної громади на 2026 – 2028 роки  наведені у додатку 9 до «Прогнозу бюджету Броварської міської територіальної громади на 2026-2028 роки».</w:t>
      </w:r>
    </w:p>
    <w:p w:rsidR="00674A6B" w:rsidRPr="00674A6B" w:rsidP="00674A6B" w14:paraId="0B908CBF"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 xml:space="preserve">Законом України від 16.01.2025 № 4225-IX «Про внесення змін до Бюджетного кодексу України щодо актуалізації та удосконалення деяких положень», внесено зміни до Бюджетного кодексу України у частині </w:t>
      </w:r>
      <w:r w:rsidRPr="00674A6B">
        <w:rPr>
          <w:rFonts w:ascii="Times New Roman" w:eastAsia="Times New Roman" w:hAnsi="Times New Roman" w:cs="Times New Roman"/>
          <w:color w:val="000000"/>
          <w:sz w:val="28"/>
          <w:szCs w:val="28"/>
          <w:lang w:eastAsia="ru-RU"/>
        </w:rPr>
        <w:t xml:space="preserve">здійснення публічних інвестицій, якими вдосконалено визначення, що стосуються публічних інвестицій, публічних інвестиційних проектів, програм публічних інвестицій, введено нові категорійні поняття такі як середньостроковий план пріоритетних публічних інвестицій територіальної громади, єдиний проектний портфель тощо. </w:t>
      </w:r>
    </w:p>
    <w:p w:rsidR="00674A6B" w:rsidRPr="00674A6B" w:rsidP="00674A6B" w14:paraId="43742AF7"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Відповідно до статті 75.2 Бюджетного кодексу України обсяг публічних інвестицій на підготовку та реалізацію публічних інвестиційних проектів та програм публічних інвестицій на середньостроковий період визначається прогнозом бюджету міської територіальної громади.</w:t>
      </w:r>
    </w:p>
    <w:p w:rsidR="00674A6B" w:rsidRPr="00674A6B" w:rsidP="00674A6B" w14:paraId="5AA12CAE"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 xml:space="preserve">Напрями видатків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територіальної громади визначені Стратегією розвитку Броварської міської територіальної громади до 2027 року, затвердженої рішенням Броварської міської ради. </w:t>
      </w:r>
    </w:p>
    <w:p w:rsidR="00674A6B" w:rsidRPr="00674A6B" w:rsidP="00674A6B" w14:paraId="743BFF13" w14:textId="77777777">
      <w:pPr>
        <w:widowControl w:val="0"/>
        <w:snapToGrid w:val="0"/>
        <w:spacing w:after="0" w:line="240" w:lineRule="auto"/>
        <w:ind w:firstLine="567"/>
        <w:jc w:val="both"/>
        <w:rPr>
          <w:rFonts w:ascii="Times New Roman" w:eastAsia="Times New Roman" w:hAnsi="Times New Roman" w:cs="Times New Roman"/>
          <w:color w:val="000000"/>
          <w:sz w:val="16"/>
          <w:szCs w:val="16"/>
          <w:lang w:eastAsia="ru-RU"/>
        </w:rPr>
      </w:pPr>
    </w:p>
    <w:p w:rsidR="00674A6B" w:rsidRPr="00674A6B" w:rsidP="00674A6B" w14:paraId="3CB58360"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Середньостроковий план пріоритетних публічних інвестицій Броварської міської територіальної громади, схвалений Інвестиційною радою Броварської міської ради 13 серпня 2025 року  та визначає:</w:t>
      </w:r>
    </w:p>
    <w:p w:rsidR="00674A6B" w:rsidRPr="00E15BA0" w:rsidP="00674A6B" w14:paraId="1A7DBCF0" w14:textId="77777777">
      <w:pPr>
        <w:widowControl w:val="0"/>
        <w:snapToGrid w:val="0"/>
        <w:spacing w:after="0" w:line="240" w:lineRule="auto"/>
        <w:ind w:firstLine="567"/>
        <w:jc w:val="both"/>
        <w:rPr>
          <w:rFonts w:ascii="Times New Roman" w:eastAsia="Times New Roman" w:hAnsi="Times New Roman" w:cs="Times New Roman"/>
          <w:color w:val="000000"/>
          <w:sz w:val="10"/>
          <w:szCs w:val="10"/>
          <w:lang w:eastAsia="ru-RU"/>
        </w:rPr>
      </w:pPr>
      <w:r w:rsidRPr="00674A6B">
        <w:rPr>
          <w:rFonts w:ascii="Times New Roman" w:eastAsia="Times New Roman" w:hAnsi="Times New Roman" w:cs="Times New Roman"/>
          <w:color w:val="000000"/>
          <w:sz w:val="28"/>
          <w:szCs w:val="28"/>
          <w:lang w:eastAsia="ru-RU"/>
        </w:rPr>
        <w:t xml:space="preserve">  </w:t>
      </w:r>
    </w:p>
    <w:p w:rsidR="00674A6B" w:rsidRPr="00674A6B" w:rsidP="00674A6B" w14:paraId="64C60C77"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 xml:space="preserve">Галузь (сектор) для публічного інвестування – Освіта і наука. </w:t>
      </w:r>
    </w:p>
    <w:p w:rsidR="00674A6B" w:rsidRPr="00674A6B" w:rsidP="00674A6B" w14:paraId="1CD923CC"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Головні розпорядники коштів бюджету Броварської міської територіальної громади:</w:t>
      </w:r>
    </w:p>
    <w:p w:rsidR="00674A6B" w:rsidRPr="00674A6B" w:rsidP="00674A6B" w14:paraId="513F1888" w14:textId="79611523">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Управління освіти і науки Броварської міської ради Броварського району Київської області. Граничний сукупний обсяг публічних інвестицій на середньостроковий період на 2026 рік  - 32 000 000 гривень, на 2027 рік – 68 987 000 гривень, на 2028 рік – 84 387 000 гривень;</w:t>
      </w:r>
    </w:p>
    <w:p w:rsidR="00674A6B" w:rsidRPr="00674A6B" w:rsidP="00674A6B" w14:paraId="7C9D07EC" w14:textId="1C74E8B0">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2027 рік – 50 684 000 гривень.</w:t>
      </w:r>
    </w:p>
    <w:p w:rsidR="00674A6B" w:rsidRPr="00E15BA0" w:rsidP="00674A6B" w14:paraId="2F45E5DE" w14:textId="77777777">
      <w:pPr>
        <w:spacing w:after="0" w:line="240" w:lineRule="auto"/>
        <w:ind w:firstLine="567"/>
        <w:jc w:val="center"/>
        <w:rPr>
          <w:rFonts w:ascii="Times New Roman" w:eastAsia="Calibri" w:hAnsi="Times New Roman" w:cs="Times New Roman"/>
          <w:color w:val="7030A0"/>
          <w:sz w:val="10"/>
          <w:szCs w:val="10"/>
          <w:lang w:eastAsia="en-US"/>
        </w:rPr>
      </w:pPr>
    </w:p>
    <w:p w:rsidR="00674A6B" w:rsidRPr="00674A6B" w:rsidP="00674A6B" w14:paraId="2790362A"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Галузь (сектор) для публічного інвестування – Охорона здоров</w:t>
      </w:r>
      <w:r w:rsidRPr="00674A6B">
        <w:rPr>
          <w:rFonts w:ascii="Times New Roman" w:eastAsia="Times New Roman" w:hAnsi="Times New Roman" w:cs="Times New Roman"/>
          <w:color w:val="000000"/>
          <w:sz w:val="28"/>
          <w:szCs w:val="28"/>
          <w:lang w:val="ru-RU" w:eastAsia="ru-RU"/>
        </w:rPr>
        <w:t>’</w:t>
      </w:r>
      <w:r w:rsidRPr="00674A6B">
        <w:rPr>
          <w:rFonts w:ascii="Times New Roman" w:eastAsia="Times New Roman" w:hAnsi="Times New Roman" w:cs="Times New Roman"/>
          <w:color w:val="000000"/>
          <w:sz w:val="28"/>
          <w:szCs w:val="28"/>
          <w:lang w:eastAsia="ru-RU"/>
        </w:rPr>
        <w:t xml:space="preserve">я. </w:t>
      </w:r>
    </w:p>
    <w:p w:rsidR="00674A6B" w:rsidRPr="00674A6B" w:rsidP="00674A6B" w14:paraId="627AABCB"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Головні розпорядники коштів бюджету Броварської міської територіальної громади:</w:t>
      </w:r>
    </w:p>
    <w:p w:rsidR="00674A6B" w:rsidRPr="00674A6B" w:rsidP="00674A6B" w14:paraId="171D6FFA" w14:textId="4C0F5CE9">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Відділ охорони здоров'я Броварської міської ради Броварського району Київської області. Граничний сукупний обсяг публічних інвестицій на середньостроковий період на 2026 рік  - 11 777 650 гривень;</w:t>
      </w:r>
    </w:p>
    <w:p w:rsidR="00674A6B" w:rsidRPr="00674A6B" w:rsidP="00674A6B" w14:paraId="5F5D8C81" w14:textId="046C4099">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рік – 31 214 310 гривень.</w:t>
      </w:r>
    </w:p>
    <w:p w:rsidR="00674A6B" w:rsidRPr="00E15BA0" w:rsidP="00674A6B" w14:paraId="22E42408" w14:textId="77777777">
      <w:pPr>
        <w:spacing w:after="0" w:line="240" w:lineRule="auto"/>
        <w:ind w:firstLine="567"/>
        <w:jc w:val="center"/>
        <w:rPr>
          <w:rFonts w:ascii="Times New Roman" w:eastAsia="Calibri" w:hAnsi="Times New Roman" w:cs="Times New Roman"/>
          <w:color w:val="7030A0"/>
          <w:sz w:val="10"/>
          <w:szCs w:val="10"/>
          <w:lang w:eastAsia="en-US"/>
        </w:rPr>
      </w:pPr>
    </w:p>
    <w:p w:rsidR="00674A6B" w:rsidRPr="00674A6B" w:rsidP="00674A6B" w14:paraId="2547015A"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 xml:space="preserve">Галузь (сектор) для публічного інвестування – Соціальна сфера. </w:t>
      </w:r>
    </w:p>
    <w:p w:rsidR="00674A6B" w:rsidRPr="00674A6B" w:rsidP="00674A6B" w14:paraId="300BA73F"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Головний розпорядник коштів бюджету Броварської міської територіальної громади:</w:t>
      </w:r>
    </w:p>
    <w:p w:rsidR="00674A6B" w:rsidRPr="00674A6B" w:rsidP="00674A6B" w14:paraId="4A1BF5A7" w14:textId="47F6DAEA">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 xml:space="preserve"> Управління будівництва, житлово-комунального господарства, </w:t>
      </w:r>
      <w:r w:rsidRPr="00674A6B">
        <w:rPr>
          <w:rFonts w:ascii="Times New Roman" w:eastAsia="Times New Roman" w:hAnsi="Times New Roman" w:cs="Times New Roman"/>
          <w:color w:val="000000"/>
          <w:sz w:val="28"/>
          <w:szCs w:val="28"/>
          <w:lang w:eastAsia="ru-RU"/>
        </w:rPr>
        <w:t>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рік – 2 000 000 гривень,  на 2027 рік – 19 000 000 гривень.</w:t>
      </w:r>
    </w:p>
    <w:p w:rsidR="00674A6B" w:rsidRPr="00E15BA0" w:rsidP="00674A6B" w14:paraId="2DABD25F" w14:textId="77777777">
      <w:pPr>
        <w:widowControl w:val="0"/>
        <w:snapToGrid w:val="0"/>
        <w:spacing w:after="0" w:line="240" w:lineRule="auto"/>
        <w:ind w:firstLine="709"/>
        <w:jc w:val="both"/>
        <w:rPr>
          <w:rFonts w:ascii="Times New Roman" w:eastAsia="Times New Roman" w:hAnsi="Times New Roman" w:cs="Times New Roman"/>
          <w:color w:val="000000"/>
          <w:sz w:val="10"/>
          <w:szCs w:val="10"/>
          <w:lang w:eastAsia="ru-RU"/>
        </w:rPr>
      </w:pPr>
    </w:p>
    <w:p w:rsidR="00674A6B" w:rsidRPr="00674A6B" w:rsidP="00674A6B" w14:paraId="33B26406"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 xml:space="preserve">Галузь (сектор) для публічного інвестування – Культура та інформація. </w:t>
      </w:r>
    </w:p>
    <w:p w:rsidR="00674A6B" w:rsidRPr="00674A6B" w:rsidP="00674A6B" w14:paraId="5DB40807"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Головний розпорядник коштів бюджету Броварської міської територіальної громади:</w:t>
      </w:r>
    </w:p>
    <w:p w:rsidR="00674A6B" w:rsidRPr="00674A6B" w:rsidP="00674A6B" w14:paraId="5EA4EA2E" w14:textId="643918B9">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2027 рік – 17 800 000 гривень,  на 2028 рік – 6 000 000 гривень.</w:t>
      </w:r>
    </w:p>
    <w:p w:rsidR="00674A6B" w:rsidRPr="00E15BA0" w:rsidP="00674A6B" w14:paraId="77B8C74A" w14:textId="77777777">
      <w:pPr>
        <w:spacing w:after="0" w:line="240" w:lineRule="auto"/>
        <w:ind w:firstLine="567"/>
        <w:jc w:val="center"/>
        <w:rPr>
          <w:rFonts w:ascii="Times New Roman" w:eastAsia="Calibri" w:hAnsi="Times New Roman" w:cs="Times New Roman"/>
          <w:color w:val="7030A0"/>
          <w:sz w:val="10"/>
          <w:szCs w:val="10"/>
          <w:lang w:eastAsia="en-US"/>
        </w:rPr>
      </w:pPr>
    </w:p>
    <w:p w:rsidR="00674A6B" w:rsidRPr="00674A6B" w:rsidP="00674A6B" w14:paraId="06C26742"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 xml:space="preserve">Галузь (сектор) для публічного інвестування – Спорт та фізичне виховання. </w:t>
      </w:r>
    </w:p>
    <w:p w:rsidR="00674A6B" w:rsidRPr="00674A6B" w:rsidP="00674A6B" w14:paraId="6B000EBD"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Головний розпорядник коштів бюджету Броварської міської територіальної громади:</w:t>
      </w:r>
    </w:p>
    <w:p w:rsidR="00674A6B" w:rsidRPr="00674A6B" w:rsidP="00674A6B" w14:paraId="7C42589A" w14:textId="7D76699D">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Відділ фізичної культури та 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рік  - 140 000 гривень;</w:t>
      </w:r>
    </w:p>
    <w:p w:rsidR="00674A6B" w:rsidRPr="00E15BA0" w:rsidP="00674A6B" w14:paraId="184DF406" w14:textId="77777777">
      <w:pPr>
        <w:spacing w:after="0" w:line="240" w:lineRule="auto"/>
        <w:ind w:firstLine="567"/>
        <w:jc w:val="center"/>
        <w:rPr>
          <w:rFonts w:ascii="Times New Roman" w:eastAsia="Calibri" w:hAnsi="Times New Roman" w:cs="Times New Roman"/>
          <w:sz w:val="10"/>
          <w:szCs w:val="10"/>
          <w:lang w:eastAsia="en-US"/>
        </w:rPr>
      </w:pPr>
    </w:p>
    <w:p w:rsidR="00674A6B" w:rsidRPr="00674A6B" w:rsidP="00674A6B" w14:paraId="01974933"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Галузь (сектор) для публічного інвестування – Муніципальна інфраструктура та послуги.</w:t>
      </w:r>
    </w:p>
    <w:p w:rsidR="00674A6B" w:rsidRPr="00674A6B" w:rsidP="00674A6B" w14:paraId="23DFD3CA"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Головні розпорядники коштів бюджету Броварської міської територіальної громади:</w:t>
      </w:r>
    </w:p>
    <w:p w:rsidR="00674A6B" w:rsidRPr="00674A6B" w:rsidP="00674A6B" w14:paraId="5CCCB0F1" w14:textId="274A18B0">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 xml:space="preserve">Управління освіти і науки Броварської міської ради Броварського району Київської області. Граничний сукупний обсяг публічних інвестицій на середньостроковий період на 2026 рік  - 1 500 000 гривень, на 2027 рік – </w:t>
      </w:r>
      <w:r w:rsidR="006A5D24">
        <w:rPr>
          <w:rFonts w:ascii="Times New Roman" w:eastAsia="Times New Roman" w:hAnsi="Times New Roman" w:cs="Times New Roman"/>
          <w:color w:val="000000"/>
          <w:sz w:val="28"/>
          <w:szCs w:val="28"/>
          <w:lang w:eastAsia="ru-RU"/>
        </w:rPr>
        <w:t xml:space="preserve">   </w:t>
      </w:r>
      <w:r w:rsidRPr="00674A6B">
        <w:rPr>
          <w:rFonts w:ascii="Times New Roman" w:eastAsia="Times New Roman" w:hAnsi="Times New Roman" w:cs="Times New Roman"/>
          <w:color w:val="000000"/>
          <w:sz w:val="28"/>
          <w:szCs w:val="28"/>
          <w:lang w:eastAsia="ru-RU"/>
        </w:rPr>
        <w:t>4 000 000 гривень;</w:t>
      </w:r>
    </w:p>
    <w:p w:rsidR="00674A6B" w:rsidRPr="00674A6B" w:rsidP="00674A6B" w14:paraId="33ACFA9C" w14:textId="60A1E590">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Відділ фізичної культури та 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рік  - 55 000 гривень;</w:t>
      </w:r>
    </w:p>
    <w:p w:rsidR="00674A6B" w:rsidRPr="00674A6B" w:rsidP="00674A6B" w14:paraId="0E1707DE" w14:textId="3DF0A60C">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рік  - 104 095 810 гривень, на 2027 рік – 19 500 000 гривень;</w:t>
      </w:r>
    </w:p>
    <w:p w:rsidR="00674A6B" w:rsidRPr="00E15BA0" w:rsidP="00674A6B" w14:paraId="24959748" w14:textId="77777777">
      <w:pPr>
        <w:widowControl w:val="0"/>
        <w:snapToGrid w:val="0"/>
        <w:spacing w:after="0" w:line="240" w:lineRule="auto"/>
        <w:ind w:firstLine="709"/>
        <w:jc w:val="both"/>
        <w:rPr>
          <w:rFonts w:ascii="Times New Roman" w:eastAsia="Times New Roman" w:hAnsi="Times New Roman" w:cs="Times New Roman"/>
          <w:color w:val="000000"/>
          <w:sz w:val="10"/>
          <w:szCs w:val="10"/>
          <w:lang w:eastAsia="ru-RU"/>
        </w:rPr>
      </w:pPr>
    </w:p>
    <w:p w:rsidR="00674A6B" w:rsidRPr="00674A6B" w:rsidP="00674A6B" w14:paraId="19D97183"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 xml:space="preserve">Галузь (сектор) для публічного інвестування – Житло. </w:t>
      </w:r>
    </w:p>
    <w:p w:rsidR="00674A6B" w:rsidRPr="00674A6B" w:rsidP="00674A6B" w14:paraId="45E46596"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Головний розпорядник коштів бюджету Броварської міської територіальної громади:</w:t>
      </w:r>
    </w:p>
    <w:p w:rsidR="00674A6B" w:rsidRPr="00674A6B" w:rsidP="00674A6B" w14:paraId="661A11C4" w14:textId="645E1E9A">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рік  - 1 177 730 гривень, на 2027 рік – </w:t>
      </w:r>
      <w:r w:rsidR="00E15BA0">
        <w:rPr>
          <w:rFonts w:ascii="Times New Roman" w:eastAsia="Times New Roman" w:hAnsi="Times New Roman" w:cs="Times New Roman"/>
          <w:color w:val="000000"/>
          <w:sz w:val="28"/>
          <w:szCs w:val="28"/>
          <w:lang w:eastAsia="ru-RU"/>
        </w:rPr>
        <w:t xml:space="preserve">  </w:t>
      </w:r>
      <w:r w:rsidRPr="00674A6B">
        <w:rPr>
          <w:rFonts w:ascii="Times New Roman" w:eastAsia="Times New Roman" w:hAnsi="Times New Roman" w:cs="Times New Roman"/>
          <w:color w:val="000000"/>
          <w:sz w:val="28"/>
          <w:szCs w:val="28"/>
          <w:lang w:eastAsia="ru-RU"/>
        </w:rPr>
        <w:t xml:space="preserve">       5 000 000 гривень;</w:t>
      </w:r>
    </w:p>
    <w:p w:rsidR="00674A6B" w:rsidRPr="00674A6B" w:rsidP="00674A6B" w14:paraId="11288A16" w14:textId="77777777">
      <w:pPr>
        <w:widowControl w:val="0"/>
        <w:snapToGrid w:val="0"/>
        <w:spacing w:after="0" w:line="240" w:lineRule="auto"/>
        <w:ind w:firstLine="709"/>
        <w:jc w:val="both"/>
        <w:rPr>
          <w:rFonts w:ascii="Times New Roman" w:eastAsia="Times New Roman" w:hAnsi="Times New Roman" w:cs="Times New Roman"/>
          <w:color w:val="000000"/>
          <w:sz w:val="16"/>
          <w:szCs w:val="16"/>
          <w:lang w:eastAsia="ru-RU"/>
        </w:rPr>
      </w:pPr>
    </w:p>
    <w:p w:rsidR="00674A6B" w:rsidRPr="00674A6B" w:rsidP="00674A6B" w14:paraId="0D238359"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 xml:space="preserve">Галузь (сектор) для публічного інвестування – Транспорт. </w:t>
      </w:r>
    </w:p>
    <w:p w:rsidR="00674A6B" w:rsidRPr="00674A6B" w:rsidP="00674A6B" w14:paraId="2672B32B"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Головний розпорядник коштів бюджету Броварської міської територіальної громади:</w:t>
      </w:r>
    </w:p>
    <w:p w:rsidR="00674A6B" w:rsidRPr="00674A6B" w:rsidP="00674A6B" w14:paraId="19503730"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 xml:space="preserve"> -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рік  – 16 039 500 гривень, на 2027 рік –        15 029 000 гривень, на 2028 рік – 109 613 000 грн. </w:t>
      </w:r>
    </w:p>
    <w:p w:rsidR="00674A6B" w:rsidRPr="00E15BA0" w:rsidP="00674A6B" w14:paraId="3561F99D" w14:textId="77777777">
      <w:pPr>
        <w:spacing w:after="0" w:line="240" w:lineRule="auto"/>
        <w:ind w:left="927"/>
        <w:jc w:val="both"/>
        <w:rPr>
          <w:rFonts w:ascii="Times New Roman" w:eastAsia="Calibri" w:hAnsi="Times New Roman" w:cs="Times New Roman"/>
          <w:color w:val="FF0000"/>
          <w:sz w:val="16"/>
          <w:szCs w:val="16"/>
          <w:lang w:eastAsia="en-US"/>
        </w:rPr>
      </w:pPr>
    </w:p>
    <w:p w:rsidR="00674A6B" w:rsidRPr="00674A6B" w:rsidP="00674A6B" w14:paraId="0AB1D953" w14:textId="77777777">
      <w:pPr>
        <w:spacing w:after="0" w:line="240" w:lineRule="auto"/>
        <w:ind w:firstLine="567"/>
        <w:jc w:val="both"/>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val="ru-RU" w:eastAsia="en-US"/>
        </w:rPr>
        <w:t>V</w:t>
      </w:r>
      <w:r w:rsidRPr="00674A6B">
        <w:rPr>
          <w:rFonts w:ascii="Times New Roman" w:eastAsia="Calibri" w:hAnsi="Times New Roman" w:cs="Times New Roman"/>
          <w:b/>
          <w:sz w:val="28"/>
          <w:szCs w:val="28"/>
          <w:lang w:eastAsia="en-US"/>
        </w:rPr>
        <w:t>І . Показники видаткі</w:t>
      </w:r>
      <w:r w:rsidRPr="00674A6B">
        <w:rPr>
          <w:rFonts w:ascii="Times New Roman" w:eastAsia="Calibri" w:hAnsi="Times New Roman" w:cs="Times New Roman"/>
          <w:b/>
          <w:sz w:val="28"/>
          <w:szCs w:val="28"/>
          <w:lang w:eastAsia="en-US"/>
        </w:rPr>
        <w:t>в</w:t>
      </w:r>
      <w:r w:rsidRPr="00674A6B">
        <w:rPr>
          <w:rFonts w:ascii="Times New Roman" w:eastAsia="Calibri" w:hAnsi="Times New Roman" w:cs="Times New Roman"/>
          <w:b/>
          <w:sz w:val="28"/>
          <w:szCs w:val="28"/>
          <w:lang w:eastAsia="en-US"/>
        </w:rPr>
        <w:t xml:space="preserve"> </w:t>
      </w:r>
      <w:r w:rsidRPr="00674A6B">
        <w:rPr>
          <w:rFonts w:ascii="Times New Roman" w:eastAsia="Calibri" w:hAnsi="Times New Roman" w:cs="Times New Roman"/>
          <w:b/>
          <w:sz w:val="28"/>
          <w:szCs w:val="28"/>
          <w:lang w:eastAsia="en-US"/>
        </w:rPr>
        <w:t>бюджету</w:t>
      </w:r>
      <w:r w:rsidRPr="00674A6B">
        <w:rPr>
          <w:rFonts w:ascii="Times New Roman" w:eastAsia="Calibri" w:hAnsi="Times New Roman" w:cs="Times New Roman"/>
          <w:b/>
          <w:sz w:val="28"/>
          <w:szCs w:val="28"/>
          <w:lang w:eastAsia="en-US"/>
        </w:rPr>
        <w:t xml:space="preserve"> та надання кредитів з бюджету</w:t>
      </w:r>
    </w:p>
    <w:p w:rsidR="00674A6B" w:rsidRPr="00E15BA0" w:rsidP="00674A6B" w14:paraId="63EAFE19" w14:textId="77777777">
      <w:pPr>
        <w:spacing w:after="0" w:line="240" w:lineRule="auto"/>
        <w:ind w:firstLine="567"/>
        <w:jc w:val="both"/>
        <w:rPr>
          <w:rFonts w:ascii="Times New Roman" w:eastAsia="Calibri" w:hAnsi="Times New Roman" w:cs="Times New Roman"/>
          <w:b/>
          <w:sz w:val="16"/>
          <w:szCs w:val="16"/>
          <w:lang w:eastAsia="en-US"/>
        </w:rPr>
      </w:pPr>
    </w:p>
    <w:p w:rsidR="00674A6B" w:rsidRPr="00674A6B" w:rsidP="00674A6B" w14:paraId="4922E0B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Перехід до середньострокового прогнозування є складовою частиною програмно-цільового методу, який використовується у бюджетному процесі, та передбачає узгодження стратегічних планів, проектів, програм з реальними можливостями бюджету громади. В основу формування обсягів видатків Прогнозу покладено вимоги положень Бюджетного кодексу України, інших законодавчих актів, що стосуються місцевих бюджетів та міжбюджетних відносин, основних макроекономічних показників економічного і соціального розвитку України, визначених Бюджетною декларацією на 2026–2028 роки, схваленою постановою Кабінету Міністрів України від 27 червня 2025 № 774. </w:t>
      </w:r>
    </w:p>
    <w:p w:rsidR="00674A6B" w:rsidRPr="00674A6B" w:rsidP="00674A6B" w14:paraId="5A13D24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Основним завданням бюджетної політики на місцевому рівні на середньостроковий період залишатиметься забезпечення стабільності, результативності, стійкості та збалансованості бюджету територіальної громади, ефективне використання бюджетних коштів в умовах обмеженості бюджетних ресурсів.</w:t>
      </w:r>
    </w:p>
    <w:p w:rsidR="00674A6B" w:rsidRPr="00674A6B" w:rsidP="00674A6B" w14:paraId="4577BD8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 Середньострокове бюджетне планування здійснюватиметься з урахуванням стратегічних документів територіальної громади, показники яких є орієнтирами для досягнення цілей державної/регіональної/місцевої політик.</w:t>
      </w:r>
    </w:p>
    <w:p w:rsidR="00674A6B" w:rsidRPr="00674A6B" w:rsidP="00674A6B" w14:paraId="1DAF7B1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Прогноз витрат складено на основі поданих головними розпорядниками бюджетних коштів пропозицій до прогнозу бюджету. Під час складання прогнозних показників видаткової частини на 2026 - 2028 роки, в першочерговому порядку врахована потреба в коштах на оплату праці працівників бюджетних установ відповідно до умов оплати праці та розміру мінімальної заробітної плати, на проведення розрахунків за комунальні послуги та енергоносії, які споживаються бюджетними установами, з урахуванням пріоритетності видатків, обґрунтованості витрат, що передбачає детальні розрахунки в межах граничних показників з урахуванням кількісних та вартісних факторів, які впливають на обсяг видатків у плановому та наступних за плановим двох бюджетних періодах. </w:t>
      </w:r>
    </w:p>
    <w:p w:rsidR="00674A6B" w:rsidRPr="00674A6B" w:rsidP="00674A6B" w14:paraId="7011723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Для визначення прогнозних показників видатків на оплату бюджетними установами та закладами комунальних послуг та енергоносіїв на 2026- 2028 роки до базових обсягів станом на 01.07.2025 враховано показник індексу цін виробників промислової продукції, який наведений в Основних прогнозних макропоказниках економічного і соціального розвитку України, визначених </w:t>
      </w:r>
      <w:r w:rsidRPr="00674A6B">
        <w:rPr>
          <w:rFonts w:ascii="Times New Roman" w:eastAsia="Times New Roman" w:hAnsi="Times New Roman" w:cs="Times New Roman"/>
          <w:sz w:val="28"/>
          <w:szCs w:val="28"/>
          <w:lang w:eastAsia="ru-RU"/>
        </w:rPr>
        <w:t>Бюджетною декларацією на 2026–2028 роки, схваленою постановою Кабінету Міністрів України від 27 червня 2025 №774. При складані Прогнозу враховані обсяги видатків для забезпечення стабільної роботи установ та закладів соціально-культурної сфери, надання встановлених власних соціальних гарантій для малозахищених верств населення, ветеранів війни та членів їх сімей, підтримку в належному стані об’єктів житлово-комунального господарства, впровадження заходів з енергозбереження, а також виконання в межах фінансових можливостей місцевих цільових програм.</w:t>
      </w:r>
    </w:p>
    <w:p w:rsidR="00674A6B" w:rsidRPr="00674A6B" w:rsidP="00674A6B" w14:paraId="6857EB3E"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Для підвищення рівня та ефективності використання бюджетних коштів у 2026-2028 роках передбачається:</w:t>
      </w:r>
    </w:p>
    <w:p w:rsidR="00674A6B" w:rsidRPr="00674A6B" w:rsidP="00E15BA0" w14:paraId="0FE89101"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удосконалення нормативно-правової та методологічної бази з урахуванням результатів запровадження програмно-цільового методу на рівні місцевих бюджетів;</w:t>
      </w:r>
    </w:p>
    <w:p w:rsidR="00674A6B" w:rsidRPr="00674A6B" w:rsidP="00E15BA0" w14:paraId="680F80EB"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моніторинг виконання бюджетних програм місцевих бюджетів, проведення оцінки ефективності та результативності їх виконання;</w:t>
      </w:r>
    </w:p>
    <w:p w:rsidR="00674A6B" w:rsidRPr="00674A6B" w:rsidP="00E15BA0" w14:paraId="35D1A1FF" w14:textId="17E0FA9B">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внесення змін до програмного забезпечення в частині планування та обслуговування місцевих бюджетів за програмно-цільовим</w:t>
      </w:r>
      <w:r w:rsidR="00E15BA0">
        <w:rPr>
          <w:rFonts w:ascii="Times New Roman" w:eastAsia="Times New Roman" w:hAnsi="Times New Roman" w:cs="Times New Roman"/>
          <w:sz w:val="28"/>
          <w:szCs w:val="28"/>
          <w:lang w:eastAsia="ru-RU"/>
        </w:rPr>
        <w:t xml:space="preserve"> методом.</w:t>
      </w:r>
    </w:p>
    <w:p w:rsidR="00674A6B" w:rsidRPr="00674A6B" w:rsidP="00674A6B" w14:paraId="46407952"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Розробка методологічних засад планування місцевих бюджетів на середньострокову перспективу полягатиме у оцінці ефективності виконання бюджетних програм за попередній бюджетний період, перегляді та оцінці законодавства, що надає підстави для здійснення витрат з місцевого бюджету, формуванні переліку бюджетних програм на плановий та наступні за плановим два бюджетні періоди.</w:t>
      </w:r>
    </w:p>
    <w:p w:rsidR="00674A6B" w:rsidRPr="00674A6B" w:rsidP="00674A6B" w14:paraId="327B15C8"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Під час формування видаткової частини бюджету Броварської міської територіальної громади у середньостроковому періоді основним прагненням є досягнення цілей державної політики в межах ресурсних можливостей бюджету територіальної громади, спрямовування коштів на заходи відповідно до їх пріоритетності та актуальності, а також з урахуванням економного використання коштів за діючими бюджетними програмами. </w:t>
      </w:r>
    </w:p>
    <w:p w:rsidR="00674A6B" w:rsidRPr="00674A6B" w:rsidP="00674A6B" w14:paraId="36FF6F13"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sz w:val="28"/>
          <w:szCs w:val="28"/>
          <w:lang w:eastAsia="ru-RU"/>
        </w:rPr>
        <w:t>В процесі формування видаткової частини бюджету враховані прогнозні розміри мінімальної заробітної плати та посадового окладу працівника першого тарифного розряду Єдиної тарифної сітки на 2026-2028 роки</w:t>
      </w:r>
      <w:r w:rsidRPr="00674A6B">
        <w:rPr>
          <w:rFonts w:ascii="Times New Roman" w:eastAsia="Times New Roman" w:hAnsi="Times New Roman" w:cs="Times New Roman"/>
          <w:color w:val="FF0000"/>
          <w:sz w:val="28"/>
          <w:szCs w:val="28"/>
          <w:lang w:eastAsia="ru-RU"/>
        </w:rPr>
        <w:t xml:space="preserve"> </w:t>
      </w:r>
      <w:r w:rsidRPr="00674A6B">
        <w:rPr>
          <w:rFonts w:ascii="Times New Roman" w:eastAsia="Times New Roman" w:hAnsi="Times New Roman" w:cs="Times New Roman"/>
          <w:color w:val="000000"/>
          <w:sz w:val="28"/>
          <w:szCs w:val="28"/>
          <w:lang w:eastAsia="ru-RU"/>
        </w:rPr>
        <w:t>відповідно до визначених у листі Міністерства фінансів України № 05120-08-6/19235 від 09.07.2025 «Щодо особливостей середньострокового бюджетного планування та складання розрахунків до прогнозів місцевих бюджетів», а саме:</w:t>
      </w:r>
    </w:p>
    <w:p w:rsidR="00674A6B" w:rsidRPr="00674A6B" w:rsidP="00E15BA0" w14:paraId="00550871"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розмір мінімальної заробітної плати з 1 січня 2026 року – 8 688 гривень (темп приросту – 8,6 відсотка), з 1 січня 2027 року – 9 374 гривень (темп приросту – 7,9 відсотка), з 1 січня 2028 року – 10 059 гривень (темп приросту 7,3 відсотка);</w:t>
      </w:r>
    </w:p>
    <w:p w:rsidR="00674A6B" w:rsidRPr="00674A6B" w:rsidP="00E15BA0" w14:paraId="5931970A"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sidRPr="00674A6B">
        <w:rPr>
          <w:rFonts w:ascii="Times New Roman" w:eastAsia="Times New Roman" w:hAnsi="Times New Roman" w:cs="Times New Roman"/>
          <w:color w:val="000000"/>
          <w:sz w:val="28"/>
          <w:szCs w:val="28"/>
          <w:lang w:eastAsia="ru-RU"/>
        </w:rPr>
        <w:t xml:space="preserve">розмір посадового окладу працівника І тарифного розряду Єдиної тарифної сітки з 1 січня 2026 року – 3 470 гривень (темп приросту 8,6 відсотка), з 1 січня 2027 року – 3 744 гривень (темп приросту – 7,9 відсотка), з 1 січня 2028 року - 4 018 гривень (темп приросту - 7,3 відсотка). </w:t>
      </w:r>
    </w:p>
    <w:p w:rsidR="00674A6B" w:rsidRPr="00674A6B" w:rsidP="00674A6B" w14:paraId="5E7C391E"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В першу чергу при формуванні видаткової частини прогнозу бюджету враховано вимоги статті 77 Бюджетного кодексу України щодо забезпечення потреби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 та некомерційними підприємствами охорони здоров’я. </w:t>
      </w:r>
    </w:p>
    <w:p w:rsidR="00674A6B" w:rsidRPr="00674A6B" w:rsidP="00674A6B" w14:paraId="5EA81DFF"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Враховані також обсяги видатків, необхідні для забезпечення стабільної роботи установ та закладів соціально – культурної сфери, надання соціальних гарантій для малозахищених категорій громадян, підтримки в належному стані об’єктів житлово – комунального господарства, інших об’єктів інфраструктури міста, впровадження заходів з енергозбереження (енергоефективності), виконання в межах фінансових можливостей міських цільових (комплексних) програм.</w:t>
      </w:r>
    </w:p>
    <w:p w:rsidR="00674A6B" w:rsidP="00674A6B" w14:paraId="7293A144" w14:textId="77777777">
      <w:pPr>
        <w:spacing w:after="0" w:line="240" w:lineRule="auto"/>
        <w:ind w:firstLine="567"/>
        <w:jc w:val="both"/>
        <w:rPr>
          <w:rFonts w:ascii="Times New Roman" w:eastAsia="Calibri" w:hAnsi="Times New Roman" w:cs="Times New Roman"/>
          <w:sz w:val="28"/>
          <w:szCs w:val="28"/>
          <w:lang w:val="ru-RU" w:eastAsia="en-US"/>
        </w:rPr>
      </w:pPr>
      <w:r w:rsidRPr="00674A6B">
        <w:rPr>
          <w:rFonts w:ascii="Times New Roman" w:eastAsia="Calibri" w:hAnsi="Times New Roman" w:cs="Times New Roman"/>
          <w:sz w:val="28"/>
          <w:szCs w:val="28"/>
          <w:lang w:eastAsia="en-US"/>
        </w:rPr>
        <w:t xml:space="preserve">Фінансування видатків бюджету Броварської міської територіальної громади, міських цільових програм на період до 2028 року здійснюватиметься в рамках жорсткої економії бюджетних коштів. </w:t>
      </w:r>
      <w:r w:rsidRPr="00674A6B">
        <w:rPr>
          <w:rFonts w:ascii="Times New Roman" w:eastAsia="Calibri" w:hAnsi="Times New Roman" w:cs="Times New Roman"/>
          <w:sz w:val="28"/>
          <w:szCs w:val="28"/>
          <w:lang w:val="ru-RU" w:eastAsia="en-US"/>
        </w:rPr>
        <w:t xml:space="preserve">В цих умовах визначальним стане </w:t>
      </w:r>
      <w:r w:rsidRPr="00674A6B">
        <w:rPr>
          <w:rFonts w:ascii="Times New Roman" w:eastAsia="Calibri" w:hAnsi="Times New Roman" w:cs="Times New Roman"/>
          <w:sz w:val="28"/>
          <w:szCs w:val="28"/>
          <w:lang w:val="ru-RU" w:eastAsia="en-US"/>
        </w:rPr>
        <w:t>п</w:t>
      </w:r>
      <w:r w:rsidRPr="00674A6B">
        <w:rPr>
          <w:rFonts w:ascii="Times New Roman" w:eastAsia="Calibri" w:hAnsi="Times New Roman" w:cs="Times New Roman"/>
          <w:sz w:val="28"/>
          <w:szCs w:val="28"/>
          <w:lang w:val="ru-RU" w:eastAsia="en-US"/>
        </w:rPr>
        <w:t xml:space="preserve">ідвищення ефективності видатків, що відбуватиметься на основі їх пріоритетності та оцінки ступеня досягнення очікуваних результатів. </w:t>
      </w:r>
    </w:p>
    <w:p w:rsidR="00E15BA0" w:rsidRPr="00E15BA0" w:rsidP="00674A6B" w14:paraId="0192DC35" w14:textId="77777777">
      <w:pPr>
        <w:spacing w:after="0" w:line="240" w:lineRule="auto"/>
        <w:ind w:firstLine="567"/>
        <w:jc w:val="both"/>
        <w:rPr>
          <w:rFonts w:ascii="Times New Roman" w:eastAsia="Calibri" w:hAnsi="Times New Roman" w:cs="Times New Roman"/>
          <w:sz w:val="16"/>
          <w:szCs w:val="16"/>
          <w:lang w:eastAsia="en-US"/>
        </w:rPr>
      </w:pPr>
    </w:p>
    <w:p w:rsidR="00674A6B" w:rsidRPr="00674A6B" w:rsidP="00674A6B" w14:paraId="249EA18B"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Прогнозні показники видатків та кредитування бюджету Броварської міської територіальної громади на 2026 – 2028 роки відображені на підставі поданих головними розпорядниками коштів пропозицій до Прогнозу, а саме:</w:t>
      </w:r>
    </w:p>
    <w:p w:rsidR="00674A6B" w:rsidRPr="00674A6B" w:rsidP="00674A6B" w14:paraId="74A8244A" w14:textId="17222AD3">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граничні показники видатків бюджету та надання кредитів з бюджету головним розпорядникам коштів – додаток 6; </w:t>
      </w:r>
    </w:p>
    <w:p w:rsidR="00674A6B" w:rsidRPr="00674A6B" w:rsidP="00674A6B" w14:paraId="71852011" w14:textId="3B089BC4">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граничні показники видатків бюджету за Типовою програмною класифікацією видатків та кредитування місцевого бюджету – додаток 7. </w:t>
      </w:r>
    </w:p>
    <w:p w:rsidR="00674A6B" w:rsidRPr="00674A6B" w:rsidP="00674A6B" w14:paraId="1B2C2FAD" w14:textId="77777777">
      <w:pPr>
        <w:spacing w:after="0" w:line="240" w:lineRule="auto"/>
        <w:ind w:firstLine="567"/>
        <w:jc w:val="both"/>
        <w:rPr>
          <w:rFonts w:ascii="Times New Roman" w:eastAsia="Calibri" w:hAnsi="Times New Roman" w:cs="Times New Roman"/>
          <w:sz w:val="16"/>
          <w:szCs w:val="16"/>
          <w:lang w:eastAsia="en-US"/>
        </w:rPr>
      </w:pPr>
    </w:p>
    <w:p w:rsidR="00674A6B" w:rsidP="00674A6B" w14:paraId="092DD14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Загальний обсяг видатків Прогнозу бюджету Броварської міської територіальної громади на середньостроковий період (з урахуванням обсягів субвенцій з державного бюджету) складає:</w:t>
      </w:r>
    </w:p>
    <w:p w:rsidR="00E15BA0" w:rsidRPr="00E15BA0" w:rsidP="00674A6B" w14:paraId="544C9275"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674A6B" w:rsidRPr="00674A6B" w:rsidP="00674A6B" w14:paraId="3DC31518" w14:textId="77777777">
      <w:pPr>
        <w:widowControl w:val="0"/>
        <w:snapToGrid w:val="0"/>
        <w:spacing w:after="0" w:line="240" w:lineRule="auto"/>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 загальним фондом:</w:t>
      </w:r>
    </w:p>
    <w:p w:rsidR="00674A6B" w:rsidRPr="00674A6B" w:rsidP="00674A6B" w14:paraId="000D145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на 2026 рік – 2 379 968 704 гривні; </w:t>
      </w:r>
    </w:p>
    <w:p w:rsidR="00674A6B" w:rsidRPr="00674A6B" w:rsidP="00674A6B" w14:paraId="10D0E55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на 2027 рік – 2 496 140 983 гривні;</w:t>
      </w:r>
    </w:p>
    <w:p w:rsidR="00674A6B" w:rsidP="00674A6B" w14:paraId="38FA9E0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на 2028 рік – 2 617 741 258 гривень;</w:t>
      </w:r>
    </w:p>
    <w:p w:rsidR="00E15BA0" w:rsidRPr="00E15BA0" w:rsidP="00674A6B" w14:paraId="2E1E4F2F"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674A6B" w:rsidRPr="00674A6B" w:rsidP="00674A6B" w14:paraId="018E8515" w14:textId="77777777">
      <w:pPr>
        <w:widowControl w:val="0"/>
        <w:snapToGrid w:val="0"/>
        <w:spacing w:after="0" w:line="240" w:lineRule="auto"/>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 спеціальним фондом:</w:t>
      </w:r>
    </w:p>
    <w:p w:rsidR="00674A6B" w:rsidRPr="00674A6B" w:rsidP="00674A6B" w14:paraId="5394198B"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на 2026 рік – 120 327 657 гривень;</w:t>
      </w:r>
    </w:p>
    <w:p w:rsidR="00674A6B" w:rsidRPr="00674A6B" w:rsidP="00674A6B" w14:paraId="73A4DC0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на 2027 рік  – 121 659 423 гривні;</w:t>
      </w:r>
    </w:p>
    <w:p w:rsidR="00674A6B" w:rsidRPr="00674A6B" w:rsidP="00674A6B" w14:paraId="169B2CB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на 2028 рік – 128 795 169 гривень.</w:t>
      </w:r>
    </w:p>
    <w:p w:rsidR="00674A6B" w:rsidP="00674A6B" w14:paraId="5A0EB59A" w14:textId="77777777">
      <w:pPr>
        <w:spacing w:after="0" w:line="240" w:lineRule="auto"/>
        <w:ind w:firstLine="567"/>
        <w:jc w:val="both"/>
        <w:rPr>
          <w:rFonts w:ascii="Times New Roman" w:eastAsia="Calibri" w:hAnsi="Times New Roman" w:cs="Times New Roman"/>
          <w:sz w:val="16"/>
          <w:szCs w:val="16"/>
          <w:lang w:eastAsia="en-US"/>
        </w:rPr>
      </w:pPr>
    </w:p>
    <w:p w:rsidR="00E15BA0" w:rsidP="00674A6B" w14:paraId="2A3429F7" w14:textId="77777777">
      <w:pPr>
        <w:spacing w:after="0" w:line="240" w:lineRule="auto"/>
        <w:ind w:firstLine="567"/>
        <w:jc w:val="both"/>
        <w:rPr>
          <w:rFonts w:ascii="Times New Roman" w:eastAsia="Calibri" w:hAnsi="Times New Roman" w:cs="Times New Roman"/>
          <w:sz w:val="16"/>
          <w:szCs w:val="16"/>
          <w:lang w:eastAsia="en-US"/>
        </w:rPr>
      </w:pPr>
    </w:p>
    <w:p w:rsidR="00E15BA0" w:rsidP="00674A6B" w14:paraId="2E3ABFF3" w14:textId="77777777">
      <w:pPr>
        <w:spacing w:after="0" w:line="240" w:lineRule="auto"/>
        <w:ind w:firstLine="567"/>
        <w:jc w:val="both"/>
        <w:rPr>
          <w:rFonts w:ascii="Times New Roman" w:eastAsia="Calibri" w:hAnsi="Times New Roman" w:cs="Times New Roman"/>
          <w:sz w:val="16"/>
          <w:szCs w:val="16"/>
          <w:lang w:eastAsia="en-US"/>
        </w:rPr>
      </w:pPr>
    </w:p>
    <w:p w:rsidR="00E15BA0" w:rsidP="00674A6B" w14:paraId="1EE2913D" w14:textId="77777777">
      <w:pPr>
        <w:spacing w:after="0" w:line="240" w:lineRule="auto"/>
        <w:ind w:firstLine="567"/>
        <w:jc w:val="both"/>
        <w:rPr>
          <w:rFonts w:ascii="Times New Roman" w:eastAsia="Calibri" w:hAnsi="Times New Roman" w:cs="Times New Roman"/>
          <w:sz w:val="16"/>
          <w:szCs w:val="16"/>
          <w:lang w:eastAsia="en-US"/>
        </w:rPr>
      </w:pPr>
    </w:p>
    <w:p w:rsidR="00E15BA0" w:rsidP="00674A6B" w14:paraId="74EAA155" w14:textId="77777777">
      <w:pPr>
        <w:spacing w:after="0" w:line="240" w:lineRule="auto"/>
        <w:ind w:firstLine="567"/>
        <w:jc w:val="both"/>
        <w:rPr>
          <w:rFonts w:ascii="Times New Roman" w:eastAsia="Calibri" w:hAnsi="Times New Roman" w:cs="Times New Roman"/>
          <w:sz w:val="16"/>
          <w:szCs w:val="16"/>
          <w:lang w:eastAsia="en-US"/>
        </w:rPr>
      </w:pPr>
    </w:p>
    <w:p w:rsidR="00E15BA0" w:rsidRPr="00674A6B" w:rsidP="00674A6B" w14:paraId="683C215A" w14:textId="77777777">
      <w:pPr>
        <w:spacing w:after="0" w:line="240" w:lineRule="auto"/>
        <w:ind w:firstLine="567"/>
        <w:jc w:val="both"/>
        <w:rPr>
          <w:rFonts w:ascii="Times New Roman" w:eastAsia="Calibri" w:hAnsi="Times New Roman" w:cs="Times New Roman"/>
          <w:sz w:val="16"/>
          <w:szCs w:val="16"/>
          <w:lang w:eastAsia="en-US"/>
        </w:rPr>
      </w:pPr>
    </w:p>
    <w:p w:rsidR="00674A6B" w:rsidRPr="00674A6B" w:rsidP="00674A6B" w14:paraId="0159C85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Напрями розвитку в основних сферах (галузях) діяльності та їх фінансове забезпечення, характеризується наступними показниками.</w:t>
      </w:r>
    </w:p>
    <w:p w:rsidR="00674A6B" w:rsidRPr="00674A6B" w:rsidP="00674A6B" w14:paraId="6C675A97" w14:textId="77777777">
      <w:pPr>
        <w:widowControl w:val="0"/>
        <w:snapToGrid w:val="0"/>
        <w:spacing w:after="0" w:line="240" w:lineRule="auto"/>
        <w:ind w:firstLine="709"/>
        <w:jc w:val="both"/>
        <w:rPr>
          <w:rFonts w:ascii="Times New Roman" w:eastAsia="Times New Roman" w:hAnsi="Times New Roman" w:cs="Times New Roman"/>
          <w:sz w:val="28"/>
          <w:szCs w:val="28"/>
          <w:lang w:eastAsia="ru-RU"/>
        </w:rPr>
      </w:pPr>
    </w:p>
    <w:p w:rsidR="00674A6B" w:rsidP="00674A6B" w14:paraId="540B3A68" w14:textId="77777777">
      <w:pPr>
        <w:spacing w:after="0" w:line="240" w:lineRule="auto"/>
        <w:ind w:firstLine="567"/>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eastAsia="en-US"/>
        </w:rPr>
        <w:t>Органи місцевого самоврядування</w:t>
      </w:r>
    </w:p>
    <w:p w:rsidR="00E15BA0" w:rsidRPr="00674A6B" w:rsidP="00674A6B" w14:paraId="65D8740D" w14:textId="77777777">
      <w:pPr>
        <w:spacing w:after="0" w:line="240" w:lineRule="auto"/>
        <w:ind w:firstLine="567"/>
        <w:jc w:val="center"/>
        <w:rPr>
          <w:rFonts w:ascii="Times New Roman" w:eastAsia="Calibri" w:hAnsi="Times New Roman" w:cs="Times New Roman"/>
          <w:b/>
          <w:sz w:val="28"/>
          <w:szCs w:val="28"/>
          <w:lang w:eastAsia="en-US"/>
        </w:rPr>
      </w:pPr>
    </w:p>
    <w:p w:rsidR="00674A6B" w:rsidRPr="00674A6B" w:rsidP="00674A6B" w14:paraId="4DCC8E35"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val="ru-RU" w:eastAsia="en-US"/>
        </w:rPr>
        <w:t xml:space="preserve">Надані законодавством повноваження у сфері державного управління реалізовуються через </w:t>
      </w:r>
      <w:r w:rsidRPr="00674A6B">
        <w:rPr>
          <w:rFonts w:ascii="Times New Roman" w:eastAsia="Calibri" w:hAnsi="Times New Roman" w:cs="Times New Roman"/>
          <w:sz w:val="28"/>
          <w:szCs w:val="28"/>
          <w:lang w:eastAsia="en-US"/>
        </w:rPr>
        <w:t>Броварську міську раду Броварського району Київської області,</w:t>
      </w:r>
      <w:r w:rsidRPr="00674A6B">
        <w:rPr>
          <w:rFonts w:ascii="Times New Roman" w:eastAsia="Calibri" w:hAnsi="Times New Roman" w:cs="Times New Roman"/>
          <w:sz w:val="28"/>
          <w:szCs w:val="28"/>
          <w:lang w:val="ru-RU" w:eastAsia="en-US"/>
        </w:rPr>
        <w:t xml:space="preserve"> представлені </w:t>
      </w:r>
      <w:r w:rsidRPr="00674A6B">
        <w:rPr>
          <w:rFonts w:ascii="Times New Roman" w:eastAsia="Calibri" w:hAnsi="Times New Roman" w:cs="Times New Roman"/>
          <w:sz w:val="28"/>
          <w:szCs w:val="28"/>
          <w:lang w:eastAsia="en-US"/>
        </w:rPr>
        <w:t xml:space="preserve">дванадцятьма </w:t>
      </w:r>
      <w:r w:rsidRPr="00674A6B">
        <w:rPr>
          <w:rFonts w:ascii="Times New Roman" w:eastAsia="Calibri" w:hAnsi="Times New Roman" w:cs="Times New Roman"/>
          <w:sz w:val="28"/>
          <w:szCs w:val="28"/>
          <w:lang w:val="ru-RU" w:eastAsia="en-US"/>
        </w:rPr>
        <w:t xml:space="preserve">виконавчими органами. </w:t>
      </w:r>
    </w:p>
    <w:p w:rsidR="00674A6B" w:rsidRPr="00674A6B" w:rsidP="00674A6B" w14:paraId="3B786CB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Розрахунок видатків на утримання органів місцевого самоврядування проводився виходячи із штатної чисельності та мережі виконавчих органів ради.</w:t>
      </w:r>
    </w:p>
    <w:p w:rsidR="00674A6B" w:rsidRPr="00261AA5" w:rsidP="00674A6B" w14:paraId="15EF3359"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r w:rsidRPr="00674A6B">
        <w:rPr>
          <w:rFonts w:ascii="Times New Roman" w:eastAsia="Times New Roman" w:hAnsi="Times New Roman" w:cs="Times New Roman"/>
          <w:sz w:val="28"/>
          <w:szCs w:val="28"/>
          <w:lang w:eastAsia="ru-RU"/>
        </w:rPr>
        <w:t xml:space="preserve"> </w:t>
      </w:r>
    </w:p>
    <w:p w:rsidR="00674A6B" w:rsidRPr="00674A6B" w:rsidP="00674A6B" w14:paraId="14919DC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Пріоритетні завдання виконавчих органів Броварської міської ради:</w:t>
      </w:r>
    </w:p>
    <w:p w:rsidR="00674A6B" w:rsidRPr="00674A6B" w:rsidP="00674A6B" w14:paraId="315E708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повноцінне забезпечення функціонування органів місцевого самоврядування  та їх самостійних управлінь та відділів;</w:t>
      </w:r>
    </w:p>
    <w:p w:rsidR="00674A6B" w:rsidRPr="00674A6B" w:rsidP="00674A6B" w14:paraId="0F0EA17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 якісне виконання повноважень, визначених Конституцією України та іншими законодавчими актами;</w:t>
      </w:r>
    </w:p>
    <w:p w:rsidR="00674A6B" w:rsidRPr="00674A6B" w:rsidP="00674A6B" w14:paraId="3F55FAB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 забезпечення якісного контролю за використанням коштів у реалізації заходів програми соціально-економічного розвитку;</w:t>
      </w:r>
    </w:p>
    <w:p w:rsidR="00674A6B" w:rsidRPr="00674A6B" w:rsidP="00674A6B" w14:paraId="60805B8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 забезпечення доступності та якості управлінських та адміністративних послуг;</w:t>
      </w:r>
    </w:p>
    <w:p w:rsidR="00674A6B" w:rsidRPr="00674A6B" w:rsidP="00674A6B" w14:paraId="37443F7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 підвищення іміджу Броварської міської ради. </w:t>
      </w:r>
    </w:p>
    <w:p w:rsidR="00674A6B" w:rsidRPr="00261AA5" w:rsidP="00674A6B" w14:paraId="5043372E"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3DA8CB1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У 2026 - 2028 роках передбачається здійснити такі заходи:</w:t>
      </w:r>
    </w:p>
    <w:p w:rsidR="00674A6B" w:rsidRPr="00674A6B" w:rsidP="00674A6B" w14:paraId="0F83C9A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організація та забезпечення ефективної роботи органів місцевого самоврядування;</w:t>
      </w:r>
    </w:p>
    <w:p w:rsidR="00674A6B" w:rsidRPr="00674A6B" w:rsidP="00674A6B" w14:paraId="4DDB1FF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забезпечення принципу прозорості у діяльності міської ради;</w:t>
      </w:r>
    </w:p>
    <w:p w:rsidR="00674A6B" w:rsidRPr="00674A6B" w:rsidP="00674A6B" w14:paraId="6A6752C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забезпечення повноцінного виконання повноважень виконавчих органів міської ради згідно чинного законодавства;</w:t>
      </w:r>
    </w:p>
    <w:p w:rsidR="00674A6B" w:rsidRPr="00674A6B" w:rsidP="00674A6B" w14:paraId="18E0622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підвищення професійного рівня посадових осіб органів місцевого самоврядування та депутатів міської ради.</w:t>
      </w:r>
    </w:p>
    <w:p w:rsidR="00674A6B" w:rsidRPr="00261AA5" w:rsidP="00674A6B" w14:paraId="732270A5"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0B485B2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Основними результатами, які планується досягти є:</w:t>
      </w:r>
    </w:p>
    <w:p w:rsidR="00674A6B" w:rsidRPr="00674A6B" w:rsidP="00674A6B" w14:paraId="71DDF90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забезпечення якісного та повноцінного виконання функцій і повноважень виконавчих органів міської ради згідно з чинним законодавством;</w:t>
      </w:r>
    </w:p>
    <w:p w:rsidR="00674A6B" w:rsidRPr="00674A6B" w:rsidP="00674A6B" w14:paraId="6BA85AA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створення прозорої системи прийняття управлінських рішень виконавчими органами міської ради;</w:t>
      </w:r>
    </w:p>
    <w:p w:rsidR="00674A6B" w:rsidRPr="00674A6B" w:rsidP="00674A6B" w14:paraId="34AAF7A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підвищення рівня довіри до виконавчих органів міської ради.</w:t>
      </w:r>
    </w:p>
    <w:p w:rsidR="00674A6B" w:rsidRPr="00E15BA0" w:rsidP="00674A6B" w14:paraId="1DEBE86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p>
    <w:p w:rsidR="00674A6B" w:rsidP="00674A6B" w14:paraId="7E3ED735" w14:textId="77777777">
      <w:pPr>
        <w:spacing w:after="0" w:line="240" w:lineRule="auto"/>
        <w:ind w:firstLine="567"/>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eastAsia="en-US"/>
        </w:rPr>
        <w:t>Освіта</w:t>
      </w:r>
    </w:p>
    <w:p w:rsidR="00E15BA0" w:rsidRPr="00674A6B" w:rsidP="00674A6B" w14:paraId="3BE90851" w14:textId="77777777">
      <w:pPr>
        <w:spacing w:after="0" w:line="240" w:lineRule="auto"/>
        <w:ind w:firstLine="567"/>
        <w:jc w:val="center"/>
        <w:rPr>
          <w:rFonts w:ascii="Times New Roman" w:eastAsia="Calibri" w:hAnsi="Times New Roman" w:cs="Times New Roman"/>
          <w:b/>
          <w:sz w:val="28"/>
          <w:szCs w:val="28"/>
          <w:lang w:eastAsia="en-US"/>
        </w:rPr>
      </w:pPr>
    </w:p>
    <w:p w:rsidR="00674A6B" w:rsidRPr="00674A6B" w:rsidP="00674A6B" w14:paraId="4BD303C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Пріоритетом розвитку галузі освіти є забезпечення доступності високоякісної освіти, забезпечення модернізації освітніх послуг та підвищення доступності якісних освітніх послуг.</w:t>
      </w:r>
    </w:p>
    <w:p w:rsidR="00674A6B" w:rsidRPr="00674A6B" w:rsidP="00674A6B" w14:paraId="7944454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У сфері забезпечення освіти діяльність органів місцевого самоврядування направлена на всебічний розвиток людини як особистості, її талантів, </w:t>
      </w:r>
      <w:r w:rsidRPr="00674A6B">
        <w:rPr>
          <w:rFonts w:ascii="Times New Roman" w:eastAsia="Times New Roman" w:hAnsi="Times New Roman" w:cs="Times New Roman"/>
          <w:sz w:val="28"/>
          <w:szCs w:val="28"/>
          <w:lang w:eastAsia="ru-RU"/>
        </w:rPr>
        <w:t>інтелектуальних, творчих і фізичних здібностей, формування цінностей, необхідних для успішної самореалізації, виховання відповідальних громадян, які здатні до свідомого суспільного вибору та спрямування своєї діяльності на користь іншим людям і суспільству, підвищення освітнього рівня громадян за для забезпечення сталого розвитку України та її європейського вибору.</w:t>
      </w:r>
    </w:p>
    <w:p w:rsidR="00674A6B" w:rsidP="00674A6B" w14:paraId="4B219A4A"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Громада створює умови для здобуття освіти особами з особливими освітніми потребами з урахуванням індивідуальних потреб, можливостей, здібностей та інтересів, а також забезпечує виявлення та усунення факторів, що перешкоджають реалізації прав і задоволенню потреб таких осіб у сфері освіти. </w:t>
      </w:r>
    </w:p>
    <w:p w:rsidR="00261AA5" w:rsidRPr="00261AA5" w:rsidP="00674A6B" w14:paraId="0EDCDEFF"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6328F44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Цілі державної регіональної та місцевої політики, реалізація яких здійснюватиметься у середньостроковий період:</w:t>
      </w:r>
    </w:p>
    <w:p w:rsidR="00674A6B" w:rsidRPr="00674A6B" w:rsidP="00674A6B" w14:paraId="352F469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 створення належних умов для надання якісної дошкільної освіти та виховання дітей; </w:t>
      </w:r>
    </w:p>
    <w:p w:rsidR="00674A6B" w:rsidRPr="00674A6B" w:rsidP="00674A6B" w14:paraId="71B4EF8A"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повноцінного надання загальної середньої освіти у закладах загальної середньої освіти; </w:t>
      </w:r>
    </w:p>
    <w:p w:rsidR="00674A6B" w:rsidP="00674A6B" w14:paraId="455680A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забезпечення доступності спеціальної освіти мистецькими школами. </w:t>
      </w:r>
    </w:p>
    <w:p w:rsidR="00261AA5" w:rsidRPr="00261AA5" w:rsidP="00674A6B" w14:paraId="32A569E9"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2292B31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Показниками досягнення цілей є: </w:t>
      </w:r>
    </w:p>
    <w:p w:rsidR="00674A6B" w:rsidRPr="00674A6B" w:rsidP="00674A6B" w14:paraId="70ECDE6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забезпечення якісної, сучасної та доступної загальної середньої освіти; </w:t>
      </w:r>
    </w:p>
    <w:p w:rsidR="00674A6B" w:rsidRPr="00674A6B" w:rsidP="00674A6B" w14:paraId="4A1C207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забезпечення стійкого розвитку системи освіти, всебічного розвитку особистості, стабільного функціонування закладів та установ освіти для задоволення освітніх потреб населення;</w:t>
      </w:r>
    </w:p>
    <w:p w:rsidR="00674A6B" w:rsidRPr="00674A6B" w:rsidP="00674A6B" w14:paraId="3415EDAA"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 налагодження енергоефективності будівель та приміщень, покращення матеріально-технічної та навчально-методичної бази навчальних закладів, благоустрій територій; </w:t>
      </w:r>
    </w:p>
    <w:p w:rsidR="00674A6B" w:rsidRPr="00674A6B" w:rsidP="00674A6B" w14:paraId="484B5F5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участь обдарованих дітей в інтелектуальних, творчих та спортивних заходах, що проводяться за межами громади, обмін досвідом, а також стимулювання учнів, педагогів навчальних закладів до участі в інтелектуальних, творчих та спортивних заходах; </w:t>
      </w:r>
    </w:p>
    <w:p w:rsidR="00674A6B" w:rsidP="00674A6B" w14:paraId="0E95322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створення більш ефективної та комфортної системи навчання, виховання та самовдосконалення обдарованих дітей, заохочення учнів до більш якісної та результативної роботи внаслідок оновлення бази музичних інструментів у мистецьких закладах.</w:t>
      </w:r>
    </w:p>
    <w:p w:rsidR="00E15BA0" w:rsidRPr="00261AA5" w:rsidP="00674A6B" w14:paraId="21C3A823"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0CB18F5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 цією метою у 2026 - 2028 роках планується здійснити наступні заходи: забезпечення належного функціонування закладів загальної середньої освіти та закладів дошкільної освіти територіальної громади;</w:t>
      </w:r>
    </w:p>
    <w:p w:rsidR="00674A6B" w:rsidRPr="00674A6B" w:rsidP="00674A6B" w14:paraId="12D56EB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 зміцнення матеріально-технічної бази закладів загальної освіти територіальної громади; </w:t>
      </w:r>
    </w:p>
    <w:p w:rsidR="00674A6B" w:rsidRPr="00674A6B" w:rsidP="00674A6B" w14:paraId="21049E4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забезпечення навчальних закладів сучасними засобами навчання і виховання, оснащення комп’ютерною технікою; </w:t>
      </w:r>
    </w:p>
    <w:p w:rsidR="00674A6B" w:rsidRPr="00674A6B" w:rsidP="00674A6B" w14:paraId="4939983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забезпечення належного теплового режиму, зменшення показників споживання енергоносіїв, у тому числі природного газу.</w:t>
      </w:r>
    </w:p>
    <w:p w:rsidR="00674A6B" w:rsidRPr="00674A6B" w:rsidP="00674A6B" w14:paraId="419117D9" w14:textId="77777777">
      <w:pPr>
        <w:spacing w:after="0" w:line="240" w:lineRule="auto"/>
        <w:ind w:firstLine="567"/>
        <w:jc w:val="both"/>
        <w:rPr>
          <w:rFonts w:ascii="Times New Roman" w:eastAsia="Times New Roman" w:hAnsi="Times New Roman" w:cs="Times New Roman"/>
          <w:sz w:val="28"/>
          <w:szCs w:val="20"/>
          <w:lang w:eastAsia="ru-RU"/>
        </w:rPr>
      </w:pPr>
      <w:r w:rsidRPr="00674A6B">
        <w:rPr>
          <w:rFonts w:ascii="Times New Roman" w:eastAsia="Times New Roman" w:hAnsi="Times New Roman" w:cs="Times New Roman"/>
          <w:sz w:val="28"/>
          <w:szCs w:val="20"/>
          <w:lang w:eastAsia="ru-RU"/>
        </w:rPr>
        <w:t>За  рахунок   коштів  передбачених на галузь «Освіта» буде  утримуватися 13 ліцеїв, початкова школа, всеукраїнський центр ДНЗ «Ялинка» ім. В.О.Сухомлинського, інклюзивно-ресурсний центр, 22 дитячих  дошкільних  закладів, 3 заклади  позашкільної  роботи з дітьми, центр професійного розвитку педагогічних працівників, централізована бухгалтерія, господарська  група, школа  естетичного  виховання  дітей  та  музична  школа.</w:t>
      </w:r>
    </w:p>
    <w:p w:rsidR="00674A6B" w:rsidRPr="00E15BA0" w:rsidP="00674A6B" w14:paraId="764CBD90" w14:textId="77777777">
      <w:pPr>
        <w:spacing w:after="0" w:line="240" w:lineRule="auto"/>
        <w:ind w:firstLine="567"/>
        <w:jc w:val="both"/>
        <w:rPr>
          <w:rFonts w:ascii="Times New Roman" w:eastAsia="Calibri" w:hAnsi="Times New Roman" w:cs="Times New Roman"/>
          <w:color w:val="FF0000"/>
          <w:sz w:val="28"/>
          <w:szCs w:val="28"/>
          <w:lang w:eastAsia="en-US"/>
        </w:rPr>
      </w:pPr>
    </w:p>
    <w:p w:rsidR="00674A6B" w:rsidP="00674A6B" w14:paraId="7911466E" w14:textId="77777777">
      <w:pPr>
        <w:spacing w:after="0" w:line="240" w:lineRule="auto"/>
        <w:ind w:firstLine="567"/>
        <w:jc w:val="center"/>
        <w:rPr>
          <w:rFonts w:ascii="Times New Roman" w:eastAsia="Calibri" w:hAnsi="Times New Roman" w:cs="Times New Roman"/>
          <w:b/>
          <w:sz w:val="28"/>
          <w:szCs w:val="28"/>
          <w:lang w:val="ru-RU" w:eastAsia="en-US"/>
        </w:rPr>
      </w:pPr>
      <w:r w:rsidRPr="00674A6B">
        <w:rPr>
          <w:rFonts w:ascii="Times New Roman" w:eastAsia="Calibri" w:hAnsi="Times New Roman" w:cs="Times New Roman"/>
          <w:b/>
          <w:sz w:val="28"/>
          <w:szCs w:val="28"/>
          <w:lang w:val="ru-RU" w:eastAsia="en-US"/>
        </w:rPr>
        <w:t>Охорона здоров’я</w:t>
      </w:r>
    </w:p>
    <w:p w:rsidR="00E15BA0" w:rsidRPr="00674A6B" w:rsidP="00674A6B" w14:paraId="75F0CCFC" w14:textId="77777777">
      <w:pPr>
        <w:spacing w:after="0" w:line="240" w:lineRule="auto"/>
        <w:ind w:firstLine="567"/>
        <w:jc w:val="center"/>
        <w:rPr>
          <w:rFonts w:ascii="Times New Roman" w:eastAsia="Calibri" w:hAnsi="Times New Roman" w:cs="Times New Roman"/>
          <w:b/>
          <w:sz w:val="28"/>
          <w:szCs w:val="28"/>
          <w:lang w:eastAsia="en-US"/>
        </w:rPr>
      </w:pPr>
    </w:p>
    <w:p w:rsidR="00674A6B" w:rsidRPr="00674A6B" w:rsidP="00674A6B" w14:paraId="26C7D33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Пріоритетами розвитку галузі є забезпечення населення територіальної громади високоякісними і доступними медичними послугами та створення сприятливих умов життєдіяльності людини. </w:t>
      </w:r>
    </w:p>
    <w:p w:rsidR="00674A6B" w:rsidP="00674A6B" w14:paraId="5AFF869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Органи місцевого самоврядування реалізують державну політику у сфері охорони здоров'я в межах своїх повноважень, передбачених чинним законодавством України. </w:t>
      </w:r>
    </w:p>
    <w:p w:rsidR="00E15BA0" w:rsidRPr="00261AA5" w:rsidP="00674A6B" w14:paraId="6DFBE64F"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17DAB72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 цією метою у 2026-2028 роках планується здійснити наступні заходи:</w:t>
      </w:r>
    </w:p>
    <w:p w:rsidR="00674A6B" w:rsidRPr="00674A6B" w:rsidP="00674A6B" w14:paraId="3CB22A4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підвищення рівня медичного обслуговування населення, розширення можливостей щодо його доступності та якості; </w:t>
      </w:r>
    </w:p>
    <w:p w:rsidR="00674A6B" w:rsidRPr="00674A6B" w:rsidP="00674A6B" w14:paraId="1A0C424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впровадження нових підходів до організації роботи закладів охорони здоров’я громади та їх фінансового забезпечення;</w:t>
      </w:r>
    </w:p>
    <w:p w:rsidR="00674A6B" w:rsidRPr="00674A6B" w:rsidP="00674A6B" w14:paraId="635773E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 покращення матеріально-технічної бази закладів охорони здоров'я територіальної громади; </w:t>
      </w:r>
    </w:p>
    <w:p w:rsidR="00674A6B" w:rsidP="00674A6B" w14:paraId="2D0599F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забезпечення оплати енергоносіїв та комунальних послуг закладів охорони здоров'я територіальної громади. </w:t>
      </w:r>
    </w:p>
    <w:p w:rsidR="00E15BA0" w:rsidRPr="00261AA5" w:rsidP="00674A6B" w14:paraId="25CF3E88"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4AF1668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Цілі державної регіональної та місцевої політики, реалізація яких здійснюватиметься у середньостроковий період направлена на: </w:t>
      </w:r>
    </w:p>
    <w:p w:rsidR="00674A6B" w:rsidRPr="00674A6B" w:rsidP="00674A6B" w14:paraId="29F777A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забезпечення в межах наданих повноважень доступності медичного обслуговування населення Броварської міської територіальної громади; </w:t>
      </w:r>
    </w:p>
    <w:p w:rsidR="00674A6B" w:rsidRPr="00674A6B" w:rsidP="00674A6B" w14:paraId="15B5178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забезпечення відповідно до чинного законодавства України пільгових категорій населення лікарськими засобами та виробами медичного призначення;</w:t>
      </w:r>
    </w:p>
    <w:p w:rsidR="00674A6B" w:rsidP="00674A6B" w14:paraId="5F539CA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покращення кадрового потенціалу медичних установ, шляхом надання медичних стимулів медичним працівникам за кошти бюджету Броварської міської територіальної громади.</w:t>
      </w:r>
    </w:p>
    <w:p w:rsidR="00E15BA0" w:rsidRPr="00261AA5" w:rsidP="00674A6B" w14:paraId="20D4C8DF"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25ADCF5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Показниками досягнення цілей є:</w:t>
      </w:r>
    </w:p>
    <w:p w:rsidR="00674A6B" w:rsidRPr="00674A6B" w:rsidP="00674A6B" w14:paraId="17F8358B"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сприяння укладанню нових договорів з Національною службою здоров’я України;</w:t>
      </w:r>
    </w:p>
    <w:p w:rsidR="00674A6B" w:rsidRPr="00674A6B" w:rsidP="00674A6B" w14:paraId="282ACF6B" w14:textId="10607AC4">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забезпечення відповідно до потреби лікарськими засобами та виробами медичного призначення пільгових категорій населення</w:t>
      </w:r>
      <w:r w:rsidR="00E15BA0">
        <w:rPr>
          <w:rFonts w:ascii="Times New Roman" w:eastAsia="Times New Roman" w:hAnsi="Times New Roman" w:cs="Times New Roman"/>
          <w:sz w:val="28"/>
          <w:szCs w:val="28"/>
          <w:lang w:eastAsia="ru-RU"/>
        </w:rPr>
        <w:t>;</w:t>
      </w:r>
    </w:p>
    <w:p w:rsidR="00674A6B" w:rsidP="00674A6B" w14:paraId="0D63FF03" w14:textId="4A7E547C">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зниження рівнів загальної захворюваності населення</w:t>
      </w:r>
      <w:r w:rsidR="00E15BA0">
        <w:rPr>
          <w:rFonts w:ascii="Times New Roman" w:eastAsia="Calibri" w:hAnsi="Times New Roman" w:cs="Times New Roman"/>
          <w:sz w:val="28"/>
          <w:szCs w:val="28"/>
          <w:lang w:eastAsia="en-US"/>
        </w:rPr>
        <w:t>.</w:t>
      </w:r>
    </w:p>
    <w:p w:rsidR="00E15BA0" w:rsidRPr="00261AA5" w:rsidP="00674A6B" w14:paraId="60526294" w14:textId="77777777">
      <w:pPr>
        <w:spacing w:after="0" w:line="240" w:lineRule="auto"/>
        <w:ind w:firstLine="567"/>
        <w:jc w:val="both"/>
        <w:rPr>
          <w:rFonts w:ascii="Times New Roman" w:eastAsia="Calibri" w:hAnsi="Times New Roman" w:cs="Times New Roman"/>
          <w:b/>
          <w:sz w:val="16"/>
          <w:szCs w:val="16"/>
          <w:lang w:eastAsia="en-US"/>
        </w:rPr>
      </w:pPr>
    </w:p>
    <w:p w:rsidR="00674A6B" w:rsidRPr="00674A6B" w:rsidP="00674A6B" w14:paraId="503ABFF9"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674A6B">
        <w:rPr>
          <w:rFonts w:ascii="Times New Roman" w:eastAsia="Calibri" w:hAnsi="Times New Roman" w:cs="Times New Roman"/>
          <w:sz w:val="28"/>
          <w:szCs w:val="28"/>
          <w:lang w:eastAsia="en-US"/>
        </w:rPr>
        <w:t xml:space="preserve">Граничний обсяг видатків головним розпорядникам бюджетних коштів направлено на реалізацію бюджетних програм, </w:t>
      </w:r>
      <w:r w:rsidRPr="00674A6B">
        <w:rPr>
          <w:rFonts w:ascii="Times New Roman" w:eastAsia="Calibri" w:hAnsi="Times New Roman" w:cs="Times New Roman"/>
          <w:sz w:val="28"/>
          <w:lang w:eastAsia="en-US"/>
        </w:rPr>
        <w:t xml:space="preserve">для фінансування </w:t>
      </w:r>
      <w:r w:rsidRPr="00674A6B">
        <w:rPr>
          <w:rFonts w:ascii="Times New Roman" w:eastAsia="Times New Roman" w:hAnsi="Times New Roman" w:cs="Times New Roman"/>
          <w:sz w:val="28"/>
          <w:szCs w:val="28"/>
        </w:rPr>
        <w:t xml:space="preserve">Комунального некомерційне підприємство «Броварська багатопрофільна клінічна лікарня» територіальних громад Броварського району Київської області, Комунального  некомерційне підприємства </w:t>
      </w:r>
      <w:r w:rsidRPr="00674A6B">
        <w:rPr>
          <w:rFonts w:ascii="Times New Roman" w:eastAsia="Times New Roman" w:hAnsi="Times New Roman" w:cs="Times New Roman"/>
          <w:sz w:val="28"/>
          <w:szCs w:val="28"/>
          <w:shd w:val="clear" w:color="auto" w:fill="FFFFFF"/>
        </w:rPr>
        <w:t>Броварської міської ради Броварського району Київської області</w:t>
      </w:r>
      <w:r w:rsidRPr="00674A6B">
        <w:rPr>
          <w:rFonts w:ascii="Times New Roman" w:eastAsia="Times New Roman" w:hAnsi="Times New Roman" w:cs="Times New Roman"/>
          <w:shd w:val="clear" w:color="auto" w:fill="FFFFFF"/>
        </w:rPr>
        <w:t> </w:t>
      </w:r>
      <w:r w:rsidRPr="00674A6B">
        <w:rPr>
          <w:rFonts w:ascii="Times New Roman" w:eastAsia="Times New Roman" w:hAnsi="Times New Roman" w:cs="Times New Roman"/>
          <w:sz w:val="28"/>
          <w:szCs w:val="28"/>
        </w:rPr>
        <w:t>«Броварський міський центр первинної медико-санітарної допомоги» та Комунального некомерційного підприємства Броварської міської ради Броварського району Київської області «Броварська стоматологічна поліклініка». </w:t>
      </w:r>
    </w:p>
    <w:p w:rsidR="00674A6B" w:rsidRPr="00E15BA0" w:rsidP="00674A6B" w14:paraId="78E3A1E6" w14:textId="77777777">
      <w:pPr>
        <w:spacing w:after="0" w:line="240" w:lineRule="auto"/>
        <w:ind w:left="142"/>
        <w:jc w:val="both"/>
        <w:rPr>
          <w:rFonts w:ascii="Times New Roman" w:eastAsia="Calibri" w:hAnsi="Times New Roman" w:cs="Times New Roman"/>
          <w:color w:val="FF0000"/>
          <w:sz w:val="28"/>
          <w:szCs w:val="28"/>
          <w:lang w:eastAsia="en-US"/>
        </w:rPr>
      </w:pPr>
    </w:p>
    <w:p w:rsidR="00674A6B" w:rsidP="00674A6B" w14:paraId="4FC6EAB7" w14:textId="77777777">
      <w:pPr>
        <w:spacing w:after="0" w:line="240" w:lineRule="auto"/>
        <w:ind w:firstLine="567"/>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eastAsia="en-US"/>
        </w:rPr>
        <w:t>Соціальний захист та соціальне забезпечення</w:t>
      </w:r>
    </w:p>
    <w:p w:rsidR="00E15BA0" w:rsidRPr="00674A6B" w:rsidP="00674A6B" w14:paraId="31F4DD47" w14:textId="77777777">
      <w:pPr>
        <w:spacing w:after="0" w:line="240" w:lineRule="auto"/>
        <w:ind w:firstLine="567"/>
        <w:jc w:val="center"/>
        <w:rPr>
          <w:rFonts w:ascii="Times New Roman" w:eastAsia="Calibri" w:hAnsi="Times New Roman" w:cs="Times New Roman"/>
          <w:b/>
          <w:sz w:val="28"/>
          <w:szCs w:val="28"/>
          <w:lang w:eastAsia="en-US"/>
        </w:rPr>
      </w:pPr>
    </w:p>
    <w:p w:rsidR="00674A6B" w:rsidRPr="00674A6B" w:rsidP="00674A6B" w14:paraId="1D27598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Пріоритетними завданнями у сфері соціального захисту та соціального забезпечення є забезпечення на території громади реалізації державної політики у сфері надання соціальних послуг, соціального захисту та соціального обслуговування населення, підвищення ефективності управління бюджетними коштами, забезпечення адресного характеру надання соціальної підтримки, підвищення рівня охоплення соціальною підтримкою незахищених верств населення, ветеранів війни, членів їх сімей, при раціональному використанні бюджетних коштів, подальше реформування сфери надання соціальних послуг та соціального захисту. </w:t>
      </w:r>
    </w:p>
    <w:p w:rsidR="00674A6B" w:rsidRPr="00674A6B" w:rsidP="00674A6B" w14:paraId="09A365B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В умовах військового стану в Україні існує необхідність надання додаткових соціальних гарантій ветеранам війни, членам їх сімей, пораненим військовослужбовцям, а також родинам у разі загибелі воїнів, які захищали незалежність, суверенітет та територіальну цілісність України, зокрема у частині поліпшення фінансово-матеріального стану зазначених категорій осіб.</w:t>
      </w:r>
    </w:p>
    <w:p w:rsidR="00674A6B" w:rsidP="00674A6B" w14:paraId="5C82021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Враховуючи аналітичні дані звернень громадян, з кожним роком збільшуються показники кількості заяв мешканців громади, які гостро потребують певних видів соціальних послуг, передусім адресної матеріальної грошової допомоги. Більшість таких звернень надходять від осіб похилого віку, ветеранів війни та членів сімей загиблих (померлих) воїнів, осіб з інвалідністю, багатодітних сімей та одиноких громадян як найбільш вразливої категорії населення, які найгостріше відчувають негативні наслідки погіршення економічної ситуації.</w:t>
      </w:r>
    </w:p>
    <w:p w:rsidR="00E15BA0" w:rsidRPr="00261AA5" w:rsidP="00674A6B" w14:paraId="539CBC81"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0297C3D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Цілі державної, регіональної та місцевої політики, реалізація яких здійснюватиметься у середньостроковий період:</w:t>
      </w:r>
    </w:p>
    <w:p w:rsidR="00674A6B" w:rsidRPr="00674A6B" w:rsidP="00674A6B" w14:paraId="1340D68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підвищення рівня життя вразливих категорій громадян, надання їм необхідних соціальних послуг; </w:t>
      </w:r>
    </w:p>
    <w:p w:rsidR="00674A6B" w:rsidRPr="00674A6B" w:rsidP="00674A6B" w14:paraId="39723D6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забезпечення підтримкою дітей-сиріт та дітей, позбавлених батьківського піклування, які перебувають під опікою чи піклуванням;</w:t>
      </w:r>
    </w:p>
    <w:p w:rsidR="00674A6B" w:rsidRPr="00674A6B" w:rsidP="00674A6B" w14:paraId="6EAA72C7"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оздоровлення дітей, які потребують особливої соціальної уваги та підтримки. </w:t>
      </w:r>
    </w:p>
    <w:p w:rsidR="00674A6B" w:rsidRPr="00674A6B" w:rsidP="00674A6B" w14:paraId="1C023EB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створення сприятливих умов життєдіяльності осіб з інвалідністю, їх соціальної реабілітації та вільного доступу до об’єктів соціального, громадського і житлового призначення на території громади;</w:t>
      </w:r>
    </w:p>
    <w:p w:rsidR="00674A6B" w:rsidP="00674A6B" w14:paraId="1D2DE20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попередження домашнього насильства у всіх його проявах.</w:t>
      </w:r>
    </w:p>
    <w:p w:rsidR="00E15BA0" w:rsidRPr="00261AA5" w:rsidP="00674A6B" w14:paraId="05CD38EB"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0444182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Показниками досягнення цілей є: </w:t>
      </w:r>
    </w:p>
    <w:p w:rsidR="00674A6B" w:rsidRPr="00674A6B" w:rsidP="00674A6B" w14:paraId="4360720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надання допомоги соціально незахищеним верствам населення, які зареєстровані та фактично проживають на території громади та внутрішньо переміщеним особам;</w:t>
      </w:r>
    </w:p>
    <w:p w:rsidR="00674A6B" w:rsidRPr="00674A6B" w:rsidP="00674A6B" w14:paraId="660458A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надання фінансової підтримки ветеранам війни, членам сімей загиблих (померлих) воїнів, які захищали незалежність, суверенітет та територіальну цілісність України; </w:t>
      </w:r>
    </w:p>
    <w:p w:rsidR="00674A6B" w:rsidP="00674A6B" w14:paraId="4FC9E92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створення безперешкодного доступу осіб з інвалідністю до об’єктів соціального, громадського та житлового призначення.</w:t>
      </w:r>
    </w:p>
    <w:p w:rsidR="00E15BA0" w:rsidRPr="00261AA5" w:rsidP="00674A6B" w14:paraId="0F51859E"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1001E83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У 2026 - 2028 роках плануються наступні заходи: </w:t>
      </w:r>
    </w:p>
    <w:p w:rsidR="00674A6B" w:rsidRPr="00674A6B" w:rsidP="00674A6B" w14:paraId="343558A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реалізація програм, спрямованих на соціальний захист населення Броварської міської територіальної громади;</w:t>
      </w:r>
    </w:p>
    <w:p w:rsidR="00674A6B" w:rsidRPr="00674A6B" w:rsidP="00674A6B" w14:paraId="7D97932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поліпшення надання соціальних послуг особам з інвалідністю;</w:t>
      </w:r>
    </w:p>
    <w:p w:rsidR="00674A6B" w:rsidRPr="00674A6B" w:rsidP="00674A6B" w14:paraId="3AF522C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підвищення рівня соціального захисту дітей-сиріт та дітей, позбавлених батьківського піклування, які перебувають під опікою чи піклуванням;</w:t>
      </w:r>
    </w:p>
    <w:p w:rsidR="00674A6B" w:rsidP="00674A6B" w14:paraId="6942E2A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підвищення ефективності використання бюджетних коштів соціального спрямування.</w:t>
      </w:r>
    </w:p>
    <w:p w:rsidR="00261AA5" w:rsidRPr="00261AA5" w:rsidP="00674A6B" w14:paraId="73651013"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45FE4F1A"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За рахунок коштів бюджету Броварської міської територіальної громади у середньостроковому періоді планується утримувати Центр соціальних служб, Броварський міський територіальний  центр  соціального обслуговування, міський Центр комплексної реабілітації дітей з інвалідністю, Броварський міський ветеранський центр «ВЕТЕРАН ПРО».</w:t>
      </w:r>
    </w:p>
    <w:p w:rsidR="00674A6B" w:rsidRPr="00674A6B" w:rsidP="00674A6B" w14:paraId="482D6CE4"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Крім того, на 2026 – 2028 роки передбачаються видатки на реалізацію міських програм соціального захисту та соціальної підтримки окремих категорій населення міста. </w:t>
      </w:r>
    </w:p>
    <w:p w:rsidR="00674A6B" w:rsidRPr="00E15BA0" w:rsidP="00674A6B" w14:paraId="11B73582" w14:textId="77777777">
      <w:pPr>
        <w:spacing w:after="0" w:line="240" w:lineRule="auto"/>
        <w:ind w:left="142"/>
        <w:jc w:val="both"/>
        <w:rPr>
          <w:rFonts w:ascii="Times New Roman" w:eastAsia="Calibri" w:hAnsi="Times New Roman" w:cs="Times New Roman"/>
          <w:color w:val="FF0000"/>
          <w:sz w:val="28"/>
          <w:szCs w:val="28"/>
          <w:lang w:eastAsia="en-US"/>
        </w:rPr>
      </w:pPr>
    </w:p>
    <w:p w:rsidR="00674A6B" w:rsidP="00674A6B" w14:paraId="3C8C6510" w14:textId="77777777">
      <w:pPr>
        <w:spacing w:after="0" w:line="240" w:lineRule="auto"/>
        <w:ind w:firstLine="567"/>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eastAsia="en-US"/>
        </w:rPr>
        <w:t>Культура і мистецтво</w:t>
      </w:r>
    </w:p>
    <w:p w:rsidR="00E15BA0" w:rsidRPr="00674A6B" w:rsidP="00674A6B" w14:paraId="0496BC97" w14:textId="77777777">
      <w:pPr>
        <w:spacing w:after="0" w:line="240" w:lineRule="auto"/>
        <w:ind w:firstLine="567"/>
        <w:jc w:val="center"/>
        <w:rPr>
          <w:rFonts w:ascii="Times New Roman" w:eastAsia="Calibri" w:hAnsi="Times New Roman" w:cs="Times New Roman"/>
          <w:sz w:val="28"/>
          <w:szCs w:val="28"/>
          <w:lang w:eastAsia="en-US"/>
        </w:rPr>
      </w:pPr>
    </w:p>
    <w:p w:rsidR="00674A6B" w:rsidRPr="00674A6B" w:rsidP="00674A6B" w14:paraId="710DF06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Пріоритетами розвитку галузі є: </w:t>
      </w:r>
    </w:p>
    <w:p w:rsidR="00674A6B" w:rsidRPr="00674A6B" w:rsidP="00674A6B" w14:paraId="3ECD68BA"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вдосконалення реалізації державної політики у сфері культури;</w:t>
      </w:r>
    </w:p>
    <w:p w:rsidR="00674A6B" w:rsidRPr="00674A6B" w:rsidP="00674A6B" w14:paraId="69378D6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збереження та подальший розвиток культурного потенціалу територіальної громади;</w:t>
      </w:r>
    </w:p>
    <w:p w:rsidR="00674A6B" w:rsidRPr="00674A6B" w:rsidP="00674A6B" w14:paraId="1338562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розвиток культурних традицій, збереження історичних цінностей, забезпечення доступності закладів культури для всіх верств населення;</w:t>
      </w:r>
    </w:p>
    <w:p w:rsidR="00674A6B" w:rsidP="00674A6B" w14:paraId="734CDBD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створення максимально сприятливих умов для творчого  формування особистості, розкриття її здібностей, задоволення духовних і естетичних проблем, відродження народної творчості та популяризації національних звичаїв та обрядів, організацію змістовного дозвілля, масового відпочинку та культурного обслуговування населення. </w:t>
      </w:r>
    </w:p>
    <w:p w:rsidR="00261AA5" w:rsidRPr="00261AA5" w:rsidP="00674A6B" w14:paraId="71B295E6"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6699EB1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Основні заходи для досягнення визначених завдань:</w:t>
      </w:r>
    </w:p>
    <w:p w:rsidR="00674A6B" w:rsidRPr="00674A6B" w:rsidP="00674A6B" w14:paraId="39DCCF7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проведення заходів, фестивалів, конкурсів, оглядів самодіяльної народної творчості;</w:t>
      </w:r>
    </w:p>
    <w:p w:rsidR="00674A6B" w:rsidRPr="00674A6B" w:rsidP="00674A6B" w14:paraId="670FB03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організація та проведення інформаційних заходів шляхом участі молоді у </w:t>
      </w:r>
      <w:r w:rsidRPr="00674A6B">
        <w:rPr>
          <w:rFonts w:ascii="Times New Roman" w:eastAsia="Times New Roman" w:hAnsi="Times New Roman" w:cs="Times New Roman"/>
          <w:sz w:val="28"/>
          <w:szCs w:val="28"/>
          <w:lang w:eastAsia="ru-RU"/>
        </w:rPr>
        <w:t>тренінгових програмах, акціях, семінарах, конкурсах;</w:t>
      </w:r>
    </w:p>
    <w:p w:rsidR="00674A6B" w:rsidRPr="00674A6B" w:rsidP="00674A6B" w14:paraId="5FE9143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підтримка та розвиток творчої, інтелектуально обдарованої молоді, забезпечення змістовного дозвілля молоді;</w:t>
      </w:r>
    </w:p>
    <w:p w:rsidR="00674A6B" w:rsidP="00674A6B" w14:paraId="0BB945B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підвищення якості бібліотечно-інформаційного обслуговування користувачів, формування фондів бібліотек літературою, створення максимально комфортних умов з метою ефективного обслуговування користувачів бібліотек.</w:t>
      </w:r>
    </w:p>
    <w:p w:rsidR="00261AA5" w:rsidRPr="00261AA5" w:rsidP="00674A6B" w14:paraId="47AD8349"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5DB45F1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Результати, яких планується досягти від реалізації заходів:</w:t>
      </w:r>
    </w:p>
    <w:p w:rsidR="00674A6B" w:rsidRPr="00674A6B" w:rsidP="00674A6B" w14:paraId="6BB1A90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популяризація кращих досягнень, обмін досвідом, розвиток творчої  майстерності; </w:t>
      </w:r>
    </w:p>
    <w:p w:rsidR="00674A6B" w:rsidRPr="00674A6B" w:rsidP="00674A6B" w14:paraId="19ADAAE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підвищення рівня виконавської майстерності, піднесення іміджу Броварської громади на українській та світовій культурній ниві;</w:t>
      </w:r>
    </w:p>
    <w:p w:rsidR="00674A6B" w:rsidRPr="00674A6B" w:rsidP="00674A6B" w14:paraId="3681955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покращення якості бібліотечного обслуговування, охоплення ним населення територіальної громади різних вікових і соціальних груп;</w:t>
      </w:r>
    </w:p>
    <w:p w:rsidR="00674A6B" w:rsidP="00674A6B" w14:paraId="244BF4E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збереження українських національних традицій, підтримка обдарованої молоді та урізноманітнення проведення культурно-масових заходів.</w:t>
      </w:r>
    </w:p>
    <w:p w:rsidR="00261AA5" w:rsidRPr="00261AA5" w:rsidP="00674A6B" w14:paraId="4D72BA1F"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10FE9C15" w14:textId="77777777">
      <w:pPr>
        <w:spacing w:after="0" w:line="240" w:lineRule="auto"/>
        <w:ind w:firstLine="567"/>
        <w:jc w:val="both"/>
        <w:rPr>
          <w:rFonts w:ascii="Times New Roman" w:eastAsia="Times New Roman" w:hAnsi="Times New Roman" w:cs="Times New Roman"/>
          <w:sz w:val="28"/>
          <w:szCs w:val="20"/>
          <w:lang w:eastAsia="ru-RU"/>
        </w:rPr>
      </w:pPr>
      <w:r w:rsidRPr="00674A6B">
        <w:rPr>
          <w:rFonts w:ascii="Times New Roman" w:eastAsia="Calibri" w:hAnsi="Times New Roman" w:cs="Times New Roman"/>
          <w:sz w:val="28"/>
          <w:szCs w:val="28"/>
          <w:lang w:eastAsia="en-US"/>
        </w:rPr>
        <w:t>За рахунок коштів бюджету міської територіальної громади у середньостроковому періоді планується утримувати</w:t>
      </w:r>
      <w:r w:rsidRPr="00674A6B">
        <w:rPr>
          <w:rFonts w:ascii="Times New Roman" w:eastAsia="Calibri" w:hAnsi="Times New Roman" w:cs="Times New Roman"/>
          <w:sz w:val="28"/>
          <w:lang w:eastAsia="en-US"/>
        </w:rPr>
        <w:t xml:space="preserve"> </w:t>
      </w:r>
      <w:r w:rsidRPr="00674A6B">
        <w:rPr>
          <w:rFonts w:ascii="Times New Roman" w:eastAsia="Times New Roman" w:hAnsi="Times New Roman" w:cs="Times New Roman"/>
          <w:sz w:val="28"/>
          <w:szCs w:val="20"/>
          <w:lang w:eastAsia="ru-RU"/>
        </w:rPr>
        <w:t xml:space="preserve">5 бібліотек, </w:t>
      </w:r>
      <w:r w:rsidRPr="00674A6B">
        <w:rPr>
          <w:rFonts w:ascii="Times New Roman" w:eastAsia="Times New Roman" w:hAnsi="Times New Roman" w:cs="Times New Roman"/>
          <w:bCs/>
          <w:sz w:val="28"/>
          <w:szCs w:val="28"/>
          <w:shd w:val="clear" w:color="auto" w:fill="FFFFFF"/>
          <w:lang w:eastAsia="ru-RU"/>
        </w:rPr>
        <w:t>Комунальний заклад клубного типу «Культурно-інноваційна платформа «ТепЛиця»,</w:t>
      </w:r>
      <w:r w:rsidRPr="00674A6B">
        <w:rPr>
          <w:rFonts w:ascii="Times New Roman" w:eastAsia="Times New Roman" w:hAnsi="Times New Roman" w:cs="Times New Roman"/>
          <w:sz w:val="28"/>
          <w:szCs w:val="20"/>
          <w:lang w:eastAsia="ru-RU"/>
        </w:rPr>
        <w:t xml:space="preserve"> </w:t>
      </w:r>
      <w:r w:rsidRPr="00674A6B">
        <w:rPr>
          <w:rFonts w:ascii="Times New Roman" w:eastAsia="Times New Roman" w:hAnsi="Times New Roman" w:cs="Times New Roman"/>
          <w:bCs/>
          <w:sz w:val="28"/>
          <w:szCs w:val="28"/>
          <w:shd w:val="clear" w:color="auto" w:fill="FFFFFF"/>
          <w:lang w:eastAsia="ru-RU"/>
        </w:rPr>
        <w:t>Комунальний заклад «М</w:t>
      </w:r>
      <w:r w:rsidRPr="00674A6B">
        <w:rPr>
          <w:rFonts w:ascii="Times New Roman" w:eastAsia="Times New Roman" w:hAnsi="Times New Roman" w:cs="Times New Roman"/>
          <w:sz w:val="28"/>
          <w:szCs w:val="20"/>
          <w:lang w:eastAsia="ru-RU"/>
        </w:rPr>
        <w:t>іський  культурний  центр»</w:t>
      </w:r>
      <w:r w:rsidRPr="00674A6B">
        <w:rPr>
          <w:rFonts w:ascii="Times New Roman" w:eastAsia="Times New Roman" w:hAnsi="Times New Roman" w:cs="Times New Roman"/>
          <w:sz w:val="28"/>
          <w:szCs w:val="28"/>
          <w:shd w:val="clear" w:color="auto" w:fill="FFFFFF"/>
          <w:lang w:eastAsia="ru-RU"/>
        </w:rPr>
        <w:t>,</w:t>
      </w:r>
      <w:r w:rsidRPr="00674A6B">
        <w:rPr>
          <w:rFonts w:ascii="Times New Roman" w:eastAsia="Times New Roman" w:hAnsi="Times New Roman" w:cs="Times New Roman"/>
          <w:sz w:val="28"/>
          <w:szCs w:val="20"/>
          <w:lang w:eastAsia="ru-RU"/>
        </w:rPr>
        <w:t xml:space="preserve"> міський клуб, будинок культури с. Княжичі, будинок культури с. Требухів, сільський клуб с. Сотницьке, краєзнавчий  музей, централізована  бухгалтерія.</w:t>
      </w:r>
    </w:p>
    <w:p w:rsidR="00674A6B" w:rsidRPr="00E15BA0" w:rsidP="00674A6B" w14:paraId="12B68F86" w14:textId="77777777">
      <w:pPr>
        <w:spacing w:after="0" w:line="240" w:lineRule="auto"/>
        <w:ind w:firstLine="567"/>
        <w:jc w:val="both"/>
        <w:rPr>
          <w:rFonts w:ascii="Times New Roman" w:eastAsia="Times New Roman" w:hAnsi="Times New Roman" w:cs="Times New Roman"/>
          <w:sz w:val="28"/>
          <w:szCs w:val="28"/>
          <w:lang w:eastAsia="ru-RU"/>
        </w:rPr>
      </w:pPr>
    </w:p>
    <w:p w:rsidR="00674A6B" w:rsidP="00674A6B" w14:paraId="00ACBC82" w14:textId="77777777">
      <w:pPr>
        <w:spacing w:after="0" w:line="240" w:lineRule="auto"/>
        <w:ind w:firstLine="567"/>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eastAsia="en-US"/>
        </w:rPr>
        <w:t>Фізична культура і спорт</w:t>
      </w:r>
    </w:p>
    <w:p w:rsidR="00E15BA0" w:rsidRPr="00674A6B" w:rsidP="00674A6B" w14:paraId="51AB04DF" w14:textId="77777777">
      <w:pPr>
        <w:spacing w:after="0" w:line="240" w:lineRule="auto"/>
        <w:ind w:firstLine="567"/>
        <w:jc w:val="center"/>
        <w:rPr>
          <w:rFonts w:ascii="Times New Roman" w:eastAsia="Calibri" w:hAnsi="Times New Roman" w:cs="Times New Roman"/>
          <w:sz w:val="28"/>
          <w:szCs w:val="28"/>
          <w:lang w:eastAsia="en-US"/>
        </w:rPr>
      </w:pPr>
    </w:p>
    <w:p w:rsidR="00674A6B" w:rsidP="00674A6B" w14:paraId="7DC87CD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Метою діяльності галузі «Фізична культура і спорт» є створення умов для залучення широких верств населення до масового спорту, популяризації здорового способу життя, максимальної реалізації здібностей обдарованої молоді у спорті.</w:t>
      </w:r>
    </w:p>
    <w:p w:rsidR="00261AA5" w:rsidRPr="00261AA5" w:rsidP="00674A6B" w14:paraId="6B2D7FBB"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0F6B795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Пріоритетами розвитку галузі є:</w:t>
      </w:r>
    </w:p>
    <w:p w:rsidR="00674A6B" w:rsidRPr="00674A6B" w:rsidP="00674A6B" w14:paraId="2919D27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формування у населення традицій щодо занять фізичною культурою і спортом, як важливих складових забезпечення здорового способу життя;</w:t>
      </w:r>
    </w:p>
    <w:p w:rsidR="00674A6B" w:rsidRPr="00674A6B" w:rsidP="00674A6B" w14:paraId="5EAD233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удосконалення системи дитячо-юнацького спорту, створення умов для розвитку індивідуальних здібностей спортсменів на етапах багаторічної підготовки; </w:t>
      </w:r>
    </w:p>
    <w:p w:rsidR="00674A6B" w:rsidRPr="00674A6B" w:rsidP="00674A6B" w14:paraId="332C96A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створення сучасних спортивних об’єктів для занять фізичною культурою та спортом за місцем проживання і в зонах масового відпочинку населення; </w:t>
      </w:r>
    </w:p>
    <w:p w:rsidR="00674A6B" w:rsidRPr="00674A6B" w:rsidP="00674A6B" w14:paraId="509B40F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забезпечення охоплення школярів заняттями в спортивних школах та секціях;</w:t>
      </w:r>
    </w:p>
    <w:p w:rsidR="00674A6B" w:rsidP="00674A6B" w14:paraId="6F17BFC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підтримка та розвиток олімпійських та неолімпійських видів спорту. </w:t>
      </w:r>
    </w:p>
    <w:p w:rsidR="00261AA5" w:rsidRPr="00261AA5" w:rsidP="00674A6B" w14:paraId="4B8A076B"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7D245DA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Основні заходи для досягнення визначених завдань:</w:t>
      </w:r>
    </w:p>
    <w:p w:rsidR="00674A6B" w:rsidRPr="00674A6B" w:rsidP="00674A6B" w14:paraId="7728AF6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збереження та розвиток мережі фізкультурно-спортивних установ;</w:t>
      </w:r>
    </w:p>
    <w:p w:rsidR="00674A6B" w:rsidRPr="00674A6B" w:rsidP="00674A6B" w14:paraId="6EDDA1A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проведення навчально-тренувальних зборів та змагань для вихованців </w:t>
      </w:r>
      <w:r w:rsidRPr="00674A6B">
        <w:rPr>
          <w:rFonts w:ascii="Times New Roman" w:eastAsia="Times New Roman" w:hAnsi="Times New Roman" w:cs="Times New Roman"/>
          <w:sz w:val="28"/>
          <w:szCs w:val="28"/>
          <w:lang w:eastAsia="ru-RU"/>
        </w:rPr>
        <w:t xml:space="preserve">ДЮСШ; </w:t>
      </w:r>
    </w:p>
    <w:p w:rsidR="00674A6B" w:rsidRPr="00674A6B" w:rsidP="00674A6B" w14:paraId="478FC6DB"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організація фізкультурно-спортивних заходів з олімпійських та неолімпійських видів спорту з метою пропаганди здорового способу життя;</w:t>
      </w:r>
    </w:p>
    <w:p w:rsidR="00674A6B" w:rsidRPr="00674A6B" w:rsidP="00674A6B" w14:paraId="71CCA02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організація та проведення загальноміських фізкультурно-оздоровчих та спортивно-масових заходів;</w:t>
      </w:r>
    </w:p>
    <w:p w:rsidR="00674A6B" w:rsidRPr="00674A6B" w:rsidP="00674A6B" w14:paraId="5228641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забезпечення участі провідних спортсменів громади  у змаганнях різних рівнів з олімпійських та неолімпійських видів спорту;</w:t>
      </w:r>
    </w:p>
    <w:p w:rsidR="00674A6B" w:rsidP="00674A6B" w14:paraId="7294861E" w14:textId="6DFDCFED">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створення умов для занять фізичною культурою і спортом шляхом зміцнення матеріально-технічної бази закладів фізкультури, реконстр</w:t>
      </w:r>
      <w:r w:rsidR="00261AA5">
        <w:rPr>
          <w:rFonts w:ascii="Times New Roman" w:eastAsia="Times New Roman" w:hAnsi="Times New Roman" w:cs="Times New Roman"/>
          <w:sz w:val="28"/>
          <w:szCs w:val="28"/>
          <w:lang w:eastAsia="ru-RU"/>
        </w:rPr>
        <w:t>укція спортивних споруд громади.</w:t>
      </w:r>
    </w:p>
    <w:p w:rsidR="00261AA5" w:rsidRPr="00261AA5" w:rsidP="00674A6B" w14:paraId="3D1EB56D"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46EA1CD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Результати, яких планується досягти від реалізації заходів:</w:t>
      </w:r>
    </w:p>
    <w:p w:rsidR="00674A6B" w:rsidRPr="00674A6B" w:rsidP="00674A6B" w14:paraId="1E614C2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збільшення кількості населення, яке займається фізичною культурою і спортом під час проведення загальноміських спортивно-оздоровчих заходів;</w:t>
      </w:r>
    </w:p>
    <w:p w:rsidR="00674A6B" w:rsidRPr="00674A6B" w:rsidP="00674A6B" w14:paraId="15B4660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залучення дітей та молоді до занять у дитячо-юнацькій спортивній школі, створити умови для розвитку резервного спорту та ефективного поповнення складу збірних команд громади, області та України;</w:t>
      </w:r>
    </w:p>
    <w:p w:rsidR="00674A6B" w:rsidRPr="00674A6B" w:rsidP="00674A6B" w14:paraId="44BA711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розвиток та популяризація нових олімпійських та неолімпійських видів спорту, загальне збільшення кількості молодих людей, які систематично займаються спортом;</w:t>
      </w:r>
    </w:p>
    <w:p w:rsidR="00674A6B" w:rsidRPr="00674A6B" w:rsidP="00674A6B" w14:paraId="3F9207DA"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збільшення відсотка дітей, які систематично займаються спортом, від загальної кількості мешканців територіальної громади, покращення рівня пропаганди здорового способу життя, покращення спортивних результатів мешканців громади на міжнародних та всеукраїнських змаганнях;</w:t>
      </w:r>
    </w:p>
    <w:p w:rsidR="00674A6B" w:rsidRPr="00674A6B" w:rsidP="00674A6B" w14:paraId="6044176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забезпечення належної підготовки та успішної участі спортсменів у змаганнях різних рівнів для збереження передових позицій та підвищення авторитету громади у всеукраїнському та світовому спортивному співтоваристві;</w:t>
      </w:r>
    </w:p>
    <w:p w:rsidR="00674A6B" w:rsidP="00674A6B" w14:paraId="2F41AE4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поступове оновлення спортивної матеріально-технічної бази закладів фізичної культури і спорту, зокрема дитячо-юнацької спортивної школи.</w:t>
      </w:r>
    </w:p>
    <w:p w:rsidR="00261AA5" w:rsidRPr="00261AA5" w:rsidP="00674A6B" w14:paraId="5E22F9E0"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05C7523B" w14:textId="77777777">
      <w:pPr>
        <w:spacing w:after="0" w:line="240" w:lineRule="auto"/>
        <w:ind w:firstLine="567"/>
        <w:jc w:val="both"/>
        <w:rPr>
          <w:rFonts w:ascii="Times New Roman" w:eastAsia="Calibri" w:hAnsi="Times New Roman" w:cs="Times New Roman"/>
          <w:sz w:val="28"/>
          <w:lang w:eastAsia="en-US"/>
        </w:rPr>
      </w:pPr>
      <w:r w:rsidRPr="00674A6B">
        <w:rPr>
          <w:rFonts w:ascii="Times New Roman" w:eastAsia="Calibri" w:hAnsi="Times New Roman" w:cs="Times New Roman"/>
          <w:sz w:val="28"/>
          <w:szCs w:val="28"/>
          <w:lang w:eastAsia="en-US"/>
        </w:rPr>
        <w:t>За рахунок коштів бюджету громади у середньостроковому періоді планується утримувати</w:t>
      </w:r>
      <w:r w:rsidRPr="00674A6B">
        <w:rPr>
          <w:rFonts w:ascii="Times New Roman" w:eastAsia="Calibri" w:hAnsi="Times New Roman" w:cs="Times New Roman"/>
          <w:sz w:val="28"/>
          <w:lang w:eastAsia="en-US"/>
        </w:rPr>
        <w:t xml:space="preserve"> 3 дитячо-юнацькі спортивні школи, спорткомплекс «Світлотехніка», плавальний басейн «Купава», надавати</w:t>
      </w:r>
      <w:r w:rsidRPr="00674A6B">
        <w:rPr>
          <w:rFonts w:ascii="Times New Roman" w:eastAsia="Calibri" w:hAnsi="Times New Roman" w:cs="Times New Roman"/>
          <w:sz w:val="28"/>
          <w:szCs w:val="28"/>
          <w:lang w:eastAsia="en-US"/>
        </w:rPr>
        <w:t xml:space="preserve"> фінансову підтримку комунальним підприємствам Броварської міської ради «Оздоровчо - реабілітаційний центр»</w:t>
      </w:r>
      <w:r w:rsidRPr="00674A6B">
        <w:rPr>
          <w:rFonts w:ascii="Times New Roman" w:eastAsia="Calibri" w:hAnsi="Times New Roman" w:cs="Times New Roman"/>
          <w:sz w:val="28"/>
          <w:lang w:eastAsia="en-US"/>
        </w:rPr>
        <w:t xml:space="preserve"> та «Міський футбольний клуб «Бровари»,  проводити навчально-тренувальні збори і змагання.</w:t>
      </w:r>
      <w:r w:rsidRPr="00674A6B">
        <w:rPr>
          <w:rFonts w:ascii="Times New Roman" w:eastAsia="Calibri" w:hAnsi="Times New Roman" w:cs="Times New Roman"/>
          <w:sz w:val="28"/>
          <w:szCs w:val="28"/>
          <w:lang w:eastAsia="en-US"/>
        </w:rPr>
        <w:t xml:space="preserve"> </w:t>
      </w:r>
    </w:p>
    <w:p w:rsidR="00674A6B" w:rsidRPr="00E15BA0" w:rsidP="00674A6B" w14:paraId="4AAA47A6" w14:textId="77777777">
      <w:pPr>
        <w:spacing w:after="0" w:line="240" w:lineRule="auto"/>
        <w:jc w:val="both"/>
        <w:rPr>
          <w:rFonts w:ascii="Times New Roman" w:eastAsia="Calibri" w:hAnsi="Times New Roman" w:cs="Times New Roman"/>
          <w:sz w:val="28"/>
          <w:szCs w:val="28"/>
          <w:lang w:eastAsia="en-US"/>
        </w:rPr>
      </w:pPr>
    </w:p>
    <w:p w:rsidR="00674A6B" w:rsidP="00674A6B" w14:paraId="018B7736" w14:textId="77777777">
      <w:pPr>
        <w:spacing w:after="0" w:line="240" w:lineRule="auto"/>
        <w:ind w:firstLine="567"/>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eastAsia="en-US"/>
        </w:rPr>
        <w:t>Житлово-комунальне господарство</w:t>
      </w:r>
    </w:p>
    <w:p w:rsidR="00E15BA0" w:rsidRPr="00674A6B" w:rsidP="00674A6B" w14:paraId="298BE276" w14:textId="77777777">
      <w:pPr>
        <w:spacing w:after="0" w:line="240" w:lineRule="auto"/>
        <w:ind w:firstLine="567"/>
        <w:jc w:val="center"/>
        <w:rPr>
          <w:rFonts w:ascii="Times New Roman" w:eastAsia="Calibri" w:hAnsi="Times New Roman" w:cs="Times New Roman"/>
          <w:b/>
          <w:sz w:val="28"/>
          <w:szCs w:val="28"/>
          <w:lang w:eastAsia="en-US"/>
        </w:rPr>
      </w:pPr>
    </w:p>
    <w:p w:rsidR="00674A6B" w:rsidRPr="00674A6B" w:rsidP="00674A6B" w14:paraId="5E69062B"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Пріоритетними напрямками розвитку житлово-комунального господарства є:</w:t>
      </w:r>
    </w:p>
    <w:p w:rsidR="00674A6B" w:rsidRPr="00674A6B" w:rsidP="00674A6B" w14:paraId="7E1E784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задоволення потреб мешканців в усіх видах житлово-комунальних послуг;</w:t>
      </w:r>
    </w:p>
    <w:p w:rsidR="00674A6B" w:rsidRPr="00674A6B" w:rsidP="00674A6B" w14:paraId="71F8831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створення комфортних умов для проживання та надання їм якісних </w:t>
      </w:r>
      <w:r w:rsidRPr="00674A6B">
        <w:rPr>
          <w:rFonts w:ascii="Times New Roman" w:eastAsia="Times New Roman" w:hAnsi="Times New Roman" w:cs="Times New Roman"/>
          <w:sz w:val="28"/>
          <w:szCs w:val="28"/>
          <w:lang w:eastAsia="ru-RU"/>
        </w:rPr>
        <w:t>житлово-комунальних послуг;</w:t>
      </w:r>
    </w:p>
    <w:p w:rsidR="00674A6B" w:rsidRPr="00674A6B" w:rsidP="00674A6B" w14:paraId="65C9368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належне утримання об’єктів комунальної власності;</w:t>
      </w:r>
    </w:p>
    <w:p w:rsidR="00674A6B" w:rsidRPr="00674A6B" w:rsidP="00674A6B" w14:paraId="733EF0E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реконструкція системи теплопостачання міста;</w:t>
      </w:r>
    </w:p>
    <w:p w:rsidR="00674A6B" w:rsidRPr="00674A6B" w:rsidP="00674A6B" w14:paraId="50ABB4EA"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збільшення обсягів робіт капітального ремонту житлового фонду, ліфтів та об’єктів благоустрою;</w:t>
      </w:r>
    </w:p>
    <w:p w:rsidR="00674A6B" w:rsidP="00674A6B" w14:paraId="6648524B"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реконструкція мережі водопровідно-каналізаційної мережі.</w:t>
      </w:r>
    </w:p>
    <w:p w:rsidR="00261AA5" w:rsidRPr="00261AA5" w:rsidP="00674A6B" w14:paraId="64FE2308"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P="00674A6B" w14:paraId="7F89E68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У сфері дорожнього господарства у прогнозному періоді передбачається здійснити заходи із поліпшення транспортно-експлуатаційного стану існуючих автомобільних доріг, проведення робіт з реконструкції і ремонту доріг територіальної громади, капітального ремонту тротуарів, підвищення безпеки дорожнього руху. </w:t>
      </w:r>
    </w:p>
    <w:p w:rsidR="00261AA5" w:rsidRPr="00261AA5" w:rsidP="00674A6B" w14:paraId="7ED8FA10"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685EB13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Основними завданнями та напрямами, за якими буде продовжено роботу в галузі житлово-комунального та дорожнього господарства, є: </w:t>
      </w:r>
    </w:p>
    <w:p w:rsidR="00674A6B" w:rsidRPr="00674A6B" w:rsidP="00674A6B" w14:paraId="13C1B73E" w14:textId="77777777">
      <w:pPr>
        <w:tabs>
          <w:tab w:val="left" w:pos="567"/>
        </w:tabs>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благоустрій міста;</w:t>
      </w:r>
    </w:p>
    <w:p w:rsidR="00674A6B" w:rsidRPr="00674A6B" w:rsidP="00674A6B" w14:paraId="099F8FB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покращення стану будинків та умов проживання у них; </w:t>
      </w:r>
    </w:p>
    <w:p w:rsidR="00674A6B" w:rsidRPr="00674A6B" w:rsidP="00674A6B" w14:paraId="4958BF7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освітлення території громади із застосуванням енергоощадних світильників; </w:t>
      </w:r>
    </w:p>
    <w:p w:rsidR="00674A6B" w:rsidRPr="00674A6B" w:rsidP="00674A6B" w14:paraId="6CB6E2B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модернізація системи теплопостачання та оптимізації потужностей джерел теплової енергії;</w:t>
      </w:r>
    </w:p>
    <w:p w:rsidR="00674A6B" w:rsidRPr="00674A6B" w:rsidP="00674A6B" w14:paraId="3F25860A"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покращення стану вулиць, автомобільних доріг та мостів комунальної власності ;</w:t>
      </w:r>
    </w:p>
    <w:p w:rsidR="00674A6B" w:rsidRPr="00674A6B" w:rsidP="00674A6B" w14:paraId="1D94009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покращення технічного стану водопровідно-каналізаційної мережі, систем центрального теплопостачання.</w:t>
      </w:r>
    </w:p>
    <w:p w:rsidR="00674A6B" w:rsidRPr="00674A6B" w:rsidP="00674A6B" w14:paraId="51E70A87"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відновлення та створення нових зелених зон культурно-масового відпочинку;</w:t>
      </w:r>
    </w:p>
    <w:p w:rsidR="00674A6B" w:rsidRPr="00674A6B" w:rsidP="00674A6B" w14:paraId="278BB1F0"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збереження та утримання на належному рівні кладовищ, світлофорних об’єктів, бюветів та фонтанів;</w:t>
      </w:r>
    </w:p>
    <w:p w:rsidR="00674A6B" w:rsidRPr="00674A6B" w:rsidP="00674A6B" w14:paraId="3536164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Надання кредитів на 2026- 2028 роки не прогнозується. Додаток 8 до «Прогнозу бюджету Броварської міської територіальної громади на 2026-2028 роки» не подається у зв’язку з відсутністю показників.</w:t>
      </w:r>
    </w:p>
    <w:p w:rsidR="00674A6B" w:rsidRPr="00E15BA0" w:rsidP="00674A6B" w14:paraId="7702B188" w14:textId="77777777">
      <w:pPr>
        <w:spacing w:after="0" w:line="240" w:lineRule="auto"/>
        <w:ind w:firstLine="709"/>
        <w:jc w:val="both"/>
        <w:rPr>
          <w:rFonts w:ascii="Times New Roman" w:eastAsia="Times New Roman" w:hAnsi="Times New Roman" w:cs="Times New Roman"/>
          <w:color w:val="7030A0"/>
          <w:sz w:val="28"/>
          <w:szCs w:val="28"/>
          <w:lang w:eastAsia="ru-RU"/>
        </w:rPr>
      </w:pPr>
    </w:p>
    <w:p w:rsidR="00674A6B" w:rsidP="00674A6B" w14:paraId="3D61B0A2" w14:textId="77777777">
      <w:pPr>
        <w:spacing w:after="0" w:line="240" w:lineRule="auto"/>
        <w:ind w:firstLine="709"/>
        <w:jc w:val="center"/>
        <w:rPr>
          <w:rFonts w:ascii="Times New Roman" w:eastAsia="Times New Roman" w:hAnsi="Times New Roman" w:cs="Times New Roman"/>
          <w:b/>
          <w:sz w:val="28"/>
          <w:szCs w:val="28"/>
          <w:lang w:eastAsia="ru-RU"/>
        </w:rPr>
      </w:pPr>
      <w:r w:rsidRPr="00674A6B">
        <w:rPr>
          <w:rFonts w:ascii="Times New Roman" w:eastAsia="Times New Roman" w:hAnsi="Times New Roman" w:cs="Times New Roman"/>
          <w:b/>
          <w:sz w:val="28"/>
          <w:szCs w:val="28"/>
          <w:lang w:eastAsia="ru-RU"/>
        </w:rPr>
        <w:t>Економічна та інша діяльність</w:t>
      </w:r>
    </w:p>
    <w:p w:rsidR="00E15BA0" w:rsidRPr="00674A6B" w:rsidP="00674A6B" w14:paraId="5A88861B" w14:textId="77777777">
      <w:pPr>
        <w:spacing w:after="0" w:line="240" w:lineRule="auto"/>
        <w:ind w:firstLine="709"/>
        <w:jc w:val="center"/>
        <w:rPr>
          <w:rFonts w:ascii="Times New Roman" w:eastAsia="Times New Roman" w:hAnsi="Times New Roman" w:cs="Times New Roman"/>
          <w:b/>
          <w:sz w:val="28"/>
          <w:szCs w:val="28"/>
          <w:lang w:eastAsia="ru-RU"/>
        </w:rPr>
      </w:pPr>
    </w:p>
    <w:p w:rsidR="00674A6B" w:rsidP="00674A6B" w14:paraId="67C204DA"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Пріоритетами у розвитку економічної діяльності є організація сприятливого і комфортного життєвого простору шляхом створення умов для розвитку соціальної інфраструктури громади, забезпечення ефективного та надійного функціонування інженерних мереж і комунікацій, сприяння підвищенню комфортного проживання громадян на території громади. </w:t>
      </w:r>
    </w:p>
    <w:p w:rsidR="00261AA5" w:rsidRPr="00261AA5" w:rsidP="00674A6B" w14:paraId="0492E76A" w14:textId="77777777">
      <w:pPr>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1940FC69"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Цілі державної, регіональної та місцевої політики, реалізація яких здійснюватиметься в середньостроковому періоді: </w:t>
      </w:r>
    </w:p>
    <w:p w:rsidR="00674A6B" w:rsidRPr="00674A6B" w:rsidP="00674A6B" w14:paraId="6D1FFA1F"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формування сприятливого інвестиційного клімату, позитивного інвестиційного іміджу та просування на зовнішній ринок інвестиційних можливостей регіону;</w:t>
      </w:r>
    </w:p>
    <w:p w:rsidR="00674A6B" w:rsidRPr="00674A6B" w:rsidP="00674A6B" w14:paraId="7ECB5704"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 створення сприятливих умов для проведення підприємницької діяльності; </w:t>
      </w:r>
    </w:p>
    <w:p w:rsidR="00674A6B" w:rsidRPr="00674A6B" w:rsidP="00674A6B" w14:paraId="59D639E6"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здійснення заходів із землеустрою;</w:t>
      </w:r>
    </w:p>
    <w:p w:rsidR="00674A6B" w:rsidRPr="00674A6B" w:rsidP="00674A6B" w14:paraId="0A7819BB"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розвиток дорожньо-транспортної інфраструктури громади;</w:t>
      </w:r>
    </w:p>
    <w:p w:rsidR="00674A6B" w:rsidRPr="00674A6B" w:rsidP="00674A6B" w14:paraId="3C7FC0FF"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організація ефективного управління у громаді при виникненні надзвичайної ситуації, а також в умовах військового стану в Україні; </w:t>
      </w:r>
    </w:p>
    <w:p w:rsidR="00674A6B" w:rsidP="00674A6B" w14:paraId="0C1BDAF8" w14:textId="7B586A45">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створення необхідного запасу матеріального резер</w:t>
      </w:r>
      <w:r w:rsidR="00261AA5">
        <w:rPr>
          <w:rFonts w:ascii="Times New Roman" w:eastAsia="Times New Roman" w:hAnsi="Times New Roman" w:cs="Times New Roman"/>
          <w:sz w:val="28"/>
          <w:szCs w:val="28"/>
          <w:lang w:eastAsia="ru-RU"/>
        </w:rPr>
        <w:t>ву, товарів першої необхідності.</w:t>
      </w:r>
    </w:p>
    <w:p w:rsidR="00261AA5" w:rsidRPr="00261AA5" w:rsidP="00674A6B" w14:paraId="024A66DA" w14:textId="77777777">
      <w:pPr>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23AC17E3"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Показниками досягнення цілей є: </w:t>
      </w:r>
    </w:p>
    <w:p w:rsidR="00674A6B" w:rsidRPr="00674A6B" w:rsidP="00674A6B" w14:paraId="1C1D375C"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популяризація інвестиційного потенціалу Броварської міської територіальної громади; </w:t>
      </w:r>
    </w:p>
    <w:p w:rsidR="00674A6B" w:rsidRPr="00674A6B" w:rsidP="00674A6B" w14:paraId="27E17A5F"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сприяння залученню фінансування міжнародних фінансових інститутів;</w:t>
      </w:r>
    </w:p>
    <w:p w:rsidR="00674A6B" w:rsidRPr="00674A6B" w:rsidP="00674A6B" w14:paraId="10205FF6"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поліпшення стану покриття вулично-шляхової мережі на території громади;</w:t>
      </w:r>
    </w:p>
    <w:p w:rsidR="00674A6B" w:rsidRPr="00674A6B" w:rsidP="00674A6B" w14:paraId="450E24DA"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площа облаштованих спеціальних приміщень та захисних споруд на території громади;</w:t>
      </w:r>
    </w:p>
    <w:p w:rsidR="00674A6B" w:rsidP="00674A6B" w14:paraId="4AA899C9"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своєчасність та повнота проведення закупівель матеріального резерву.</w:t>
      </w:r>
    </w:p>
    <w:p w:rsidR="00E15BA0" w:rsidRPr="00261AA5" w:rsidP="00674A6B" w14:paraId="39E12895" w14:textId="77777777">
      <w:pPr>
        <w:spacing w:after="0" w:line="240" w:lineRule="auto"/>
        <w:ind w:firstLine="567"/>
        <w:jc w:val="both"/>
        <w:rPr>
          <w:rFonts w:ascii="Times New Roman" w:eastAsia="Times New Roman" w:hAnsi="Times New Roman" w:cs="Times New Roman"/>
          <w:sz w:val="10"/>
          <w:szCs w:val="10"/>
          <w:lang w:eastAsia="ru-RU"/>
        </w:rPr>
      </w:pPr>
    </w:p>
    <w:p w:rsidR="00674A6B" w:rsidRPr="00674A6B" w:rsidP="00674A6B" w14:paraId="41207EA6"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У 2026 – 2028 роках буде продовжено реалізацію впровадженої системи фінансування заходів з розвитку дорожньо-транспортної інфраструктури, зокрема, за рахунок бюджету Броварської міської територіальної громади фінансовий ресурс буде спрямовано на покращення якості дорожнього покриття та дорожньої мережі громади, оскільки якісна та розвинена дорожня інфраструктура стимулює розвиток економіки регіону.</w:t>
      </w:r>
    </w:p>
    <w:p w:rsidR="00674A6B" w:rsidRPr="00E15BA0" w:rsidP="00674A6B" w14:paraId="16A77CDA" w14:textId="77777777">
      <w:pPr>
        <w:spacing w:after="0" w:line="240" w:lineRule="auto"/>
        <w:ind w:firstLine="567"/>
        <w:jc w:val="both"/>
        <w:rPr>
          <w:rFonts w:ascii="Times New Roman" w:eastAsia="Times New Roman" w:hAnsi="Times New Roman" w:cs="Times New Roman"/>
          <w:sz w:val="28"/>
          <w:szCs w:val="28"/>
          <w:lang w:eastAsia="ru-RU"/>
        </w:rPr>
      </w:pPr>
    </w:p>
    <w:p w:rsidR="00674A6B" w:rsidRPr="00674A6B" w:rsidP="00674A6B" w14:paraId="297447BD" w14:textId="77777777">
      <w:pPr>
        <w:spacing w:after="0" w:line="240" w:lineRule="auto"/>
        <w:ind w:firstLine="567"/>
        <w:jc w:val="center"/>
        <w:rPr>
          <w:rFonts w:ascii="Times New Roman" w:eastAsia="Calibri" w:hAnsi="Times New Roman" w:cs="Times New Roman"/>
          <w:b/>
          <w:sz w:val="28"/>
          <w:szCs w:val="28"/>
          <w:lang w:eastAsia="en-US"/>
        </w:rPr>
      </w:pPr>
      <w:r w:rsidRPr="00674A6B">
        <w:rPr>
          <w:rFonts w:ascii="Times New Roman" w:eastAsia="Calibri" w:hAnsi="Times New Roman" w:cs="Times New Roman"/>
          <w:b/>
          <w:sz w:val="28"/>
          <w:szCs w:val="28"/>
          <w:lang w:val="ru-RU" w:eastAsia="en-US"/>
        </w:rPr>
        <w:t>V</w:t>
      </w:r>
      <w:r w:rsidRPr="00674A6B">
        <w:rPr>
          <w:rFonts w:ascii="Times New Roman" w:eastAsia="Calibri" w:hAnsi="Times New Roman" w:cs="Times New Roman"/>
          <w:b/>
          <w:sz w:val="28"/>
          <w:szCs w:val="28"/>
          <w:lang w:eastAsia="en-US"/>
        </w:rPr>
        <w:t>ІІ. Взаємовідносини бюджету з іншими бюджетами</w:t>
      </w:r>
    </w:p>
    <w:p w:rsidR="00674A6B" w:rsidRPr="00E15BA0" w:rsidP="00674A6B" w14:paraId="6CF0DB66" w14:textId="77777777">
      <w:pPr>
        <w:spacing w:after="0" w:line="240" w:lineRule="auto"/>
        <w:jc w:val="center"/>
        <w:rPr>
          <w:rFonts w:ascii="Times New Roman" w:eastAsia="Times New Roman" w:hAnsi="Times New Roman" w:cs="Times New Roman"/>
          <w:b/>
          <w:color w:val="7030A0"/>
          <w:sz w:val="28"/>
          <w:szCs w:val="28"/>
          <w:lang w:eastAsia="ru-RU"/>
        </w:rPr>
      </w:pPr>
    </w:p>
    <w:p w:rsidR="00674A6B" w:rsidRPr="00674A6B" w:rsidP="00674A6B" w14:paraId="6F1DCBAB"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Обсяги міжбюджетних трансфертів з державного бюджету для бюджету Броварської міської територіальної громади на 2026-2028 роки (реверсна дотація, освітня субвенція) передбачаються на підставі постанови Кабінету Міністрів України від 27 червня 2025 року № 774 «Про схвалення Бюджетної декларації на 2026-2028 роки», які відображені у додатку 10 до «Прогнозу бюджету Броварської міської територіальної громади на 2026-2028 роки».</w:t>
      </w:r>
    </w:p>
    <w:p w:rsidR="00674A6B" w:rsidRPr="00674A6B" w:rsidP="00674A6B" w14:paraId="651B4373" w14:textId="77777777">
      <w:pPr>
        <w:spacing w:after="0" w:line="240" w:lineRule="auto"/>
        <w:ind w:firstLine="567"/>
        <w:jc w:val="both"/>
        <w:rPr>
          <w:rFonts w:ascii="Times New Roman" w:eastAsia="Times New Roman" w:hAnsi="Times New Roman" w:cs="Times New Roman"/>
          <w:sz w:val="16"/>
          <w:szCs w:val="16"/>
          <w:lang w:eastAsia="ru-RU"/>
        </w:rPr>
      </w:pPr>
    </w:p>
    <w:p w:rsidR="00674A6B" w:rsidRPr="00674A6B" w:rsidP="00674A6B" w14:paraId="61F77502"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Міжбюджетні трансферти мають цільове спрямування і використовуються відповідно до порядків їх використання.</w:t>
      </w:r>
    </w:p>
    <w:p w:rsidR="00674A6B" w:rsidRPr="00674A6B" w:rsidP="00674A6B" w14:paraId="6D50AC95" w14:textId="77777777">
      <w:pPr>
        <w:spacing w:after="0" w:line="240" w:lineRule="auto"/>
        <w:ind w:firstLine="567"/>
        <w:jc w:val="both"/>
        <w:rPr>
          <w:rFonts w:ascii="Times New Roman" w:eastAsia="Times New Roman" w:hAnsi="Times New Roman" w:cs="Times New Roman"/>
          <w:sz w:val="16"/>
          <w:szCs w:val="16"/>
          <w:lang w:eastAsia="ru-RU"/>
        </w:rPr>
      </w:pPr>
    </w:p>
    <w:p w:rsidR="00674A6B" w:rsidRPr="00674A6B" w:rsidP="00674A6B" w14:paraId="4AF9CEAF"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Найбільшу питому вагу у обсязі міжбюджетних трансфертів займає освітня субвенція з державного бюджету. </w:t>
      </w:r>
    </w:p>
    <w:p w:rsidR="00674A6B" w:rsidRPr="00674A6B" w:rsidP="00674A6B" w14:paraId="6C7AE178"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Темпи зростання освітньої субвенції  з державного бюджету:</w:t>
      </w:r>
    </w:p>
    <w:p w:rsidR="00674A6B" w:rsidRPr="00674A6B" w:rsidP="00674A6B" w14:paraId="4128A6E3"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на 2026 рік до плану  2025 року збільшаться на 64,1 відсотка; </w:t>
      </w:r>
    </w:p>
    <w:p w:rsidR="00674A6B" w:rsidRPr="00674A6B" w:rsidP="00674A6B" w14:paraId="4F973AB1"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на 2027 рік до проєкту 2026 року збільшаться на 7,9 відсотка; </w:t>
      </w:r>
    </w:p>
    <w:p w:rsidR="00674A6B" w:rsidRPr="00674A6B" w:rsidP="00674A6B" w14:paraId="77B3652D"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на 2028 рік до проєкту 2027 року збільшаться 7,3 відсотка.</w:t>
      </w:r>
    </w:p>
    <w:p w:rsidR="00674A6B" w:rsidRPr="00674A6B" w:rsidP="00674A6B" w14:paraId="383D5720" w14:textId="77777777">
      <w:pPr>
        <w:spacing w:after="0" w:line="240" w:lineRule="auto"/>
        <w:ind w:firstLine="567"/>
        <w:jc w:val="both"/>
        <w:rPr>
          <w:rFonts w:ascii="Times New Roman" w:eastAsia="Times New Roman" w:hAnsi="Times New Roman" w:cs="Times New Roman"/>
          <w:sz w:val="16"/>
          <w:szCs w:val="16"/>
          <w:lang w:eastAsia="ru-RU"/>
        </w:rPr>
      </w:pPr>
    </w:p>
    <w:p w:rsidR="00674A6B" w:rsidP="00674A6B" w14:paraId="24443022"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Показники міжбюджетних трансфертів з інших бюджетів, відображені у додатку 10 до «Прогнозу бюджету Броварської міської територіальної громади на 2026-2028 роки».</w:t>
      </w:r>
    </w:p>
    <w:p w:rsidR="00674A6B" w:rsidRPr="00674A6B" w:rsidP="00674A6B" w14:paraId="66F74318" w14:textId="77777777">
      <w:pPr>
        <w:spacing w:after="0" w:line="240" w:lineRule="auto"/>
        <w:ind w:firstLine="708"/>
        <w:jc w:val="both"/>
        <w:rPr>
          <w:rFonts w:ascii="Times New Roman" w:eastAsia="Times New Roman" w:hAnsi="Times New Roman" w:cs="Times New Roman"/>
          <w:color w:val="7030A0"/>
          <w:sz w:val="16"/>
          <w:szCs w:val="16"/>
          <w:lang w:eastAsia="ru-RU"/>
        </w:rPr>
      </w:pPr>
    </w:p>
    <w:p w:rsidR="00674A6B" w:rsidRPr="00674A6B" w:rsidP="00674A6B" w14:paraId="36D5D925" w14:textId="07E7FB6E">
      <w:pPr>
        <w:spacing w:after="0" w:line="240" w:lineRule="auto"/>
        <w:ind w:firstLine="567"/>
        <w:jc w:val="right"/>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 (</w:t>
      </w:r>
      <w:r w:rsidR="00261AA5">
        <w:rPr>
          <w:rFonts w:ascii="Times New Roman" w:eastAsia="Times New Roman" w:hAnsi="Times New Roman" w:cs="Times New Roman"/>
          <w:sz w:val="28"/>
          <w:szCs w:val="28"/>
          <w:lang w:eastAsia="ru-RU"/>
        </w:rPr>
        <w:t>грн.</w:t>
      </w:r>
      <w:r w:rsidRPr="00674A6B">
        <w:rPr>
          <w:rFonts w:ascii="Times New Roman" w:eastAsia="Times New Roman" w:hAnsi="Times New Roman" w:cs="Times New Roman"/>
          <w:sz w:val="28"/>
          <w:szCs w:val="28"/>
          <w:lang w:eastAsia="ru-RU"/>
        </w:rPr>
        <w:t>)</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3"/>
        <w:gridCol w:w="1659"/>
        <w:gridCol w:w="1863"/>
        <w:gridCol w:w="1832"/>
      </w:tblGrid>
      <w:tr w14:paraId="4294EF02" w14:textId="77777777" w:rsidTr="00674A6B">
        <w:tblPrEx>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26"/>
        </w:trPr>
        <w:tc>
          <w:tcPr>
            <w:tcW w:w="4523"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44F829B9" w14:textId="77777777">
            <w:pPr>
              <w:spacing w:after="0" w:line="240" w:lineRule="auto"/>
              <w:jc w:val="center"/>
              <w:rPr>
                <w:rFonts w:ascii="Times New Roman" w:eastAsia="Times New Roman" w:hAnsi="Times New Roman" w:cs="Times New Roman"/>
                <w:b/>
                <w:sz w:val="28"/>
                <w:szCs w:val="28"/>
                <w:lang w:eastAsia="ru-RU"/>
              </w:rPr>
            </w:pPr>
            <w:r w:rsidRPr="00674A6B">
              <w:rPr>
                <w:rFonts w:ascii="Times New Roman" w:eastAsia="Times New Roman" w:hAnsi="Times New Roman" w:cs="Times New Roman"/>
                <w:b/>
                <w:sz w:val="28"/>
                <w:szCs w:val="28"/>
                <w:lang w:eastAsia="ru-RU"/>
              </w:rPr>
              <w:t>Прогнозні показники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7F656A68" w14:textId="77777777">
            <w:pPr>
              <w:spacing w:after="0" w:line="240" w:lineRule="auto"/>
              <w:jc w:val="center"/>
              <w:rPr>
                <w:rFonts w:ascii="Times New Roman" w:eastAsia="Times New Roman" w:hAnsi="Times New Roman" w:cs="Times New Roman"/>
                <w:b/>
                <w:sz w:val="28"/>
                <w:szCs w:val="28"/>
                <w:lang w:eastAsia="ru-RU"/>
              </w:rPr>
            </w:pPr>
            <w:r w:rsidRPr="00674A6B">
              <w:rPr>
                <w:rFonts w:ascii="Times New Roman" w:eastAsia="Times New Roman" w:hAnsi="Times New Roman" w:cs="Times New Roman"/>
                <w:b/>
                <w:sz w:val="28"/>
                <w:szCs w:val="28"/>
                <w:lang w:eastAsia="ru-RU"/>
              </w:rPr>
              <w:t>2026 рік</w:t>
            </w:r>
          </w:p>
        </w:tc>
        <w:tc>
          <w:tcPr>
            <w:tcW w:w="1863"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70B00D91" w14:textId="77777777">
            <w:pPr>
              <w:spacing w:after="0" w:line="240" w:lineRule="auto"/>
              <w:jc w:val="center"/>
              <w:rPr>
                <w:rFonts w:ascii="Times New Roman" w:eastAsia="Times New Roman" w:hAnsi="Times New Roman" w:cs="Times New Roman"/>
                <w:b/>
                <w:sz w:val="28"/>
                <w:szCs w:val="28"/>
                <w:lang w:eastAsia="ru-RU"/>
              </w:rPr>
            </w:pPr>
            <w:r w:rsidRPr="00674A6B">
              <w:rPr>
                <w:rFonts w:ascii="Times New Roman" w:eastAsia="Times New Roman" w:hAnsi="Times New Roman" w:cs="Times New Roman"/>
                <w:b/>
                <w:sz w:val="28"/>
                <w:szCs w:val="28"/>
                <w:lang w:eastAsia="ru-RU"/>
              </w:rPr>
              <w:t>2027 рік</w:t>
            </w:r>
          </w:p>
        </w:tc>
        <w:tc>
          <w:tcPr>
            <w:tcW w:w="1832"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2D056232" w14:textId="77777777">
            <w:pPr>
              <w:spacing w:after="0" w:line="240" w:lineRule="auto"/>
              <w:jc w:val="center"/>
              <w:rPr>
                <w:rFonts w:ascii="Times New Roman" w:eastAsia="Times New Roman" w:hAnsi="Times New Roman" w:cs="Times New Roman"/>
                <w:b/>
                <w:sz w:val="28"/>
                <w:szCs w:val="28"/>
                <w:lang w:eastAsia="ru-RU"/>
              </w:rPr>
            </w:pPr>
            <w:r w:rsidRPr="00674A6B">
              <w:rPr>
                <w:rFonts w:ascii="Times New Roman" w:eastAsia="Times New Roman" w:hAnsi="Times New Roman" w:cs="Times New Roman"/>
                <w:b/>
                <w:sz w:val="28"/>
                <w:szCs w:val="28"/>
                <w:lang w:eastAsia="ru-RU"/>
              </w:rPr>
              <w:t>2028 рік</w:t>
            </w:r>
          </w:p>
        </w:tc>
      </w:tr>
      <w:tr w14:paraId="6C2FC108" w14:textId="77777777" w:rsidTr="00674A6B">
        <w:tblPrEx>
          <w:tblW w:w="0" w:type="auto"/>
          <w:tblInd w:w="-310" w:type="dxa"/>
          <w:tblLook w:val="04A0"/>
        </w:tblPrEx>
        <w:trPr>
          <w:trHeight w:val="435"/>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66A1E735" w14:textId="77777777">
            <w:pPr>
              <w:spacing w:after="0" w:line="240" w:lineRule="auto"/>
              <w:jc w:val="center"/>
              <w:rPr>
                <w:rFonts w:ascii="Times New Roman" w:eastAsia="Times New Roman" w:hAnsi="Times New Roman" w:cs="Times New Roman"/>
                <w:b/>
                <w:sz w:val="28"/>
                <w:szCs w:val="28"/>
                <w:lang w:eastAsia="ru-RU"/>
              </w:rPr>
            </w:pPr>
            <w:r w:rsidRPr="00674A6B">
              <w:rPr>
                <w:rFonts w:ascii="Times New Roman" w:eastAsia="Times New Roman" w:hAnsi="Times New Roman" w:cs="Times New Roman"/>
                <w:b/>
                <w:sz w:val="28"/>
                <w:szCs w:val="28"/>
                <w:lang w:eastAsia="ru-RU"/>
              </w:rPr>
              <w:t>Міжбюджетні трансферти з державного бюджету</w:t>
            </w:r>
          </w:p>
        </w:tc>
      </w:tr>
      <w:tr w14:paraId="2429BB75" w14:textId="77777777" w:rsidTr="00261AA5">
        <w:tblPrEx>
          <w:tblW w:w="0" w:type="auto"/>
          <w:tblInd w:w="-310" w:type="dxa"/>
          <w:tblLook w:val="04A0"/>
        </w:tblPrEx>
        <w:trPr>
          <w:trHeight w:val="959"/>
        </w:trPr>
        <w:tc>
          <w:tcPr>
            <w:tcW w:w="4523" w:type="dxa"/>
            <w:tcBorders>
              <w:top w:val="single" w:sz="4" w:space="0" w:color="auto"/>
              <w:left w:val="single" w:sz="4" w:space="0" w:color="auto"/>
              <w:bottom w:val="single" w:sz="4" w:space="0" w:color="auto"/>
              <w:right w:val="single" w:sz="4" w:space="0" w:color="auto"/>
            </w:tcBorders>
            <w:vAlign w:val="center"/>
            <w:hideMark/>
          </w:tcPr>
          <w:p w:rsidR="00674A6B" w:rsidRPr="00674A6B" w:rsidP="00E15BA0" w14:paraId="7F0D3581" w14:textId="77777777">
            <w:pPr>
              <w:spacing w:after="0" w:line="240" w:lineRule="auto"/>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Освітня субвенція державного бюджету місцевим бюджетам </w:t>
            </w:r>
          </w:p>
        </w:tc>
        <w:tc>
          <w:tcPr>
            <w:tcW w:w="1659"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38CAA1C1"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365 164 400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50AC47BF"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393 998 700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7C495408"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422 833 100</w:t>
            </w:r>
          </w:p>
        </w:tc>
      </w:tr>
      <w:tr w14:paraId="2C9FDB64" w14:textId="77777777" w:rsidTr="00261AA5">
        <w:tblPrEx>
          <w:tblW w:w="0" w:type="auto"/>
          <w:tblInd w:w="-310" w:type="dxa"/>
          <w:tblLook w:val="04A0"/>
        </w:tblPrEx>
        <w:trPr>
          <w:trHeight w:val="546"/>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7009376A"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b/>
                <w:sz w:val="28"/>
                <w:szCs w:val="28"/>
                <w:lang w:eastAsia="ru-RU"/>
              </w:rPr>
              <w:t>Міжбюджетні трансферти з обласного бюджету Київської області</w:t>
            </w:r>
          </w:p>
        </w:tc>
      </w:tr>
      <w:tr w14:paraId="377FC466" w14:textId="77777777" w:rsidTr="00261AA5">
        <w:tblPrEx>
          <w:tblW w:w="0" w:type="auto"/>
          <w:tblInd w:w="-310" w:type="dxa"/>
          <w:tblLook w:val="04A0"/>
        </w:tblPrEx>
        <w:trPr>
          <w:trHeight w:val="2269"/>
        </w:trPr>
        <w:tc>
          <w:tcPr>
            <w:tcW w:w="4523" w:type="dxa"/>
            <w:tcBorders>
              <w:top w:val="single" w:sz="4" w:space="0" w:color="auto"/>
              <w:left w:val="single" w:sz="4" w:space="0" w:color="auto"/>
              <w:bottom w:val="single" w:sz="4" w:space="0" w:color="auto"/>
              <w:right w:val="single" w:sz="4" w:space="0" w:color="auto"/>
            </w:tcBorders>
            <w:vAlign w:val="center"/>
            <w:hideMark/>
          </w:tcPr>
          <w:p w:rsidR="00674A6B" w:rsidRPr="00674A6B" w:rsidP="00E15BA0" w14:paraId="0BB044CD" w14:textId="77777777">
            <w:pPr>
              <w:spacing w:after="0" w:line="240" w:lineRule="auto"/>
              <w:rPr>
                <w:rFonts w:ascii="Times New Roman" w:eastAsia="Times New Roman" w:hAnsi="Times New Roman" w:cs="Times New Roman"/>
                <w:sz w:val="28"/>
                <w:szCs w:val="28"/>
                <w:lang w:eastAsia="ru-RU"/>
              </w:rPr>
            </w:pPr>
            <w:r w:rsidRPr="00674A6B">
              <w:rPr>
                <w:rFonts w:ascii="Times New Roman" w:eastAsia="Calibri" w:hAnsi="Times New Roman" w:cs="Times New Roman"/>
                <w:sz w:val="28"/>
                <w:szCs w:val="28"/>
                <w:lang w:eastAsia="en-US"/>
              </w:rPr>
              <w:t>Дотація з обласного бюджету на здійснення переданих з державного бюджету видатків з утримання закладів освіти та охорони здоров`я за рахунок відповідної додаткової дотації з державного бюджету</w:t>
            </w:r>
          </w:p>
        </w:tc>
        <w:tc>
          <w:tcPr>
            <w:tcW w:w="1659"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044C2C2A"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5 692 480</w:t>
            </w:r>
          </w:p>
        </w:tc>
        <w:tc>
          <w:tcPr>
            <w:tcW w:w="1863"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794709DE"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5 692 480</w:t>
            </w:r>
          </w:p>
        </w:tc>
        <w:tc>
          <w:tcPr>
            <w:tcW w:w="1832"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355275D9"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5 838 980</w:t>
            </w:r>
          </w:p>
        </w:tc>
      </w:tr>
      <w:tr w14:paraId="6881354B" w14:textId="77777777" w:rsidTr="00261AA5">
        <w:tblPrEx>
          <w:tblW w:w="0" w:type="auto"/>
          <w:tblInd w:w="-310" w:type="dxa"/>
          <w:tblLook w:val="04A0"/>
        </w:tblPrEx>
        <w:trPr>
          <w:trHeight w:val="1562"/>
        </w:trPr>
        <w:tc>
          <w:tcPr>
            <w:tcW w:w="4523" w:type="dxa"/>
            <w:tcBorders>
              <w:top w:val="single" w:sz="4" w:space="0" w:color="auto"/>
              <w:left w:val="single" w:sz="4" w:space="0" w:color="auto"/>
              <w:bottom w:val="single" w:sz="4" w:space="0" w:color="auto"/>
              <w:right w:val="single" w:sz="4" w:space="0" w:color="auto"/>
            </w:tcBorders>
            <w:vAlign w:val="center"/>
            <w:hideMark/>
          </w:tcPr>
          <w:p w:rsidR="00674A6B" w:rsidRPr="00674A6B" w:rsidP="00E15BA0" w14:paraId="3B9E4A3B" w14:textId="77777777">
            <w:pPr>
              <w:spacing w:after="0" w:line="240" w:lineRule="auto"/>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Субвенція з місцевого бюджету на здійснення переданих видатків у сфері освіти за рахунок коштів освітньої субвенції</w:t>
            </w:r>
          </w:p>
        </w:tc>
        <w:tc>
          <w:tcPr>
            <w:tcW w:w="1659"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429296B8"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21 447 424</w:t>
            </w:r>
          </w:p>
        </w:tc>
        <w:tc>
          <w:tcPr>
            <w:tcW w:w="1863"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0CACF028"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23 173 503</w:t>
            </w:r>
          </w:p>
        </w:tc>
        <w:tc>
          <w:tcPr>
            <w:tcW w:w="1832"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6185E3CE"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24 809 578</w:t>
            </w:r>
          </w:p>
        </w:tc>
      </w:tr>
      <w:tr w14:paraId="0683BE27" w14:textId="77777777" w:rsidTr="00674A6B">
        <w:tblPrEx>
          <w:tblW w:w="0" w:type="auto"/>
          <w:tblInd w:w="-310" w:type="dxa"/>
          <w:tblLook w:val="04A0"/>
        </w:tblPrEx>
        <w:trPr>
          <w:trHeight w:val="2115"/>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3FE667D2" w14:textId="77777777">
            <w:pPr>
              <w:spacing w:after="0" w:line="240" w:lineRule="auto"/>
              <w:jc w:val="center"/>
              <w:rPr>
                <w:rFonts w:ascii="Times New Roman" w:eastAsia="Calibri" w:hAnsi="Times New Roman" w:cs="Times New Roman"/>
                <w:sz w:val="28"/>
                <w:lang w:eastAsia="en-US"/>
              </w:rPr>
            </w:pPr>
            <w:r w:rsidRPr="00674A6B">
              <w:rPr>
                <w:rFonts w:ascii="Times New Roman" w:eastAsia="Times New Roman" w:hAnsi="Times New Roman" w:cs="Times New Roman"/>
                <w:b/>
                <w:sz w:val="28"/>
                <w:szCs w:val="28"/>
                <w:lang w:eastAsia="ru-RU"/>
              </w:rPr>
              <w:t>Субвенції з місцевого бюджету на утримання об`єктів спільного користування чи ліквідацію негативних наслідків діяльності об`єктів спільного користування</w:t>
            </w:r>
            <w:r w:rsidRPr="00674A6B">
              <w:rPr>
                <w:rFonts w:ascii="Times New Roman" w:eastAsia="Calibri" w:hAnsi="Times New Roman" w:cs="Times New Roman"/>
                <w:sz w:val="28"/>
                <w:lang w:eastAsia="en-US"/>
              </w:rPr>
              <w:t xml:space="preserve"> </w:t>
            </w:r>
          </w:p>
          <w:p w:rsidR="00674A6B" w:rsidRPr="00674A6B" w:rsidP="00674A6B" w14:paraId="0529BA82" w14:textId="77777777">
            <w:pPr>
              <w:spacing w:after="0" w:line="240" w:lineRule="auto"/>
              <w:jc w:val="center"/>
              <w:rPr>
                <w:rFonts w:ascii="Times New Roman" w:eastAsia="Times New Roman" w:hAnsi="Times New Roman" w:cs="Times New Roman"/>
                <w:sz w:val="24"/>
                <w:szCs w:val="24"/>
              </w:rPr>
            </w:pPr>
            <w:r w:rsidRPr="00674A6B">
              <w:rPr>
                <w:rFonts w:ascii="Times New Roman" w:eastAsia="Calibri" w:hAnsi="Times New Roman" w:cs="Times New Roman"/>
                <w:sz w:val="24"/>
                <w:szCs w:val="24"/>
                <w:lang w:eastAsia="en-US"/>
              </w:rPr>
              <w:t xml:space="preserve">для фінансування </w:t>
            </w:r>
            <w:r w:rsidRPr="00674A6B">
              <w:rPr>
                <w:rFonts w:ascii="Times New Roman" w:eastAsia="Times New Roman" w:hAnsi="Times New Roman" w:cs="Times New Roman"/>
                <w:sz w:val="24"/>
                <w:szCs w:val="24"/>
              </w:rPr>
              <w:t xml:space="preserve">Комунального некомерційного підприємства </w:t>
            </w:r>
          </w:p>
          <w:p w:rsidR="00674A6B" w:rsidRPr="00674A6B" w:rsidP="00674A6B" w14:paraId="2CE4D130" w14:textId="77777777">
            <w:pPr>
              <w:spacing w:after="0" w:line="240" w:lineRule="auto"/>
              <w:jc w:val="center"/>
              <w:rPr>
                <w:rFonts w:ascii="Times New Roman" w:eastAsia="Times New Roman" w:hAnsi="Times New Roman" w:cs="Times New Roman"/>
                <w:sz w:val="24"/>
                <w:szCs w:val="24"/>
              </w:rPr>
            </w:pPr>
            <w:r w:rsidRPr="00674A6B">
              <w:rPr>
                <w:rFonts w:ascii="Times New Roman" w:eastAsia="Times New Roman" w:hAnsi="Times New Roman" w:cs="Times New Roman"/>
                <w:sz w:val="24"/>
                <w:szCs w:val="24"/>
              </w:rPr>
              <w:t xml:space="preserve">«Броварська багатопрофільна клінічна лікарня» </w:t>
            </w:r>
          </w:p>
          <w:p w:rsidR="00674A6B" w:rsidRPr="00674A6B" w:rsidP="00674A6B" w14:paraId="6139EE9C" w14:textId="77777777">
            <w:pPr>
              <w:spacing w:after="0" w:line="240" w:lineRule="auto"/>
              <w:jc w:val="center"/>
              <w:rPr>
                <w:rFonts w:ascii="Times New Roman" w:eastAsia="Times New Roman" w:hAnsi="Times New Roman" w:cs="Times New Roman"/>
                <w:b/>
                <w:sz w:val="28"/>
                <w:szCs w:val="28"/>
                <w:lang w:eastAsia="ru-RU"/>
              </w:rPr>
            </w:pPr>
            <w:r w:rsidRPr="00674A6B">
              <w:rPr>
                <w:rFonts w:ascii="Times New Roman" w:eastAsia="Times New Roman" w:hAnsi="Times New Roman" w:cs="Times New Roman"/>
                <w:sz w:val="24"/>
                <w:szCs w:val="24"/>
              </w:rPr>
              <w:t>територіальних громад Броварського району Київської області</w:t>
            </w:r>
          </w:p>
        </w:tc>
      </w:tr>
      <w:tr w14:paraId="3061AE04" w14:textId="77777777" w:rsidTr="00674A6B">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674A6B" w:rsidRPr="00674A6B" w:rsidP="00E15BA0" w14:paraId="07228BBA" w14:textId="77777777">
            <w:pPr>
              <w:spacing w:after="0" w:line="240" w:lineRule="auto"/>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Бюджет Калитянської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tcPr>
          <w:p w:rsidR="00674A6B" w:rsidRPr="00674A6B" w:rsidP="00674A6B" w14:paraId="535722D4" w14:textId="77777777">
            <w:pPr>
              <w:jc w:val="center"/>
              <w:rPr>
                <w:rFonts w:ascii="Times New Roman" w:eastAsia="Calibri" w:hAnsi="Times New Roman" w:cs="Times New Roman"/>
                <w:color w:val="000000"/>
                <w:sz w:val="16"/>
                <w:szCs w:val="16"/>
                <w:lang w:eastAsia="en-US"/>
              </w:rPr>
            </w:pPr>
          </w:p>
          <w:p w:rsidR="00674A6B" w:rsidRPr="00674A6B" w:rsidP="00674A6B" w14:paraId="50E00B10" w14:textId="77777777">
            <w:pPr>
              <w:jc w:val="center"/>
              <w:rPr>
                <w:rFonts w:ascii="Times New Roman" w:eastAsia="Calibri" w:hAnsi="Times New Roman" w:cs="Times New Roman"/>
                <w:color w:val="000000"/>
                <w:sz w:val="28"/>
                <w:szCs w:val="28"/>
                <w:lang w:val="ru-RU" w:eastAsia="en-US"/>
              </w:rPr>
            </w:pPr>
            <w:r w:rsidRPr="00674A6B">
              <w:rPr>
                <w:rFonts w:ascii="Times New Roman" w:eastAsia="Calibri" w:hAnsi="Times New Roman" w:cs="Times New Roman"/>
                <w:color w:val="000000"/>
                <w:sz w:val="28"/>
                <w:szCs w:val="28"/>
                <w:lang w:val="ru-RU" w:eastAsia="en-US"/>
              </w:rPr>
              <w:t>500 000</w:t>
            </w:r>
          </w:p>
        </w:tc>
        <w:tc>
          <w:tcPr>
            <w:tcW w:w="1863" w:type="dxa"/>
            <w:tcBorders>
              <w:top w:val="single" w:sz="4" w:space="0" w:color="auto"/>
              <w:left w:val="single" w:sz="4" w:space="0" w:color="auto"/>
              <w:bottom w:val="single" w:sz="4" w:space="0" w:color="auto"/>
              <w:right w:val="single" w:sz="4" w:space="0" w:color="auto"/>
            </w:tcBorders>
          </w:tcPr>
          <w:p w:rsidR="00674A6B" w:rsidRPr="00674A6B" w:rsidP="00674A6B" w14:paraId="3E153BCE" w14:textId="77777777">
            <w:pPr>
              <w:jc w:val="center"/>
              <w:rPr>
                <w:rFonts w:ascii="Times New Roman" w:eastAsia="Calibri" w:hAnsi="Times New Roman" w:cs="Times New Roman"/>
                <w:color w:val="000000"/>
                <w:sz w:val="16"/>
                <w:szCs w:val="16"/>
                <w:lang w:eastAsia="en-US"/>
              </w:rPr>
            </w:pPr>
          </w:p>
          <w:p w:rsidR="00674A6B" w:rsidRPr="00674A6B" w:rsidP="00674A6B" w14:paraId="4FA42341" w14:textId="77777777">
            <w:pPr>
              <w:jc w:val="center"/>
              <w:rPr>
                <w:rFonts w:ascii="Times New Roman" w:eastAsia="Calibri" w:hAnsi="Times New Roman" w:cs="Times New Roman"/>
                <w:color w:val="000000"/>
                <w:sz w:val="28"/>
                <w:szCs w:val="28"/>
                <w:lang w:val="ru-RU" w:eastAsia="en-US"/>
              </w:rPr>
            </w:pPr>
            <w:r w:rsidRPr="00674A6B">
              <w:rPr>
                <w:rFonts w:ascii="Times New Roman" w:eastAsia="Calibri" w:hAnsi="Times New Roman" w:cs="Times New Roman"/>
                <w:color w:val="000000"/>
                <w:sz w:val="28"/>
                <w:szCs w:val="28"/>
                <w:lang w:val="ru-RU" w:eastAsia="en-US"/>
              </w:rPr>
              <w:t>500 000</w:t>
            </w:r>
          </w:p>
        </w:tc>
        <w:tc>
          <w:tcPr>
            <w:tcW w:w="1832" w:type="dxa"/>
            <w:tcBorders>
              <w:top w:val="single" w:sz="4" w:space="0" w:color="auto"/>
              <w:left w:val="single" w:sz="4" w:space="0" w:color="auto"/>
              <w:bottom w:val="single" w:sz="4" w:space="0" w:color="auto"/>
              <w:right w:val="single" w:sz="4" w:space="0" w:color="auto"/>
            </w:tcBorders>
          </w:tcPr>
          <w:p w:rsidR="00674A6B" w:rsidRPr="00674A6B" w:rsidP="00674A6B" w14:paraId="66E95126" w14:textId="77777777">
            <w:pPr>
              <w:jc w:val="center"/>
              <w:rPr>
                <w:rFonts w:ascii="Times New Roman" w:eastAsia="Calibri" w:hAnsi="Times New Roman" w:cs="Times New Roman"/>
                <w:color w:val="000000"/>
                <w:sz w:val="16"/>
                <w:szCs w:val="16"/>
                <w:lang w:eastAsia="en-US"/>
              </w:rPr>
            </w:pPr>
          </w:p>
          <w:p w:rsidR="00674A6B" w:rsidRPr="00674A6B" w:rsidP="00674A6B" w14:paraId="1FDB0529" w14:textId="77777777">
            <w:pPr>
              <w:jc w:val="center"/>
              <w:rPr>
                <w:rFonts w:ascii="Times New Roman" w:eastAsia="Calibri" w:hAnsi="Times New Roman" w:cs="Times New Roman"/>
                <w:color w:val="000000"/>
                <w:sz w:val="28"/>
                <w:szCs w:val="28"/>
                <w:lang w:val="ru-RU" w:eastAsia="en-US"/>
              </w:rPr>
            </w:pPr>
            <w:r w:rsidRPr="00674A6B">
              <w:rPr>
                <w:rFonts w:ascii="Times New Roman" w:eastAsia="Calibri" w:hAnsi="Times New Roman" w:cs="Times New Roman"/>
                <w:color w:val="000000"/>
                <w:sz w:val="28"/>
                <w:szCs w:val="28"/>
                <w:lang w:val="ru-RU" w:eastAsia="en-US"/>
              </w:rPr>
              <w:t>500 000</w:t>
            </w:r>
          </w:p>
        </w:tc>
      </w:tr>
      <w:tr w14:paraId="267DBA3B" w14:textId="77777777" w:rsidTr="00674A6B">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674A6B" w:rsidRPr="00674A6B" w:rsidP="00E15BA0" w14:paraId="2E5DAB2B" w14:textId="77777777">
            <w:pPr>
              <w:spacing w:after="0" w:line="240" w:lineRule="auto"/>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Бюджет Великодимерської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5A7C50AF"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7 000 000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6E302F06"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8 000 000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4988F722"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9 000 000</w:t>
            </w:r>
          </w:p>
        </w:tc>
      </w:tr>
      <w:tr w14:paraId="28B4C117" w14:textId="77777777" w:rsidTr="00674A6B">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674A6B" w:rsidRPr="00674A6B" w:rsidP="00E15BA0" w14:paraId="405E2BF8" w14:textId="77777777">
            <w:pPr>
              <w:spacing w:after="0" w:line="240" w:lineRule="auto"/>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Бюджет Зазимської сільської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77C9AE52"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3 500 000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0F3168D8"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3 600 000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758FCCE7"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3 700 000</w:t>
            </w:r>
          </w:p>
        </w:tc>
      </w:tr>
      <w:tr w14:paraId="72935600" w14:textId="77777777" w:rsidTr="00674A6B">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674A6B" w:rsidRPr="00674A6B" w:rsidP="00E15BA0" w14:paraId="39605CE8" w14:textId="77777777">
            <w:pPr>
              <w:spacing w:after="0" w:line="240" w:lineRule="auto"/>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Бюджет Калинівської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40D90A0C"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1 000 000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61633910"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1 000 000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3690F853"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1 000 000</w:t>
            </w:r>
          </w:p>
        </w:tc>
      </w:tr>
      <w:tr w14:paraId="614DE606" w14:textId="77777777" w:rsidTr="00674A6B">
        <w:tblPrEx>
          <w:tblW w:w="0" w:type="auto"/>
          <w:tblInd w:w="-310" w:type="dxa"/>
          <w:tblLook w:val="04A0"/>
        </w:tblPrEx>
        <w:trPr>
          <w:trHeight w:val="1058"/>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195733A4" w14:textId="77777777">
            <w:pPr>
              <w:spacing w:after="0" w:line="240" w:lineRule="auto"/>
              <w:jc w:val="center"/>
              <w:rPr>
                <w:rFonts w:ascii="Times New Roman" w:eastAsia="Times New Roman" w:hAnsi="Times New Roman" w:cs="Times New Roman"/>
                <w:b/>
                <w:sz w:val="28"/>
                <w:szCs w:val="28"/>
                <w:lang w:eastAsia="ru-RU"/>
              </w:rPr>
            </w:pPr>
            <w:r w:rsidRPr="00674A6B">
              <w:rPr>
                <w:rFonts w:ascii="Times New Roman" w:eastAsia="Times New Roman" w:hAnsi="Times New Roman" w:cs="Times New Roman"/>
                <w:b/>
                <w:sz w:val="28"/>
                <w:szCs w:val="28"/>
                <w:lang w:eastAsia="ru-RU"/>
              </w:rPr>
              <w:t>Інші субвенції з місцевого бюджету</w:t>
            </w:r>
          </w:p>
          <w:p w:rsidR="00674A6B" w:rsidRPr="00674A6B" w:rsidP="00674A6B" w14:paraId="4164D4CC" w14:textId="77777777">
            <w:pPr>
              <w:spacing w:after="0" w:line="240" w:lineRule="auto"/>
              <w:jc w:val="center"/>
              <w:rPr>
                <w:rFonts w:ascii="Times New Roman" w:eastAsia="Calibri" w:hAnsi="Times New Roman" w:cs="Times New Roman"/>
                <w:sz w:val="24"/>
                <w:szCs w:val="24"/>
                <w:lang w:eastAsia="en-US"/>
              </w:rPr>
            </w:pPr>
            <w:r w:rsidRPr="00674A6B">
              <w:rPr>
                <w:rFonts w:ascii="Times New Roman" w:eastAsia="Calibri" w:hAnsi="Times New Roman" w:cs="Times New Roman"/>
                <w:sz w:val="24"/>
                <w:szCs w:val="24"/>
                <w:lang w:eastAsia="en-US"/>
              </w:rPr>
              <w:t xml:space="preserve">на відшкодування за реабілітаційні послуги дітей - інвалідів </w:t>
            </w:r>
          </w:p>
          <w:p w:rsidR="00674A6B" w:rsidRPr="00674A6B" w:rsidP="00674A6B" w14:paraId="5444751E" w14:textId="77777777">
            <w:pPr>
              <w:spacing w:after="0" w:line="240" w:lineRule="auto"/>
              <w:jc w:val="center"/>
              <w:rPr>
                <w:rFonts w:ascii="Times New Roman" w:eastAsia="Times New Roman" w:hAnsi="Times New Roman" w:cs="Times New Roman"/>
                <w:b/>
                <w:sz w:val="28"/>
                <w:szCs w:val="28"/>
                <w:lang w:eastAsia="ru-RU"/>
              </w:rPr>
            </w:pPr>
            <w:r w:rsidRPr="00674A6B">
              <w:rPr>
                <w:rFonts w:ascii="Times New Roman" w:eastAsia="Calibri" w:hAnsi="Times New Roman" w:cs="Times New Roman"/>
                <w:sz w:val="24"/>
                <w:szCs w:val="24"/>
                <w:lang w:eastAsia="en-US"/>
              </w:rPr>
              <w:t>в Міському Центрі комплексної реабілітації дітей з інвалідністю</w:t>
            </w:r>
          </w:p>
        </w:tc>
      </w:tr>
      <w:tr w14:paraId="7B4E31B5" w14:textId="77777777" w:rsidTr="00674A6B">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674A6B" w:rsidRPr="00674A6B" w:rsidP="00E15BA0" w14:paraId="047E6420" w14:textId="77777777">
            <w:pPr>
              <w:spacing w:after="0" w:line="240" w:lineRule="auto"/>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Бюджет Великодимерської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7FD3E155"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425 000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7E78858B"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471 000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70A81583"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522 000</w:t>
            </w:r>
          </w:p>
        </w:tc>
      </w:tr>
      <w:tr w14:paraId="0122BA23" w14:textId="77777777" w:rsidTr="00674A6B">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674A6B" w:rsidRPr="00674A6B" w:rsidP="00E15BA0" w14:paraId="01D5D4FC" w14:textId="77777777">
            <w:pPr>
              <w:spacing w:after="0" w:line="240" w:lineRule="auto"/>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Бюджет Зазимської сільської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03586E24"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400 000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7285FD18"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420 000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194B8464"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450 000</w:t>
            </w:r>
          </w:p>
        </w:tc>
      </w:tr>
      <w:tr w14:paraId="6500B30F" w14:textId="77777777" w:rsidTr="00674A6B">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674A6B" w:rsidRPr="00674A6B" w:rsidP="00E15BA0" w14:paraId="2C4B80F8" w14:textId="77777777">
            <w:pPr>
              <w:spacing w:after="0" w:line="240" w:lineRule="auto"/>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Бюджет Калинівської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679F8308"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889 800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6D72C68C"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987 300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6737DC06"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1 093 800</w:t>
            </w:r>
          </w:p>
        </w:tc>
      </w:tr>
    </w:tbl>
    <w:p w:rsidR="00674A6B" w:rsidRPr="00674A6B" w:rsidP="00674A6B" w14:paraId="66E24154" w14:textId="77777777">
      <w:pPr>
        <w:spacing w:after="0" w:line="240" w:lineRule="auto"/>
        <w:ind w:firstLine="567"/>
        <w:jc w:val="both"/>
        <w:rPr>
          <w:rFonts w:ascii="Times New Roman" w:eastAsia="Times New Roman" w:hAnsi="Times New Roman" w:cs="Times New Roman"/>
          <w:color w:val="FF0000"/>
          <w:sz w:val="28"/>
          <w:szCs w:val="28"/>
          <w:lang w:eastAsia="ru-RU"/>
        </w:rPr>
      </w:pPr>
    </w:p>
    <w:p w:rsidR="00674A6B" w:rsidRPr="00674A6B" w:rsidP="00261AA5" w14:paraId="10F12F86"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Показники міжбюджетних трансфертів іншим бюджетам у розрізі бюджетів, відображені у додатку 11 до «Прогнозу бюджету Броварської міської територіальної громади на 2026-2028 роки».</w:t>
      </w:r>
    </w:p>
    <w:p w:rsidR="00674A6B" w:rsidRPr="00674A6B" w:rsidP="00674A6B" w14:paraId="0FB8F2C3" w14:textId="77777777">
      <w:pPr>
        <w:spacing w:after="0" w:line="240" w:lineRule="auto"/>
        <w:ind w:firstLine="709"/>
        <w:jc w:val="both"/>
        <w:rPr>
          <w:rFonts w:ascii="Times New Roman" w:eastAsia="Times New Roman" w:hAnsi="Times New Roman" w:cs="Times New Roman"/>
          <w:sz w:val="16"/>
          <w:szCs w:val="16"/>
          <w:lang w:eastAsia="ru-RU"/>
        </w:rPr>
      </w:pPr>
    </w:p>
    <w:p w:rsidR="00674A6B" w:rsidRPr="00674A6B" w:rsidP="00674A6B" w14:paraId="4545D677"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Calibri" w:hAnsi="Times New Roman" w:cs="Times New Roman"/>
          <w:sz w:val="28"/>
          <w:szCs w:val="28"/>
          <w:lang w:eastAsia="en-US"/>
        </w:rPr>
        <w:t>Реверсна дотація запланована Міністерством фінансів України відповідно до діючого механізму горизонтального вирівнювання податкоспроможності бюджетів місцевого самоврядування, визначеного статтею 99 Бюджетного кодексу України і</w:t>
      </w:r>
      <w:r w:rsidRPr="00674A6B">
        <w:rPr>
          <w:rFonts w:ascii="Times New Roman" w:eastAsia="Times New Roman" w:hAnsi="Times New Roman" w:cs="Times New Roman"/>
          <w:sz w:val="28"/>
          <w:szCs w:val="28"/>
          <w:lang w:eastAsia="ru-RU"/>
        </w:rPr>
        <w:t xml:space="preserve"> має найбільшу питому вагу у обсязі міжбюджетних трансфертів. </w:t>
      </w:r>
    </w:p>
    <w:p w:rsidR="00674A6B" w:rsidRPr="00674A6B" w:rsidP="00674A6B" w14:paraId="234172D7" w14:textId="77777777">
      <w:pPr>
        <w:spacing w:after="0" w:line="240" w:lineRule="auto"/>
        <w:ind w:firstLine="567"/>
        <w:jc w:val="both"/>
        <w:rPr>
          <w:rFonts w:ascii="Times New Roman" w:eastAsia="Times New Roman" w:hAnsi="Times New Roman" w:cs="Times New Roman"/>
          <w:sz w:val="16"/>
          <w:szCs w:val="16"/>
          <w:lang w:eastAsia="ru-RU"/>
        </w:rPr>
      </w:pPr>
    </w:p>
    <w:p w:rsidR="00674A6B" w:rsidRPr="00674A6B" w:rsidP="00674A6B" w14:paraId="20DF7341"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Темпи зростання обсягів реверсної дотації: </w:t>
      </w:r>
    </w:p>
    <w:p w:rsidR="00674A6B" w:rsidRPr="00674A6B" w:rsidP="00674A6B" w14:paraId="37555397"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на 2026 рік до плану 2025 року зменшаться на 3,2 відсотка; </w:t>
      </w:r>
    </w:p>
    <w:p w:rsidR="00674A6B" w:rsidRPr="00674A6B" w:rsidP="00674A6B" w14:paraId="5F748C90"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на 2027 рік до плану 2026 року збільшаться на 52,5 відсотка; </w:t>
      </w:r>
    </w:p>
    <w:p w:rsidR="00674A6B" w:rsidRPr="00674A6B" w:rsidP="00674A6B" w14:paraId="15415FCF"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на 2028 рік до плану 2027 року збільшаться на 3,5 відсотка. </w:t>
      </w:r>
    </w:p>
    <w:p w:rsidR="00674A6B" w:rsidRPr="00674A6B" w:rsidP="00674A6B" w14:paraId="08054678" w14:textId="77777777">
      <w:pPr>
        <w:spacing w:after="0" w:line="240" w:lineRule="auto"/>
        <w:ind w:firstLine="567"/>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b/>
          <w:color w:val="7030A0"/>
          <w:sz w:val="28"/>
          <w:szCs w:val="28"/>
          <w:lang w:eastAsia="ru-RU"/>
        </w:rPr>
        <w:t xml:space="preserve">                                                                                                              </w:t>
      </w:r>
      <w:r w:rsidRPr="00674A6B">
        <w:rPr>
          <w:rFonts w:ascii="Times New Roman" w:eastAsia="Times New Roman" w:hAnsi="Times New Roman" w:cs="Times New Roman"/>
          <w:sz w:val="28"/>
          <w:szCs w:val="28"/>
          <w:lang w:eastAsia="ru-RU"/>
        </w:rPr>
        <w:t>(грн.)</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3"/>
        <w:gridCol w:w="1659"/>
        <w:gridCol w:w="1863"/>
        <w:gridCol w:w="1832"/>
      </w:tblGrid>
      <w:tr w14:paraId="5822E2B1" w14:textId="77777777" w:rsidTr="00674A6B">
        <w:tblPrEx>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972"/>
        </w:trPr>
        <w:tc>
          <w:tcPr>
            <w:tcW w:w="4523"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4D6D1AE5" w14:textId="77777777">
            <w:pPr>
              <w:spacing w:after="0" w:line="240" w:lineRule="auto"/>
              <w:jc w:val="center"/>
              <w:rPr>
                <w:rFonts w:ascii="Times New Roman" w:eastAsia="Times New Roman" w:hAnsi="Times New Roman" w:cs="Times New Roman"/>
                <w:b/>
                <w:sz w:val="28"/>
                <w:szCs w:val="28"/>
                <w:lang w:eastAsia="ru-RU"/>
              </w:rPr>
            </w:pPr>
            <w:r w:rsidRPr="00674A6B">
              <w:rPr>
                <w:rFonts w:ascii="Times New Roman" w:eastAsia="Times New Roman" w:hAnsi="Times New Roman" w:cs="Times New Roman"/>
                <w:b/>
                <w:sz w:val="28"/>
                <w:szCs w:val="28"/>
                <w:lang w:eastAsia="ru-RU"/>
              </w:rPr>
              <w:t>Найменування трансферту/найменування бюджету отримувача</w:t>
            </w:r>
          </w:p>
        </w:tc>
        <w:tc>
          <w:tcPr>
            <w:tcW w:w="1659"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6DADB0F5" w14:textId="77777777">
            <w:pPr>
              <w:spacing w:after="0" w:line="240" w:lineRule="auto"/>
              <w:jc w:val="center"/>
              <w:rPr>
                <w:rFonts w:ascii="Times New Roman" w:eastAsia="Times New Roman" w:hAnsi="Times New Roman" w:cs="Times New Roman"/>
                <w:b/>
                <w:sz w:val="28"/>
                <w:szCs w:val="28"/>
                <w:lang w:eastAsia="ru-RU"/>
              </w:rPr>
            </w:pPr>
            <w:r w:rsidRPr="00674A6B">
              <w:rPr>
                <w:rFonts w:ascii="Times New Roman" w:eastAsia="Times New Roman" w:hAnsi="Times New Roman" w:cs="Times New Roman"/>
                <w:b/>
                <w:sz w:val="28"/>
                <w:szCs w:val="28"/>
                <w:lang w:eastAsia="ru-RU"/>
              </w:rPr>
              <w:t>2026 рік</w:t>
            </w:r>
          </w:p>
        </w:tc>
        <w:tc>
          <w:tcPr>
            <w:tcW w:w="1863"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3B6AAB2E" w14:textId="77777777">
            <w:pPr>
              <w:spacing w:after="0" w:line="240" w:lineRule="auto"/>
              <w:jc w:val="center"/>
              <w:rPr>
                <w:rFonts w:ascii="Times New Roman" w:eastAsia="Times New Roman" w:hAnsi="Times New Roman" w:cs="Times New Roman"/>
                <w:b/>
                <w:sz w:val="28"/>
                <w:szCs w:val="28"/>
                <w:lang w:eastAsia="ru-RU"/>
              </w:rPr>
            </w:pPr>
            <w:r w:rsidRPr="00674A6B">
              <w:rPr>
                <w:rFonts w:ascii="Times New Roman" w:eastAsia="Times New Roman" w:hAnsi="Times New Roman" w:cs="Times New Roman"/>
                <w:b/>
                <w:sz w:val="28"/>
                <w:szCs w:val="28"/>
                <w:lang w:eastAsia="ru-RU"/>
              </w:rPr>
              <w:t>2027 рік</w:t>
            </w:r>
          </w:p>
        </w:tc>
        <w:tc>
          <w:tcPr>
            <w:tcW w:w="1832"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0635C713" w14:textId="77777777">
            <w:pPr>
              <w:spacing w:after="0" w:line="240" w:lineRule="auto"/>
              <w:jc w:val="center"/>
              <w:rPr>
                <w:rFonts w:ascii="Times New Roman" w:eastAsia="Times New Roman" w:hAnsi="Times New Roman" w:cs="Times New Roman"/>
                <w:b/>
                <w:sz w:val="28"/>
                <w:szCs w:val="28"/>
                <w:lang w:eastAsia="ru-RU"/>
              </w:rPr>
            </w:pPr>
            <w:r w:rsidRPr="00674A6B">
              <w:rPr>
                <w:rFonts w:ascii="Times New Roman" w:eastAsia="Times New Roman" w:hAnsi="Times New Roman" w:cs="Times New Roman"/>
                <w:b/>
                <w:sz w:val="28"/>
                <w:szCs w:val="28"/>
                <w:lang w:eastAsia="ru-RU"/>
              </w:rPr>
              <w:t>2028 рік</w:t>
            </w:r>
          </w:p>
        </w:tc>
      </w:tr>
      <w:tr w14:paraId="6419BA86" w14:textId="77777777" w:rsidTr="00674A6B">
        <w:tblPrEx>
          <w:tblW w:w="0" w:type="auto"/>
          <w:tblInd w:w="-310" w:type="dxa"/>
          <w:tblLook w:val="04A0"/>
        </w:tblPrEx>
        <w:trPr>
          <w:trHeight w:val="519"/>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4D5F8262" w14:textId="77777777">
            <w:pPr>
              <w:spacing w:after="0" w:line="240" w:lineRule="auto"/>
              <w:jc w:val="center"/>
              <w:rPr>
                <w:rFonts w:ascii="Times New Roman" w:eastAsia="Times New Roman" w:hAnsi="Times New Roman" w:cs="Times New Roman"/>
                <w:b/>
                <w:color w:val="7030A0"/>
                <w:sz w:val="28"/>
                <w:szCs w:val="28"/>
                <w:lang w:eastAsia="ru-RU"/>
              </w:rPr>
            </w:pPr>
            <w:r w:rsidRPr="00674A6B">
              <w:rPr>
                <w:rFonts w:ascii="Times New Roman" w:eastAsia="Times New Roman" w:hAnsi="Times New Roman" w:cs="Times New Roman"/>
                <w:b/>
                <w:sz w:val="28"/>
                <w:szCs w:val="28"/>
                <w:lang w:eastAsia="ru-RU"/>
              </w:rPr>
              <w:t>Міжбюджетні трансферти державному бюджету</w:t>
            </w:r>
          </w:p>
        </w:tc>
      </w:tr>
      <w:tr w14:paraId="5501C6C0" w14:textId="77777777" w:rsidTr="00674A6B">
        <w:tblPrEx>
          <w:tblW w:w="0" w:type="auto"/>
          <w:tblInd w:w="-310" w:type="dxa"/>
          <w:tblLook w:val="04A0"/>
        </w:tblPrEx>
        <w:trPr>
          <w:trHeight w:val="500"/>
        </w:trPr>
        <w:tc>
          <w:tcPr>
            <w:tcW w:w="4523" w:type="dxa"/>
            <w:tcBorders>
              <w:top w:val="single" w:sz="4" w:space="0" w:color="auto"/>
              <w:left w:val="single" w:sz="4" w:space="0" w:color="auto"/>
              <w:bottom w:val="single" w:sz="4" w:space="0" w:color="auto"/>
              <w:right w:val="single" w:sz="4" w:space="0" w:color="auto"/>
            </w:tcBorders>
            <w:vAlign w:val="center"/>
            <w:hideMark/>
          </w:tcPr>
          <w:p w:rsidR="00674A6B" w:rsidRPr="00674A6B" w:rsidP="00E15BA0" w14:paraId="4A15871D" w14:textId="77777777">
            <w:pPr>
              <w:spacing w:after="0" w:line="240" w:lineRule="auto"/>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Реверсна дотація</w:t>
            </w:r>
          </w:p>
        </w:tc>
        <w:tc>
          <w:tcPr>
            <w:tcW w:w="1659"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36ED349C"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155 059 100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45080CAE"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236 432 700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60DB380A"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244 717 200</w:t>
            </w:r>
          </w:p>
        </w:tc>
      </w:tr>
      <w:tr w14:paraId="7093B2D3" w14:textId="77777777" w:rsidTr="00674A6B">
        <w:tblPrEx>
          <w:tblW w:w="0" w:type="auto"/>
          <w:tblInd w:w="-310" w:type="dxa"/>
          <w:tblLook w:val="04A0"/>
        </w:tblPrEx>
        <w:trPr>
          <w:trHeight w:val="888"/>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40329BE7" w14:textId="77777777">
            <w:pPr>
              <w:spacing w:after="0" w:line="240" w:lineRule="auto"/>
              <w:jc w:val="center"/>
              <w:rPr>
                <w:rFonts w:ascii="Times New Roman" w:eastAsia="Times New Roman" w:hAnsi="Times New Roman" w:cs="Times New Roman"/>
                <w:b/>
                <w:sz w:val="28"/>
                <w:szCs w:val="28"/>
                <w:lang w:eastAsia="ru-RU"/>
              </w:rPr>
            </w:pPr>
            <w:r w:rsidRPr="00674A6B">
              <w:rPr>
                <w:rFonts w:ascii="Times New Roman" w:eastAsia="Times New Roman" w:hAnsi="Times New Roman" w:cs="Times New Roman"/>
                <w:b/>
                <w:sz w:val="28"/>
                <w:szCs w:val="28"/>
                <w:lang w:eastAsia="ru-RU"/>
              </w:rPr>
              <w:t>Міжбюджетні трансферти, які передаються з бюджету Броварської міської територіальної громади іншим бюджетам</w:t>
            </w:r>
          </w:p>
        </w:tc>
      </w:tr>
      <w:tr w14:paraId="2A025363" w14:textId="77777777" w:rsidTr="00674A6B">
        <w:tblPrEx>
          <w:tblW w:w="0" w:type="auto"/>
          <w:tblInd w:w="-310" w:type="dxa"/>
          <w:tblLook w:val="04A0"/>
        </w:tblPrEx>
        <w:trPr>
          <w:trHeight w:val="1324"/>
        </w:trPr>
        <w:tc>
          <w:tcPr>
            <w:tcW w:w="4523" w:type="dxa"/>
            <w:tcBorders>
              <w:top w:val="single" w:sz="4" w:space="0" w:color="auto"/>
              <w:left w:val="single" w:sz="4" w:space="0" w:color="auto"/>
              <w:bottom w:val="single" w:sz="4" w:space="0" w:color="auto"/>
              <w:right w:val="single" w:sz="4" w:space="0" w:color="auto"/>
            </w:tcBorders>
            <w:vAlign w:val="center"/>
            <w:hideMark/>
          </w:tcPr>
          <w:p w:rsidR="00674A6B" w:rsidRPr="00674A6B" w:rsidP="00E15BA0" w14:paraId="6D40348C" w14:textId="77777777">
            <w:pPr>
              <w:spacing w:after="0" w:line="240" w:lineRule="auto"/>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Субвенція з місцевого бюджету державному бюджету на виконання програм соціально-економічного розвитку регіонів</w:t>
            </w:r>
          </w:p>
        </w:tc>
        <w:tc>
          <w:tcPr>
            <w:tcW w:w="1659"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532CCE47"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34 500 000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78F25786"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35 901 758</w:t>
            </w:r>
          </w:p>
        </w:tc>
        <w:tc>
          <w:tcPr>
            <w:tcW w:w="1832"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0414B8CD"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42 141 177</w:t>
            </w:r>
          </w:p>
        </w:tc>
      </w:tr>
      <w:tr w14:paraId="0FCF27C6" w14:textId="77777777" w:rsidTr="00674A6B">
        <w:tblPrEx>
          <w:tblW w:w="0" w:type="auto"/>
          <w:tblInd w:w="-310" w:type="dxa"/>
          <w:tblLook w:val="04A0"/>
        </w:tblPrEx>
        <w:trPr>
          <w:trHeight w:val="1324"/>
        </w:trPr>
        <w:tc>
          <w:tcPr>
            <w:tcW w:w="4523" w:type="dxa"/>
            <w:tcBorders>
              <w:top w:val="single" w:sz="4" w:space="0" w:color="auto"/>
              <w:left w:val="single" w:sz="4" w:space="0" w:color="auto"/>
              <w:bottom w:val="single" w:sz="4" w:space="0" w:color="auto"/>
              <w:right w:val="single" w:sz="4" w:space="0" w:color="auto"/>
            </w:tcBorders>
            <w:vAlign w:val="center"/>
            <w:hideMark/>
          </w:tcPr>
          <w:p w:rsidR="00674A6B" w:rsidRPr="00674A6B" w:rsidP="00E15BA0" w14:paraId="3645B84F" w14:textId="77777777">
            <w:pPr>
              <w:spacing w:after="0" w:line="240" w:lineRule="auto"/>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Інші субвенції з місцевого бюджету/Бюджет Великодимерської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2BBC8325"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227 856</w:t>
            </w:r>
          </w:p>
        </w:tc>
        <w:tc>
          <w:tcPr>
            <w:tcW w:w="1863"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79FFF11D"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250 642</w:t>
            </w:r>
          </w:p>
        </w:tc>
        <w:tc>
          <w:tcPr>
            <w:tcW w:w="1832" w:type="dxa"/>
            <w:tcBorders>
              <w:top w:val="single" w:sz="4" w:space="0" w:color="auto"/>
              <w:left w:val="single" w:sz="4" w:space="0" w:color="auto"/>
              <w:bottom w:val="single" w:sz="4" w:space="0" w:color="auto"/>
              <w:right w:val="single" w:sz="4" w:space="0" w:color="auto"/>
            </w:tcBorders>
            <w:vAlign w:val="center"/>
            <w:hideMark/>
          </w:tcPr>
          <w:p w:rsidR="00674A6B" w:rsidRPr="00674A6B" w:rsidP="00674A6B" w14:paraId="6AD1DB18" w14:textId="77777777">
            <w:pPr>
              <w:spacing w:after="0" w:line="240" w:lineRule="auto"/>
              <w:jc w:val="center"/>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275 706</w:t>
            </w:r>
          </w:p>
        </w:tc>
      </w:tr>
    </w:tbl>
    <w:p w:rsidR="00674A6B" w:rsidRPr="00674A6B" w:rsidP="00674A6B" w14:paraId="387E2D43" w14:textId="77777777">
      <w:pPr>
        <w:spacing w:after="0" w:line="240" w:lineRule="auto"/>
        <w:ind w:firstLine="567"/>
        <w:jc w:val="center"/>
        <w:rPr>
          <w:rFonts w:ascii="Times New Roman" w:eastAsia="Calibri" w:hAnsi="Times New Roman" w:cs="Times New Roman"/>
          <w:b/>
          <w:sz w:val="28"/>
          <w:szCs w:val="28"/>
          <w:lang w:val="ru-RU" w:eastAsia="en-US"/>
        </w:rPr>
      </w:pPr>
      <w:r w:rsidRPr="00674A6B">
        <w:rPr>
          <w:rFonts w:ascii="Times New Roman" w:eastAsia="Calibri" w:hAnsi="Times New Roman" w:cs="Times New Roman"/>
          <w:b/>
          <w:sz w:val="28"/>
          <w:szCs w:val="28"/>
          <w:lang w:val="en-US" w:eastAsia="en-US"/>
        </w:rPr>
        <w:t>VIII</w:t>
      </w:r>
      <w:r w:rsidRPr="00674A6B">
        <w:rPr>
          <w:rFonts w:ascii="Times New Roman" w:eastAsia="Calibri" w:hAnsi="Times New Roman" w:cs="Times New Roman"/>
          <w:b/>
          <w:sz w:val="28"/>
          <w:szCs w:val="28"/>
          <w:lang w:eastAsia="en-US"/>
        </w:rPr>
        <w:t>. Інші положення та показники прогнозу бюджету</w:t>
      </w:r>
    </w:p>
    <w:p w:rsidR="00674A6B" w:rsidRPr="00674A6B" w:rsidP="00674A6B" w14:paraId="5B9B2CB1" w14:textId="77777777">
      <w:pPr>
        <w:spacing w:after="0" w:line="240" w:lineRule="auto"/>
        <w:ind w:firstLine="567"/>
        <w:jc w:val="center"/>
        <w:rPr>
          <w:rFonts w:ascii="Times New Roman" w:eastAsia="Calibri" w:hAnsi="Times New Roman" w:cs="Times New Roman"/>
          <w:b/>
          <w:sz w:val="16"/>
          <w:szCs w:val="16"/>
          <w:lang w:val="ru-RU" w:eastAsia="en-US"/>
        </w:rPr>
      </w:pPr>
    </w:p>
    <w:p w:rsidR="00674A6B" w:rsidRPr="00674A6B" w:rsidP="00674A6B" w14:paraId="6B0E7BD5" w14:textId="77777777">
      <w:pPr>
        <w:spacing w:after="0" w:line="240" w:lineRule="auto"/>
        <w:ind w:firstLine="567"/>
        <w:jc w:val="both"/>
        <w:rPr>
          <w:rFonts w:ascii="Times New Roman" w:eastAsia="Calibri" w:hAnsi="Times New Roman" w:cs="Times New Roman"/>
          <w:sz w:val="28"/>
          <w:szCs w:val="28"/>
          <w:lang w:val="ru-RU" w:eastAsia="en-US"/>
        </w:rPr>
      </w:pPr>
      <w:r w:rsidRPr="00674A6B">
        <w:rPr>
          <w:rFonts w:ascii="Times New Roman" w:eastAsia="Calibri" w:hAnsi="Times New Roman" w:cs="Times New Roman"/>
          <w:sz w:val="28"/>
          <w:szCs w:val="28"/>
          <w:lang w:eastAsia="en-US"/>
        </w:rPr>
        <w:t>В прогнозі бюджету Броварської міської територіальної громади на 202</w:t>
      </w:r>
      <w:r w:rsidRPr="00674A6B">
        <w:rPr>
          <w:rFonts w:ascii="Times New Roman" w:eastAsia="Calibri" w:hAnsi="Times New Roman" w:cs="Times New Roman"/>
          <w:sz w:val="28"/>
          <w:szCs w:val="28"/>
          <w:lang w:val="ru-RU" w:eastAsia="en-US"/>
        </w:rPr>
        <w:t>6</w:t>
      </w:r>
      <w:r w:rsidRPr="00674A6B">
        <w:rPr>
          <w:rFonts w:ascii="Times New Roman" w:eastAsia="Calibri" w:hAnsi="Times New Roman" w:cs="Times New Roman"/>
          <w:sz w:val="28"/>
          <w:szCs w:val="28"/>
          <w:lang w:eastAsia="en-US"/>
        </w:rPr>
        <w:t>-202</w:t>
      </w:r>
      <w:r w:rsidRPr="00674A6B">
        <w:rPr>
          <w:rFonts w:ascii="Times New Roman" w:eastAsia="Calibri" w:hAnsi="Times New Roman" w:cs="Times New Roman"/>
          <w:sz w:val="28"/>
          <w:szCs w:val="28"/>
          <w:lang w:val="ru-RU" w:eastAsia="en-US"/>
        </w:rPr>
        <w:t>8</w:t>
      </w:r>
      <w:r w:rsidRPr="00674A6B">
        <w:rPr>
          <w:rFonts w:ascii="Times New Roman" w:eastAsia="Calibri" w:hAnsi="Times New Roman" w:cs="Times New Roman"/>
          <w:sz w:val="28"/>
          <w:szCs w:val="28"/>
          <w:lang w:eastAsia="en-US"/>
        </w:rPr>
        <w:t xml:space="preserve"> роки наявні наступні додатки: </w:t>
      </w:r>
    </w:p>
    <w:p w:rsidR="00674A6B" w:rsidRPr="00674A6B" w:rsidP="00674A6B" w14:paraId="25B18C0C"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додаток 1 «Загальні показники бюджету»; </w:t>
      </w:r>
    </w:p>
    <w:p w:rsidR="00674A6B" w:rsidRPr="00674A6B" w:rsidP="00674A6B" w14:paraId="275670F7"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додаток 2 «Показники доходів бюджету»; </w:t>
      </w:r>
    </w:p>
    <w:p w:rsidR="00674A6B" w:rsidRPr="00674A6B" w:rsidP="00674A6B" w14:paraId="3A388DF2"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додаток 3 «Показники фінансування бюджету»;</w:t>
      </w:r>
    </w:p>
    <w:p w:rsidR="00674A6B" w:rsidRPr="00674A6B" w:rsidP="00674A6B" w14:paraId="26AA4B11"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додаток 4 «Показники місцевого боргу»; </w:t>
      </w:r>
    </w:p>
    <w:p w:rsidR="00674A6B" w:rsidRPr="00674A6B" w:rsidP="00674A6B" w14:paraId="6E0E8FF5"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додаток 6 «Граничні показники видатків бюджету та надання кредитів з бюджету головним розпорядникам коштів»;</w:t>
      </w:r>
    </w:p>
    <w:p w:rsidR="00674A6B" w:rsidRPr="00674A6B" w:rsidP="00674A6B" w14:paraId="3FB5A077"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додаток 7 «Граничні показники видатків бюджету за Типовою програмною класифікацією видатків та кредитування місцевого бюджету»;</w:t>
      </w:r>
    </w:p>
    <w:p w:rsidR="00674A6B" w:rsidRPr="00674A6B" w:rsidP="00674A6B" w14:paraId="35D9D5D0"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додаток 9 «Обсяг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Броварської міської територіальної громади на 2026–2028роки»; </w:t>
      </w:r>
    </w:p>
    <w:p w:rsidR="00674A6B" w:rsidRPr="00674A6B" w:rsidP="00674A6B" w14:paraId="00EC6B93"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 xml:space="preserve">додаток 10 «Показники міжбюджетних трансфертів з інших бюджетів»; </w:t>
      </w:r>
    </w:p>
    <w:p w:rsidR="00674A6B" w:rsidRPr="00674A6B" w:rsidP="00674A6B" w14:paraId="08E7A62C"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додаток 11 «Показники міжбюджетних трансфертів іншим бюджетам».</w:t>
      </w:r>
    </w:p>
    <w:p w:rsidR="00674A6B" w:rsidRPr="00674A6B" w:rsidP="00674A6B" w14:paraId="39DE8934" w14:textId="77777777">
      <w:pPr>
        <w:spacing w:after="0" w:line="240" w:lineRule="auto"/>
        <w:ind w:firstLine="567"/>
        <w:jc w:val="both"/>
        <w:rPr>
          <w:rFonts w:ascii="Times New Roman" w:eastAsia="Times New Roman" w:hAnsi="Times New Roman" w:cs="Times New Roman"/>
          <w:sz w:val="16"/>
          <w:szCs w:val="16"/>
          <w:lang w:eastAsia="ru-RU"/>
        </w:rPr>
      </w:pPr>
    </w:p>
    <w:p w:rsidR="00674A6B" w:rsidRPr="00674A6B" w:rsidP="00674A6B" w14:paraId="29425D1B"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додаток 5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не подається до Прогнозу, у зв’язку з відсутністю показників;</w:t>
      </w:r>
    </w:p>
    <w:p w:rsidR="00674A6B" w:rsidRPr="00674A6B" w:rsidP="00674A6B" w14:paraId="71FAA26E" w14:textId="77777777">
      <w:pPr>
        <w:spacing w:after="0" w:line="240" w:lineRule="auto"/>
        <w:ind w:firstLine="567"/>
        <w:jc w:val="both"/>
        <w:rPr>
          <w:rFonts w:ascii="Times New Roman" w:eastAsia="Times New Roman" w:hAnsi="Times New Roman" w:cs="Times New Roman"/>
          <w:sz w:val="28"/>
          <w:szCs w:val="28"/>
          <w:lang w:eastAsia="ru-RU"/>
        </w:rPr>
      </w:pPr>
      <w:r w:rsidRPr="00674A6B">
        <w:rPr>
          <w:rFonts w:ascii="Times New Roman" w:eastAsia="Times New Roman" w:hAnsi="Times New Roman" w:cs="Times New Roman"/>
          <w:sz w:val="28"/>
          <w:szCs w:val="28"/>
          <w:lang w:eastAsia="ru-RU"/>
        </w:rPr>
        <w:t>додаток 8 «Граничні показники кредитування бюджету за Типовою програмною класифікацією видатків та кредитування місцевого бюджету» не подається до Прогнозу, у зв’язку з відсутністю показників.</w:t>
      </w:r>
    </w:p>
    <w:p w:rsidR="00674A6B" w:rsidRPr="00674A6B" w:rsidP="00674A6B" w14:paraId="37365D0F" w14:textId="77777777">
      <w:pPr>
        <w:spacing w:after="0" w:line="240" w:lineRule="auto"/>
        <w:ind w:firstLine="567"/>
        <w:jc w:val="both"/>
        <w:rPr>
          <w:rFonts w:ascii="Times New Roman" w:eastAsia="Times New Roman" w:hAnsi="Times New Roman" w:cs="Times New Roman"/>
          <w:sz w:val="16"/>
          <w:szCs w:val="16"/>
          <w:lang w:eastAsia="ru-RU"/>
        </w:rPr>
      </w:pPr>
    </w:p>
    <w:p w:rsidR="00674A6B" w:rsidRPr="00674A6B" w:rsidP="00674A6B" w14:paraId="3B9CCF1B" w14:textId="77777777">
      <w:pPr>
        <w:spacing w:after="0" w:line="240" w:lineRule="auto"/>
        <w:ind w:firstLine="567"/>
        <w:jc w:val="both"/>
        <w:rPr>
          <w:rFonts w:ascii="Times New Roman" w:eastAsia="Calibri" w:hAnsi="Times New Roman" w:cs="Times New Roman"/>
          <w:sz w:val="28"/>
          <w:szCs w:val="28"/>
          <w:lang w:eastAsia="en-US"/>
        </w:rPr>
      </w:pPr>
      <w:r w:rsidRPr="00674A6B">
        <w:rPr>
          <w:rFonts w:ascii="Times New Roman" w:eastAsia="Calibri" w:hAnsi="Times New Roman" w:cs="Times New Roman"/>
          <w:sz w:val="28"/>
          <w:szCs w:val="28"/>
          <w:lang w:eastAsia="en-US"/>
        </w:rPr>
        <w:t xml:space="preserve">Конкретні показники обсягів бюджету Броварської міської територіальної громади на 2026-2028 роки будуть уточнюватися залежно від законодавчих змін у податковій політиці, показників соціального та економічного розвитку території та реальних можливостей бюджету на відповідні роки. </w:t>
      </w:r>
    </w:p>
    <w:p w:rsidR="00674A6B" w:rsidRPr="00674A6B" w:rsidP="00674A6B" w14:paraId="09C223AA" w14:textId="77777777">
      <w:pPr>
        <w:spacing w:after="0" w:line="240" w:lineRule="auto"/>
        <w:ind w:firstLine="567"/>
        <w:jc w:val="both"/>
        <w:rPr>
          <w:rFonts w:ascii="Times New Roman" w:eastAsia="Calibri" w:hAnsi="Times New Roman" w:cs="Times New Roman"/>
          <w:sz w:val="28"/>
          <w:szCs w:val="28"/>
          <w:lang w:eastAsia="en-US"/>
        </w:rPr>
      </w:pPr>
    </w:p>
    <w:p w:rsidR="00674A6B" w:rsidRPr="00674A6B" w:rsidP="00674A6B" w14:paraId="77DEF6F6" w14:textId="77777777">
      <w:pPr>
        <w:spacing w:after="0" w:line="240" w:lineRule="auto"/>
        <w:ind w:firstLine="567"/>
        <w:jc w:val="both"/>
        <w:rPr>
          <w:rFonts w:ascii="Times New Roman" w:eastAsia="Calibri" w:hAnsi="Times New Roman" w:cs="Times New Roman"/>
          <w:sz w:val="28"/>
          <w:szCs w:val="28"/>
          <w:lang w:eastAsia="en-US"/>
        </w:rPr>
      </w:pPr>
    </w:p>
    <w:p w:rsidR="00674A6B" w:rsidRPr="00674A6B" w:rsidP="00674A6B" w14:paraId="3FB54323" w14:textId="77777777">
      <w:pPr>
        <w:spacing w:after="0" w:line="240" w:lineRule="auto"/>
        <w:ind w:firstLine="567"/>
        <w:jc w:val="both"/>
        <w:rPr>
          <w:rFonts w:ascii="Times New Roman" w:eastAsia="Calibri" w:hAnsi="Times New Roman" w:cs="Times New Roman"/>
          <w:sz w:val="28"/>
          <w:szCs w:val="28"/>
          <w:lang w:eastAsia="en-US"/>
        </w:rPr>
      </w:pPr>
    </w:p>
    <w:p w:rsidR="00674A6B" w:rsidRPr="00674A6B" w:rsidP="00674A6B" w14:paraId="27DD74A7" w14:textId="77777777">
      <w:pPr>
        <w:spacing w:after="0" w:line="240" w:lineRule="auto"/>
        <w:jc w:val="both"/>
        <w:rPr>
          <w:rFonts w:ascii="Times New Roman" w:eastAsia="Calibri" w:hAnsi="Times New Roman" w:cs="Times New Roman"/>
          <w:color w:val="FF0000"/>
          <w:sz w:val="28"/>
          <w:szCs w:val="28"/>
          <w:lang w:val="en-US" w:eastAsia="en-US"/>
        </w:rPr>
      </w:pPr>
      <w:r w:rsidRPr="00674A6B">
        <w:rPr>
          <w:rFonts w:ascii="Times New Roman" w:eastAsia="Calibri" w:hAnsi="Times New Roman" w:cs="Times New Roman"/>
          <w:sz w:val="28"/>
          <w:szCs w:val="28"/>
          <w:lang w:eastAsia="en-US"/>
        </w:rPr>
        <w:t>Міський голова                                                                     Ігор САПОЖКО</w:t>
      </w:r>
    </w:p>
    <w:permEnd w:id="0"/>
    <w:p w:rsidR="00231682" w:rsidRPr="003B2A39" w:rsidP="00674A6B" w14:paraId="7804F9AA" w14:textId="52FF4CA9">
      <w:pPr>
        <w:tabs>
          <w:tab w:val="left" w:pos="5610"/>
          <w:tab w:val="left" w:pos="6358"/>
        </w:tabs>
        <w:spacing w:after="0"/>
        <w:ind w:left="5103"/>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ndika">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674A6B"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1744BD" w:rsidR="001744BD">
          <w:rPr>
            <w:rFonts w:ascii="Times New Roman" w:hAnsi="Times New Roman" w:cs="Times New Roman"/>
            <w:noProof/>
            <w:sz w:val="24"/>
            <w:szCs w:val="24"/>
            <w:lang w:val="ru-RU"/>
          </w:rPr>
          <w:t>44</w:t>
        </w:r>
        <w:r w:rsidRPr="00231682">
          <w:rPr>
            <w:rFonts w:ascii="Times New Roman" w:hAnsi="Times New Roman" w:cs="Times New Roman"/>
            <w:sz w:val="24"/>
            <w:szCs w:val="24"/>
          </w:rPr>
          <w:fldChar w:fldCharType="end"/>
        </w:r>
      </w:p>
    </w:sdtContent>
  </w:sdt>
  <w:p w:rsidR="00674A6B"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674A6B"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674A6B"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0E3083"/>
    <w:multiLevelType w:val="hybridMultilevel"/>
    <w:tmpl w:val="303CC86E"/>
    <w:lvl w:ilvl="0">
      <w:start w:val="0"/>
      <w:numFmt w:val="bullet"/>
      <w:lvlText w:val="-"/>
      <w:lvlJc w:val="left"/>
      <w:pPr>
        <w:ind w:left="927" w:hanging="360"/>
      </w:pPr>
      <w:rPr>
        <w:rFonts w:ascii="Times New Roman" w:eastAsia="Calibri"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
    <w:nsid w:val="162259D6"/>
    <w:multiLevelType w:val="hybridMultilevel"/>
    <w:tmpl w:val="10DAF79C"/>
    <w:lvl w:ilvl="0">
      <w:start w:val="303"/>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CFF6A31"/>
    <w:multiLevelType w:val="hybridMultilevel"/>
    <w:tmpl w:val="C97AF064"/>
    <w:lvl w:ilvl="0">
      <w:start w:val="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0"/>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2782F"/>
    <w:rsid w:val="00046963"/>
    <w:rsid w:val="00092BE2"/>
    <w:rsid w:val="000E0637"/>
    <w:rsid w:val="001060A6"/>
    <w:rsid w:val="001744BD"/>
    <w:rsid w:val="00231682"/>
    <w:rsid w:val="00261AA5"/>
    <w:rsid w:val="0029694D"/>
    <w:rsid w:val="003005EB"/>
    <w:rsid w:val="003377E0"/>
    <w:rsid w:val="003735BC"/>
    <w:rsid w:val="003A2799"/>
    <w:rsid w:val="003B2A39"/>
    <w:rsid w:val="004208DA"/>
    <w:rsid w:val="00424AD7"/>
    <w:rsid w:val="004E41C7"/>
    <w:rsid w:val="00524AF7"/>
    <w:rsid w:val="00545B76"/>
    <w:rsid w:val="00674A6B"/>
    <w:rsid w:val="006A5D24"/>
    <w:rsid w:val="007732CE"/>
    <w:rsid w:val="007C582E"/>
    <w:rsid w:val="00821BD7"/>
    <w:rsid w:val="00853C00"/>
    <w:rsid w:val="008763AB"/>
    <w:rsid w:val="00910331"/>
    <w:rsid w:val="00973F9B"/>
    <w:rsid w:val="00A84A56"/>
    <w:rsid w:val="00AE57AA"/>
    <w:rsid w:val="00B20C04"/>
    <w:rsid w:val="00CB633A"/>
    <w:rsid w:val="00D40875"/>
    <w:rsid w:val="00DA4B1F"/>
    <w:rsid w:val="00E15BA0"/>
    <w:rsid w:val="00E71A04"/>
    <w:rsid w:val="00EC35BD"/>
    <w:rsid w:val="00EF4D7B"/>
    <w:rsid w:val="00F15596"/>
    <w:rsid w:val="00FD378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numbering" w:customStyle="1" w:styleId="1">
    <w:name w:val="Нет списка1"/>
    <w:next w:val="NoList"/>
    <w:uiPriority w:val="99"/>
    <w:semiHidden/>
    <w:unhideWhenUsed/>
    <w:rsid w:val="00674A6B"/>
  </w:style>
  <w:style w:type="character" w:styleId="Hyperlink">
    <w:name w:val="Hyperlink"/>
    <w:uiPriority w:val="99"/>
    <w:semiHidden/>
    <w:unhideWhenUsed/>
    <w:rsid w:val="00674A6B"/>
    <w:rPr>
      <w:color w:val="0000FF"/>
      <w:u w:val="single"/>
    </w:rPr>
  </w:style>
  <w:style w:type="character" w:styleId="FollowedHyperlink">
    <w:name w:val="FollowedHyperlink"/>
    <w:uiPriority w:val="99"/>
    <w:semiHidden/>
    <w:unhideWhenUsed/>
    <w:rsid w:val="00674A6B"/>
    <w:rPr>
      <w:color w:val="800080"/>
      <w:u w:val="single"/>
    </w:rPr>
  </w:style>
  <w:style w:type="character" w:customStyle="1" w:styleId="a1">
    <w:name w:val="Обычный (веб) Знак"/>
    <w:link w:val="NormalWeb"/>
    <w:uiPriority w:val="99"/>
    <w:semiHidden/>
    <w:locked/>
    <w:rsid w:val="00674A6B"/>
    <w:rPr>
      <w:rFonts w:ascii="Times New Roman" w:eastAsia="Times New Roman" w:hAnsi="Times New Roman" w:cs="Times New Roman"/>
      <w:sz w:val="24"/>
      <w:szCs w:val="24"/>
      <w:lang w:val="x-none" w:eastAsia="x-none"/>
    </w:rPr>
  </w:style>
  <w:style w:type="paragraph" w:styleId="NormalWeb">
    <w:name w:val="Normal (Web)"/>
    <w:basedOn w:val="Normal"/>
    <w:link w:val="a1"/>
    <w:uiPriority w:val="99"/>
    <w:semiHidden/>
    <w:unhideWhenUsed/>
    <w:rsid w:val="00674A6B"/>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BodyText">
    <w:name w:val="Body Text"/>
    <w:basedOn w:val="Normal"/>
    <w:link w:val="a2"/>
    <w:uiPriority w:val="99"/>
    <w:semiHidden/>
    <w:unhideWhenUsed/>
    <w:rsid w:val="00674A6B"/>
    <w:pPr>
      <w:spacing w:after="120"/>
    </w:pPr>
    <w:rPr>
      <w:rFonts w:ascii="Calibri" w:eastAsia="Calibri" w:hAnsi="Calibri" w:cs="Times New Roman"/>
      <w:lang w:val="x-none" w:eastAsia="en-US"/>
    </w:rPr>
  </w:style>
  <w:style w:type="character" w:customStyle="1" w:styleId="a2">
    <w:name w:val="Основной текст Знак"/>
    <w:basedOn w:val="DefaultParagraphFont"/>
    <w:link w:val="BodyText"/>
    <w:uiPriority w:val="99"/>
    <w:semiHidden/>
    <w:rsid w:val="00674A6B"/>
    <w:rPr>
      <w:rFonts w:ascii="Calibri" w:eastAsia="Calibri" w:hAnsi="Calibri" w:cs="Times New Roman"/>
      <w:lang w:val="x-none" w:eastAsia="en-US"/>
    </w:rPr>
  </w:style>
  <w:style w:type="paragraph" w:styleId="BodyTextIndent">
    <w:name w:val="Body Text Indent"/>
    <w:basedOn w:val="Normal"/>
    <w:link w:val="a3"/>
    <w:uiPriority w:val="99"/>
    <w:semiHidden/>
    <w:unhideWhenUsed/>
    <w:rsid w:val="00674A6B"/>
    <w:pPr>
      <w:spacing w:after="120"/>
      <w:ind w:left="283"/>
    </w:pPr>
    <w:rPr>
      <w:rFonts w:ascii="Calibri" w:eastAsia="Calibri" w:hAnsi="Calibri" w:cs="Times New Roman"/>
      <w:lang w:val="x-none" w:eastAsia="en-US"/>
    </w:rPr>
  </w:style>
  <w:style w:type="character" w:customStyle="1" w:styleId="a3">
    <w:name w:val="Основной текст с отступом Знак"/>
    <w:basedOn w:val="DefaultParagraphFont"/>
    <w:link w:val="BodyTextIndent"/>
    <w:uiPriority w:val="99"/>
    <w:semiHidden/>
    <w:rsid w:val="00674A6B"/>
    <w:rPr>
      <w:rFonts w:ascii="Calibri" w:eastAsia="Calibri" w:hAnsi="Calibri" w:cs="Times New Roman"/>
      <w:lang w:val="x-none" w:eastAsia="en-US"/>
    </w:rPr>
  </w:style>
  <w:style w:type="paragraph" w:styleId="BodyText2">
    <w:name w:val="Body Text 2"/>
    <w:basedOn w:val="Normal"/>
    <w:link w:val="2"/>
    <w:uiPriority w:val="99"/>
    <w:semiHidden/>
    <w:unhideWhenUsed/>
    <w:rsid w:val="00674A6B"/>
    <w:pPr>
      <w:spacing w:after="0" w:line="240" w:lineRule="auto"/>
    </w:pPr>
    <w:rPr>
      <w:rFonts w:ascii="Times New Roman" w:eastAsia="Times New Roman" w:hAnsi="Times New Roman" w:cs="Times New Roman"/>
      <w:szCs w:val="20"/>
      <w:lang w:eastAsia="x-none"/>
    </w:rPr>
  </w:style>
  <w:style w:type="character" w:customStyle="1" w:styleId="2">
    <w:name w:val="Основной текст 2 Знак"/>
    <w:basedOn w:val="DefaultParagraphFont"/>
    <w:link w:val="BodyText2"/>
    <w:uiPriority w:val="99"/>
    <w:semiHidden/>
    <w:rsid w:val="00674A6B"/>
    <w:rPr>
      <w:rFonts w:ascii="Times New Roman" w:eastAsia="Times New Roman" w:hAnsi="Times New Roman" w:cs="Times New Roman"/>
      <w:szCs w:val="20"/>
      <w:lang w:eastAsia="x-none"/>
    </w:rPr>
  </w:style>
  <w:style w:type="paragraph" w:styleId="BodyTextIndent3">
    <w:name w:val="Body Text Indent 3"/>
    <w:basedOn w:val="Normal"/>
    <w:link w:val="3"/>
    <w:uiPriority w:val="99"/>
    <w:semiHidden/>
    <w:unhideWhenUsed/>
    <w:rsid w:val="00674A6B"/>
    <w:pPr>
      <w:spacing w:after="120"/>
      <w:ind w:left="283"/>
    </w:pPr>
    <w:rPr>
      <w:rFonts w:ascii="Calibri" w:eastAsia="Calibri" w:hAnsi="Calibri" w:cs="Times New Roman"/>
      <w:sz w:val="16"/>
      <w:szCs w:val="16"/>
      <w:lang w:val="x-none" w:eastAsia="en-US"/>
    </w:rPr>
  </w:style>
  <w:style w:type="character" w:customStyle="1" w:styleId="3">
    <w:name w:val="Основной текст с отступом 3 Знак"/>
    <w:basedOn w:val="DefaultParagraphFont"/>
    <w:link w:val="BodyTextIndent3"/>
    <w:uiPriority w:val="99"/>
    <w:semiHidden/>
    <w:rsid w:val="00674A6B"/>
    <w:rPr>
      <w:rFonts w:ascii="Calibri" w:eastAsia="Calibri" w:hAnsi="Calibri" w:cs="Times New Roman"/>
      <w:sz w:val="16"/>
      <w:szCs w:val="16"/>
      <w:lang w:val="x-none" w:eastAsia="en-US"/>
    </w:rPr>
  </w:style>
  <w:style w:type="character" w:customStyle="1" w:styleId="a4">
    <w:name w:val="Без интервала Знак"/>
    <w:link w:val="NoSpacing"/>
    <w:uiPriority w:val="1"/>
    <w:locked/>
    <w:rsid w:val="00674A6B"/>
    <w:rPr>
      <w:lang w:eastAsia="en-US"/>
    </w:rPr>
  </w:style>
  <w:style w:type="paragraph" w:styleId="NoSpacing">
    <w:name w:val="No Spacing"/>
    <w:link w:val="a4"/>
    <w:uiPriority w:val="1"/>
    <w:qFormat/>
    <w:rsid w:val="00674A6B"/>
    <w:pPr>
      <w:spacing w:after="0" w:line="240" w:lineRule="auto"/>
    </w:pPr>
    <w:rPr>
      <w:lang w:eastAsia="en-US"/>
    </w:rPr>
  </w:style>
  <w:style w:type="character" w:customStyle="1" w:styleId="a5">
    <w:name w:val="Абзац списка Знак"/>
    <w:link w:val="ListParagraph"/>
    <w:uiPriority w:val="34"/>
    <w:locked/>
    <w:rsid w:val="00674A6B"/>
    <w:rPr>
      <w:lang w:val="x-none" w:eastAsia="en-US"/>
    </w:rPr>
  </w:style>
  <w:style w:type="paragraph" w:customStyle="1" w:styleId="10">
    <w:name w:val="Абзац списка1"/>
    <w:basedOn w:val="Normal"/>
    <w:next w:val="ListParagraph"/>
    <w:uiPriority w:val="34"/>
    <w:qFormat/>
    <w:rsid w:val="00674A6B"/>
    <w:pPr>
      <w:ind w:left="720"/>
      <w:contextualSpacing/>
    </w:pPr>
    <w:rPr>
      <w:lang w:val="x-none" w:eastAsia="en-US"/>
    </w:rPr>
  </w:style>
  <w:style w:type="character" w:customStyle="1" w:styleId="20">
    <w:name w:val="Основной текст (2)_"/>
    <w:link w:val="21"/>
    <w:locked/>
    <w:rsid w:val="00674A6B"/>
    <w:rPr>
      <w:rFonts w:ascii="Times New Roman" w:eastAsia="Times New Roman" w:hAnsi="Times New Roman" w:cs="Times New Roman"/>
      <w:sz w:val="28"/>
      <w:szCs w:val="28"/>
      <w:shd w:val="clear" w:color="auto" w:fill="FFFFFF"/>
    </w:rPr>
  </w:style>
  <w:style w:type="paragraph" w:customStyle="1" w:styleId="21">
    <w:name w:val="Основной текст (2)"/>
    <w:basedOn w:val="Normal"/>
    <w:link w:val="20"/>
    <w:rsid w:val="00674A6B"/>
    <w:pPr>
      <w:widowControl w:val="0"/>
      <w:shd w:val="clear" w:color="auto" w:fill="FFFFFF"/>
      <w:spacing w:after="0" w:line="322" w:lineRule="exact"/>
      <w:jc w:val="both"/>
    </w:pPr>
    <w:rPr>
      <w:rFonts w:ascii="Times New Roman" w:eastAsia="Times New Roman" w:hAnsi="Times New Roman" w:cs="Times New Roman"/>
      <w:sz w:val="28"/>
      <w:szCs w:val="28"/>
    </w:rPr>
  </w:style>
  <w:style w:type="paragraph" w:customStyle="1" w:styleId="FR2">
    <w:name w:val="FR2"/>
    <w:uiPriority w:val="99"/>
    <w:qFormat/>
    <w:rsid w:val="00674A6B"/>
    <w:pPr>
      <w:widowControl w:val="0"/>
      <w:snapToGrid w:val="0"/>
      <w:spacing w:after="0" w:line="240" w:lineRule="auto"/>
      <w:jc w:val="both"/>
    </w:pPr>
    <w:rPr>
      <w:rFonts w:ascii="Times New Roman" w:eastAsia="Times New Roman" w:hAnsi="Times New Roman" w:cs="Times New Roman"/>
      <w:sz w:val="36"/>
      <w:szCs w:val="20"/>
      <w:lang w:eastAsia="ru-RU"/>
    </w:rPr>
  </w:style>
  <w:style w:type="character" w:customStyle="1" w:styleId="xfm74375522">
    <w:name w:val="xfm_74375522"/>
    <w:rsid w:val="00674A6B"/>
  </w:style>
  <w:style w:type="character" w:customStyle="1" w:styleId="xfm88428596">
    <w:name w:val="xfm_88428596"/>
    <w:rsid w:val="00674A6B"/>
  </w:style>
  <w:style w:type="character" w:customStyle="1" w:styleId="29pt">
    <w:name w:val="Основной текст (2) + 9 pt"/>
    <w:aliases w:val="Полужирный"/>
    <w:rsid w:val="00674A6B"/>
    <w:rPr>
      <w:rFonts w:ascii="Times New Roman" w:eastAsia="Times New Roman" w:hAnsi="Times New Roman" w:cs="Times New Roman" w:hint="default"/>
      <w:b/>
      <w:bCs/>
      <w:color w:val="000000"/>
      <w:spacing w:val="0"/>
      <w:w w:val="100"/>
      <w:position w:val="0"/>
      <w:sz w:val="18"/>
      <w:szCs w:val="18"/>
      <w:shd w:val="clear" w:color="auto" w:fill="FFFFFF"/>
      <w:lang w:val="uk-UA" w:eastAsia="uk-UA" w:bidi="uk-UA"/>
    </w:rPr>
  </w:style>
  <w:style w:type="character" w:customStyle="1" w:styleId="210pt">
    <w:name w:val="Основной текст (2) + 10 pt"/>
    <w:rsid w:val="00674A6B"/>
    <w:rPr>
      <w:rFonts w:ascii="Times New Roman" w:eastAsia="Times New Roman" w:hAnsi="Times New Roman" w:cs="Times New Roman" w:hint="default"/>
      <w:color w:val="000000"/>
      <w:spacing w:val="0"/>
      <w:w w:val="100"/>
      <w:position w:val="0"/>
      <w:sz w:val="20"/>
      <w:szCs w:val="20"/>
      <w:shd w:val="clear" w:color="auto" w:fill="FFFFFF"/>
      <w:lang w:val="uk-UA" w:eastAsia="uk-UA" w:bidi="uk-UA"/>
    </w:rPr>
  </w:style>
  <w:style w:type="character" w:customStyle="1" w:styleId="apple-tab-span">
    <w:name w:val="apple-tab-span"/>
    <w:rsid w:val="00674A6B"/>
  </w:style>
  <w:style w:type="table" w:styleId="TableGrid">
    <w:name w:val="Table Grid"/>
    <w:basedOn w:val="TableNormal"/>
    <w:uiPriority w:val="59"/>
    <w:rsid w:val="00674A6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a5"/>
    <w:uiPriority w:val="34"/>
    <w:qFormat/>
    <w:rsid w:val="00674A6B"/>
    <w:pPr>
      <w:ind w:left="720"/>
      <w:contextualSpacing/>
    </w:pPr>
    <w:rPr>
      <w:lang w:val="x-none" w:eastAsia="en-US"/>
    </w:rPr>
  </w:style>
  <w:style w:type="paragraph" w:styleId="BalloonText">
    <w:name w:val="Balloon Text"/>
    <w:basedOn w:val="Normal"/>
    <w:link w:val="a6"/>
    <w:uiPriority w:val="99"/>
    <w:semiHidden/>
    <w:unhideWhenUsed/>
    <w:rsid w:val="00674A6B"/>
    <w:pPr>
      <w:spacing w:after="0" w:line="240" w:lineRule="auto"/>
    </w:pPr>
    <w:rPr>
      <w:rFonts w:ascii="Tahoma" w:hAnsi="Tahoma" w:cs="Tahoma"/>
      <w:sz w:val="16"/>
      <w:szCs w:val="16"/>
    </w:rPr>
  </w:style>
  <w:style w:type="character" w:customStyle="1" w:styleId="a6">
    <w:name w:val="Текст выноски Знак"/>
    <w:basedOn w:val="DefaultParagraphFont"/>
    <w:link w:val="BalloonText"/>
    <w:uiPriority w:val="99"/>
    <w:semiHidden/>
    <w:rsid w:val="00674A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ndika">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194F71"/>
    <w:rsid w:val="00540CE0"/>
    <w:rsid w:val="00594642"/>
    <w:rsid w:val="007515F8"/>
    <w:rsid w:val="00762F67"/>
    <w:rsid w:val="00837777"/>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44</Pages>
  <Words>62798</Words>
  <Characters>35795</Characters>
  <Application>Microsoft Office Word</Application>
  <DocSecurity>8</DocSecurity>
  <Lines>298</Lines>
  <Paragraphs>196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98397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2025-08-18T08:38:00Z</dcterms:modified>
</cp:coreProperties>
</file>