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ПВ-573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>дітей, позбавлених батьківського піклування, ***, *** р.н., та ***, ***</w:t>
      </w:r>
      <w:r>
        <w:rPr>
          <w:rFonts w:ascii="Times New Roman" w:hAnsi="Times New Roman"/>
          <w:b/>
          <w:sz w:val="28"/>
        </w:rPr>
        <w:t xml:space="preserve">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  <w:gridCol w:w="5108"/>
      </w:tblGrid>
      <w:tr>
        <w:tblPrEx>
          <w:tblW w:w="9355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ГАЙДАЄНКО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136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355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ГОЛУБНИЧА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136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355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ІГНАТЕНКО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Дарина </w:t>
            </w:r>
          </w:p>
        </w:tc>
        <w:tc>
          <w:tcPr>
            <w:tcW w:w="5136" w:type="dxa"/>
          </w:tcPr>
          <w:p>
            <w:pPr>
              <w:pStyle w:val="NoSpacing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355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ЛЕГЕНЬКА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соціальний педагог Броварського ліцею №9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2023-07-14T06:00:10Z</dcterms:modified>
</cp:coreProperties>
</file>