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ПВ-573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піклування, ***, *** р.н., та ***, ***</w:t>
      </w:r>
      <w:r>
        <w:rPr>
          <w:rFonts w:ascii="Times New Roman" w:hAnsi="Times New Roman"/>
          <w:b/>
          <w:sz w:val="28"/>
        </w:rPr>
        <w:t xml:space="preserve">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5108"/>
      </w:tblGrid>
      <w:tr>
        <w:tblPrEx>
          <w:tblW w:w="9355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ГАЙДАЄНКО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136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355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ГОЛУБНИЧА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136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355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ІГНАТЕНКО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Дарина </w:t>
            </w:r>
          </w:p>
        </w:tc>
        <w:tc>
          <w:tcPr>
            <w:tcW w:w="5136" w:type="dxa"/>
          </w:tcPr>
          <w:p>
            <w:pPr>
              <w:pStyle w:val="NoSpacing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355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ЛЕГЕНЬКА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соціальний педагог Броварського ліцею №9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2023-07-14T06:00:10Z</dcterms:modified>
</cp:coreProperties>
</file>