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6B72A8D1" w14:textId="3C7ABB6B" w:rsidR="00EB1585" w:rsidRPr="00F15AC9" w:rsidRDefault="00696599" w:rsidP="00F15AC9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4B39BC88" w14:textId="716BFD08" w:rsidR="00DD6891" w:rsidRPr="00DD6891" w:rsidRDefault="00F15AC9" w:rsidP="00DD6891">
      <w:pPr>
        <w:spacing w:after="0"/>
        <w:ind w:left="-284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«</w:t>
      </w:r>
      <w:r w:rsidR="00DD6891" w:rsidRPr="00DD68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технічн</w:t>
      </w:r>
      <w:r w:rsidR="0060613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ої</w:t>
      </w:r>
      <w:r w:rsidR="00DD6891" w:rsidRPr="00DD68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документаці</w:t>
      </w:r>
      <w:r w:rsidR="0060613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ї</w:t>
      </w:r>
      <w:r w:rsidR="00DD6891" w:rsidRPr="00DD68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з</w:t>
      </w:r>
    </w:p>
    <w:p w14:paraId="01029722" w14:textId="71CEB115" w:rsidR="00DD6891" w:rsidRPr="00DD6891" w:rsidRDefault="00DD6891" w:rsidP="00F15AC9">
      <w:pPr>
        <w:spacing w:after="0"/>
        <w:ind w:left="-142" w:right="-142" w:hanging="14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DD68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нормативної грошової оцінки земельн</w:t>
      </w:r>
      <w:r w:rsidR="0060613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ої</w:t>
      </w:r>
      <w:r w:rsidRPr="00DD68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ділян</w:t>
      </w:r>
      <w:r w:rsidR="0060613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ки</w:t>
      </w:r>
      <w:r w:rsidR="00F15AC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6998394F" w:rsidR="001900E2" w:rsidRPr="00B17943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</w:t>
      </w:r>
      <w:r w:rsidR="00B17943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затвердження технічної документації з нормативної грошової оцінки земельн</w:t>
      </w:r>
      <w:r w:rsidR="009C45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</w:t>
      </w:r>
      <w:r w:rsidR="009C45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ки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34E2B230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165BC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00FA8381" w:rsidR="0074644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</w:t>
      </w:r>
      <w:r w:rsidR="009C45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17943" w:rsidRPr="009C45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ТОВ </w:t>
      </w:r>
      <w:r w:rsidR="009C45D1" w:rsidRPr="009C45D1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«ТН ПРОМ ГРУП» </w:t>
      </w:r>
      <w:r w:rsidR="00B17943" w:rsidRPr="009C45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затвердження технічної документації з нормативної грошової оцінки земельн</w:t>
      </w:r>
      <w:r w:rsidR="009C45D1" w:rsidRPr="009C45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</w:t>
      </w:r>
      <w:r w:rsidR="009C45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ки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9C45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розташованої за межами населеного пункту, 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що перебува</w:t>
      </w:r>
      <w:r w:rsidR="009C45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приватній власності товариства,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DF82CFC" w:rsidR="0074644B" w:rsidRPr="00DD6891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DD6891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="00165BC5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DD6891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DD6891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726EE273" w14:textId="44BCBCA9" w:rsidR="00DD6891" w:rsidRPr="00DD6891" w:rsidRDefault="00BF767C" w:rsidP="00DD689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D6891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DD689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DD6891" w:rsidRPr="00DD6891">
        <w:rPr>
          <w:rFonts w:ascii="Times New Roman" w:hAnsi="Times New Roman" w:cs="Times New Roman"/>
          <w:sz w:val="28"/>
          <w:szCs w:val="28"/>
          <w:lang w:val="uk-UA" w:eastAsia="zh-CN"/>
        </w:rPr>
        <w:t>12,201 Земельного кодексу України, статті 271 Податкового кодексу України, статті 23 Закону України «Про оцінку земель», пунктом 34 статті 26 Закону України «Про місцеве самоврядування в Україні».</w:t>
      </w:r>
    </w:p>
    <w:p w14:paraId="1EA8F748" w14:textId="69D7A116" w:rsidR="00DD6891" w:rsidRPr="00DD6891" w:rsidRDefault="00DD6891" w:rsidP="00B17943">
      <w:pPr>
        <w:shd w:val="clear" w:color="auto" w:fill="FFFFFF"/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n3"/>
      <w:bookmarkEnd w:id="0"/>
      <w:r w:rsidRPr="00DD68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Технічна документація розроблена відповідно до постанови Кабінету Міністрів України </w:t>
      </w:r>
      <w:r w:rsidR="00B17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D68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Методики нормативної грошової оцінки земельних ділянок</w:t>
      </w:r>
      <w:r w:rsidR="00B17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D68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3 листопада 2021 р. № 1147</w:t>
      </w:r>
      <w:r w:rsidR="00B179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79E6AC6" w14:textId="7DCEAFD1" w:rsidR="00DD6891" w:rsidRDefault="00DD6891" w:rsidP="00DD689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D68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Технічна документація з нормативної грошової оцінки земельних ділянок затверджується відповідною сільською, селищною, міською радою. Протягом місяця з дня надходження технічної документації з нормативної грошової оцінки відповідна сільська, селищна, міська рада розглядає та приймає рішення про затвердження або відмову в затвердженні такої технічної документації.</w:t>
      </w:r>
    </w:p>
    <w:p w14:paraId="5D7F9B5F" w14:textId="1AE23097" w:rsidR="0074644B" w:rsidRPr="005B75FD" w:rsidRDefault="0074644B" w:rsidP="00DD689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DD6891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0AFA625F" w:rsidR="0074644B" w:rsidRDefault="0074644B" w:rsidP="00DD689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0A62101D" w:rsidR="009C57E5" w:rsidRPr="00B17943" w:rsidRDefault="00B17943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Юридична особа</w:t>
      </w:r>
      <w:r w:rsidR="009C57E5" w:rsidRPr="009C57E5">
        <w:rPr>
          <w:rFonts w:ascii="Times New Roman" w:hAnsi="Times New Roman"/>
          <w:sz w:val="28"/>
          <w:szCs w:val="28"/>
        </w:rPr>
        <w:t xml:space="preserve"> отрима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="009C57E5" w:rsidRPr="009C57E5">
        <w:rPr>
          <w:rFonts w:ascii="Times New Roman" w:hAnsi="Times New Roman"/>
          <w:sz w:val="28"/>
          <w:szCs w:val="28"/>
        </w:rPr>
        <w:t xml:space="preserve"> результат розгляду звернення. </w:t>
      </w:r>
      <w:r>
        <w:rPr>
          <w:rFonts w:ascii="Times New Roman" w:hAnsi="Times New Roman"/>
          <w:sz w:val="28"/>
          <w:szCs w:val="28"/>
          <w:lang w:val="uk-UA"/>
        </w:rPr>
        <w:t>Зможе застосовувати нормативну грошову оцінку земельн</w:t>
      </w:r>
      <w:r w:rsidR="009C45D1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9C45D1">
        <w:rPr>
          <w:rFonts w:ascii="Times New Roman" w:hAnsi="Times New Roman"/>
          <w:sz w:val="28"/>
          <w:szCs w:val="28"/>
          <w:lang w:val="uk-UA"/>
        </w:rPr>
        <w:t>ки</w:t>
      </w:r>
      <w:r>
        <w:rPr>
          <w:rFonts w:ascii="Times New Roman" w:hAnsi="Times New Roman"/>
          <w:sz w:val="28"/>
          <w:szCs w:val="28"/>
          <w:lang w:val="uk-UA"/>
        </w:rPr>
        <w:t xml:space="preserve"> у випадках передбачених Законом «Про оцінку земель» відповідно</w:t>
      </w:r>
      <w:r w:rsidR="009C45D1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 xml:space="preserve"> вимог Податкового кодексу України.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132A409F" w14:textId="77777777" w:rsidR="00F56BBE" w:rsidRPr="00C52C21" w:rsidRDefault="00F56BBE" w:rsidP="00F56BBE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2C685" w14:textId="77777777" w:rsidR="00F56BBE" w:rsidRPr="00954DDB" w:rsidRDefault="00F56BBE" w:rsidP="00F56B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DD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2C21" w:rsidRPr="00954DDB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5B69C9FE" w14:textId="4F3B2396" w:rsidR="00722357" w:rsidRPr="00954DDB" w:rsidRDefault="00F56BBE" w:rsidP="00F56B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954DDB"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="00C52C21" w:rsidRPr="00954D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DD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sectPr w:rsidR="00722357" w:rsidRPr="00954DDB" w:rsidSect="00B17943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C571" w14:textId="77777777" w:rsidR="00A42611" w:rsidRDefault="00A42611" w:rsidP="00457D0D">
      <w:pPr>
        <w:spacing w:after="0" w:line="240" w:lineRule="auto"/>
      </w:pPr>
      <w:r>
        <w:separator/>
      </w:r>
    </w:p>
  </w:endnote>
  <w:endnote w:type="continuationSeparator" w:id="0">
    <w:p w14:paraId="7D2E5FDE" w14:textId="77777777" w:rsidR="00A42611" w:rsidRDefault="00A42611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9E1C" w14:textId="77777777" w:rsidR="00A42611" w:rsidRDefault="00A42611" w:rsidP="00457D0D">
      <w:pPr>
        <w:spacing w:after="0" w:line="240" w:lineRule="auto"/>
      </w:pPr>
      <w:r>
        <w:separator/>
      </w:r>
    </w:p>
  </w:footnote>
  <w:footnote w:type="continuationSeparator" w:id="0">
    <w:p w14:paraId="33A4313C" w14:textId="77777777" w:rsidR="00A42611" w:rsidRDefault="00A42611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17318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798A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65BC5"/>
    <w:rsid w:val="00171E25"/>
    <w:rsid w:val="001900E2"/>
    <w:rsid w:val="0019423C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342C"/>
    <w:rsid w:val="00286406"/>
    <w:rsid w:val="00291084"/>
    <w:rsid w:val="00291322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071EC"/>
    <w:rsid w:val="003613A9"/>
    <w:rsid w:val="00361CD8"/>
    <w:rsid w:val="00371107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46D13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613B"/>
    <w:rsid w:val="006214A7"/>
    <w:rsid w:val="00636149"/>
    <w:rsid w:val="00652A36"/>
    <w:rsid w:val="0066569C"/>
    <w:rsid w:val="006712F3"/>
    <w:rsid w:val="00671365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07303"/>
    <w:rsid w:val="00827775"/>
    <w:rsid w:val="0086743B"/>
    <w:rsid w:val="008D42C2"/>
    <w:rsid w:val="008D698E"/>
    <w:rsid w:val="008E1C51"/>
    <w:rsid w:val="008E4B9E"/>
    <w:rsid w:val="00930B97"/>
    <w:rsid w:val="00933B15"/>
    <w:rsid w:val="00944480"/>
    <w:rsid w:val="00954DDB"/>
    <w:rsid w:val="009909B1"/>
    <w:rsid w:val="00995A87"/>
    <w:rsid w:val="009C04F6"/>
    <w:rsid w:val="009C1D2C"/>
    <w:rsid w:val="009C45D1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42611"/>
    <w:rsid w:val="00A50B08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17943"/>
    <w:rsid w:val="00B2546C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D6891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15AC9"/>
    <w:rsid w:val="00F20834"/>
    <w:rsid w:val="00F30440"/>
    <w:rsid w:val="00F30CAF"/>
    <w:rsid w:val="00F46D9B"/>
    <w:rsid w:val="00F53842"/>
    <w:rsid w:val="00F55A05"/>
    <w:rsid w:val="00F56BBE"/>
    <w:rsid w:val="00F64D55"/>
    <w:rsid w:val="00F94522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uxer</cp:lastModifiedBy>
  <cp:revision>7</cp:revision>
  <cp:lastPrinted>2022-12-10T09:55:00Z</cp:lastPrinted>
  <dcterms:created xsi:type="dcterms:W3CDTF">2025-08-08T07:24:00Z</dcterms:created>
  <dcterms:modified xsi:type="dcterms:W3CDTF">2025-08-11T08:15:00Z</dcterms:modified>
</cp:coreProperties>
</file>