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uto" w:line="240" w:beforeAutospacing="0" w:afterAutospacing="0"/>
        <w:ind w:lef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 w:val="1"/>
          <w:color w:val="000000"/>
          <w:sz w:val="28"/>
          <w:szCs w:val="28"/>
        </w:rPr>
        <w:t xml:space="preserve">Про затвердження Статуту </w:t>
      </w:r>
      <w:r>
        <w:rPr>
          <w:rFonts w:ascii="Times New Roman" w:hAnsi="Times New Roman"/>
          <w:b w:val="1"/>
          <w:color w:val="000000"/>
          <w:sz w:val="28"/>
          <w:szCs w:val="28"/>
          <w:lang w:val="uk-UA"/>
        </w:rPr>
        <w:t xml:space="preserve">та Структури </w:t>
      </w:r>
      <w:r>
        <w:rPr>
          <w:rFonts w:ascii="Times New Roman" w:hAnsi="Times New Roman"/>
          <w:b w:val="1"/>
          <w:color w:val="000000"/>
          <w:sz w:val="28"/>
          <w:szCs w:val="28"/>
        </w:rPr>
        <w:t>комунального закладу «Броварський краєзнавчий музей» Броварської міської ради Броварського району Київської області в новій редакції</w:t>
      </w:r>
      <w:r>
        <w:rPr>
          <w:rFonts w:ascii="Times New Roman" w:hAnsi="Times New Roman"/>
          <w:b w:val="1"/>
          <w:sz w:val="28"/>
          <w:szCs w:val="28"/>
          <w:lang w:val="uk-UA"/>
        </w:rPr>
        <w:t>»</w:t>
      </w:r>
    </w:p>
    <w:p>
      <w:pPr>
        <w:suppressAutoHyphens w:val="1"/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7"/>
          <w:szCs w:val="27"/>
          <w:lang w:val="uk-UA"/>
        </w:rPr>
        <w:t xml:space="preserve">Броварського району </w:t>
      </w:r>
      <w:r>
        <w:rPr>
          <w:rFonts w:ascii="Times New Roman" w:hAnsi="Times New Roman"/>
          <w:sz w:val="27"/>
          <w:szCs w:val="27"/>
        </w:rPr>
        <w:t>Київської області</w:t>
      </w:r>
      <w:r>
        <w:rPr>
          <w:rFonts w:ascii="Times New Roman" w:hAnsi="Times New Roman"/>
          <w:sz w:val="27"/>
          <w:szCs w:val="27"/>
          <w:lang w:val="uk-UA"/>
        </w:rPr>
        <w:t xml:space="preserve"> VIII скликання</w:t>
      </w:r>
      <w:r>
        <w:rPr>
          <w:rFonts w:ascii="Times New Roman" w:hAnsi="Times New Roman"/>
          <w:sz w:val="27"/>
          <w:szCs w:val="27"/>
        </w:rPr>
        <w:t>.</w:t>
      </w:r>
    </w:p>
    <w:p>
      <w:pPr>
        <w:keepNext w:val="1"/>
        <w:suppressAutoHyphens w:val="1"/>
        <w:spacing w:lineRule="auto" w:line="240" w:after="0" w:beforeAutospacing="0" w:afterAutospacing="0"/>
        <w:ind w:left="-284"/>
        <w:outlineLvl w:val="1"/>
        <w:rPr>
          <w:rFonts w:ascii="Times New Roman" w:hAnsi="Times New Roman"/>
          <w:b w:val="1"/>
          <w:sz w:val="27"/>
          <w:szCs w:val="27"/>
          <w:lang w:eastAsia="zh-CN"/>
        </w:rPr>
      </w:pPr>
      <w:r>
        <w:rPr>
          <w:rFonts w:ascii="Times New Roman" w:hAnsi="Times New Roman"/>
          <w:b w:val="1"/>
          <w:sz w:val="27"/>
          <w:szCs w:val="27"/>
          <w:lang w:eastAsia="zh-CN"/>
        </w:rPr>
        <w:t>1. Обґрунтування необхідності прийняття рішення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Необхідність затвердження нової редакції Статуту комунального закладу «Броварський краєзнавчий музей» зумовлена потребою приведення установчих документів у відповідність до вимог чинного законодавства України у сфері музейної справи та організаційно-штатної структури закладу.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Також враховано рекомендації, викладені у пункті 5 Акту за результатами перевірки діяльності закладу від 05.06.2025 щодо необхідності доукомплектування штату та удосконалення внутрішньої нормативної бази.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284" w:left="-284"/>
        <w:jc w:val="both"/>
        <w:rPr>
          <w:rFonts w:ascii="Times New Roman" w:hAnsi="Times New Roman"/>
          <w:b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>2.Мета і шляхи її досягнення</w:t>
      </w:r>
    </w:p>
    <w:p>
      <w:pPr>
        <w:tabs>
          <w:tab w:val="left" w:pos="301" w:leader="none"/>
        </w:tabs>
        <w:spacing w:lineRule="auto" w:line="240" w:after="0" w:beforeAutospacing="0" w:afterAutospacing="0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•</w:t>
        <w:tab/>
        <w:t xml:space="preserve"> Забезпечення ефективної діяльності комунального закладу.</w:t>
      </w:r>
    </w:p>
    <w:p>
      <w:pPr>
        <w:tabs>
          <w:tab w:val="left" w:pos="301" w:leader="none"/>
        </w:tabs>
        <w:spacing w:lineRule="auto" w:line="240" w:after="0" w:beforeAutospacing="0" w:afterAutospacing="0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•</w:t>
        <w:tab/>
        <w:t xml:space="preserve"> Підвищення якості зберігання музейних фондів та ведення документації.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 xml:space="preserve">•    Унормування внутрішньої структури та функціонування закладу.</w:t>
      </w:r>
    </w:p>
    <w:p>
      <w:pPr>
        <w:suppressAutoHyphens w:val="1"/>
        <w:spacing w:lineRule="auto" w:line="240" w:after="0" w:beforeAutospacing="0" w:afterAutospacing="0"/>
        <w:ind w:firstLine="284" w:left="-284"/>
        <w:jc w:val="both"/>
        <w:rPr>
          <w:rFonts w:ascii="Times New Roman" w:hAnsi="Times New Roman"/>
          <w:i w:val="1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val="uk-UA" w:eastAsia="zh-CN"/>
        </w:rPr>
        <w:t xml:space="preserve">3.Правові аспекти </w:t>
      </w:r>
      <w:r>
        <w:rPr>
          <w:rFonts w:ascii="Times New Roman" w:hAnsi="Times New Roman"/>
          <w:i w:val="1"/>
          <w:color w:val="000000"/>
          <w:sz w:val="27"/>
          <w:szCs w:val="27"/>
          <w:lang w:val="uk-UA" w:eastAsia="zh-CN"/>
        </w:rPr>
        <w:t xml:space="preserve"> 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Проєкт рішення розроблено відповідно до: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-Закону України «Про місцеве самоврядування в Україні» (пункт 30 частини 1 статті 26);</w:t>
      </w:r>
    </w:p>
    <w:p>
      <w:pPr>
        <w:tabs>
          <w:tab w:val="left" w:pos="272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-</w:t>
        <w:tab/>
        <w:t xml:space="preserve"> Закону України «Про культуру»;</w:t>
      </w:r>
    </w:p>
    <w:p>
      <w:pPr>
        <w:tabs>
          <w:tab w:val="left" w:pos="272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-</w:t>
        <w:tab/>
        <w:t xml:space="preserve"> Закону України «Про музейну справу та музейний фонд»;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- рекомендацій, викладених у пункті 5 Акту за результатами перевірки діяльності КЗ «Броварський краєзнавчий музей» від 05.06.2025, про доукомплектування штату закладу відповідно до законодавчих вимог щодо музейної справи, ведення документації та забезпечення належного зберігання музейних предметів.</w:t>
      </w:r>
    </w:p>
    <w:p>
      <w:pPr>
        <w:suppressAutoHyphens w:val="1"/>
        <w:spacing w:lineRule="auto" w:line="240" w:after="0" w:beforeAutospacing="0" w:afterAutospacing="0"/>
        <w:ind w:firstLine="284" w:left="-284"/>
        <w:jc w:val="both"/>
        <w:rPr>
          <w:rFonts w:ascii="Times New Roman" w:hAnsi="Times New Roman"/>
          <w:b w:val="1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val="uk-UA" w:eastAsia="zh-CN"/>
        </w:rPr>
        <w:t>4. Фінансово-економічне обґрунтування</w:t>
      </w:r>
    </w:p>
    <w:p>
      <w:pPr>
        <w:spacing w:lineRule="auto" w:line="240" w:after="0" w:beforeAutospacing="0" w:afterAutospacing="0"/>
        <w:ind w:left="-284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Оплата праці нових штатних одиниць, передбачених оновленим Статутом, здійснюватиметься в межах коштів, затверджених у міському бюджеті на утримання закладів культури.</w:t>
      </w:r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Питання фінансування узгоджуватиметься з фінансовим управлінням згідно з уточненим штатним розписом та бюджетними асигнуваннями на відповідний бюджетний рік</w:t>
        <w:tab/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val="uk-UA" w:eastAsia="zh-CN"/>
        </w:rPr>
        <w:t>5. Прогноз результатів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>Унормування діяльності КЗ «Броварський краєзнавчий музей» відповідно до сучасних вимог. Зміцнення кадрового потенціалу закладу. Підвищення рівня музейної роботи, ведення документації, обліку та збереження фондів.</w:t>
      </w:r>
    </w:p>
    <w:p>
      <w:pPr>
        <w:spacing w:lineRule="auto" w:line="24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>
        <w:rPr>
          <w:rFonts w:ascii="Times New Roman" w:hAnsi="Times New Roman"/>
          <w:color w:val="000000"/>
          <w:sz w:val="27"/>
          <w:szCs w:val="27"/>
          <w:lang w:val="uk-UA" w:eastAsia="zh-CN"/>
        </w:rPr>
        <w:t>Покращення організаційної структури та якості надання культурних послуг громаді.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i w:val="1"/>
          <w:sz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    6. Суб’єкт подання проекту рішення </w:t>
      </w:r>
      <w:r>
        <w:rPr>
          <w:rFonts w:ascii="Times New Roman" w:hAnsi="Times New Roman"/>
          <w:i w:val="1"/>
          <w:sz w:val="28"/>
          <w:lang w:val="uk-UA"/>
        </w:rPr>
        <w:t xml:space="preserve"> 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  <w:r>
        <w:rPr>
          <w:rFonts w:ascii="Times New Roman" w:hAnsi="Times New Roman"/>
          <w:color w:val="000000"/>
          <w:sz w:val="27"/>
          <w:szCs w:val="27"/>
        </w:rPr>
        <w:t>Керівник управління - Ярмоленко Аліна Анатоліївна.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Доповідач по проекту та відповідальна особа за підготовку даного проекту - Ярмоленко Аліна Анатоліївна, +3804594 6-09-44.</w:t>
      </w:r>
    </w:p>
    <w:p>
      <w:pPr>
        <w:spacing w:after="0" w:beforeAutospacing="0" w:afterAutospacing="0"/>
        <w:rPr>
          <w:rFonts w:ascii="Times New Roman" w:hAnsi="Times New Roman"/>
          <w:color w:val="000000"/>
          <w:sz w:val="27"/>
          <w:szCs w:val="27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7</w:t>
      </w:r>
      <w:r>
        <w:rPr>
          <w:rFonts w:ascii="Times New Roman" w:hAnsi="Times New Roman"/>
          <w:b w:val="1"/>
          <w:sz w:val="28"/>
          <w:szCs w:val="28"/>
        </w:rPr>
        <w:t xml:space="preserve">. Порівняльна таблиця </w:t>
      </w:r>
      <w:r>
        <w:rPr>
          <w:rFonts w:ascii="Times New Roman" w:hAnsi="Times New Roman"/>
          <w:i w:val="1"/>
          <w:sz w:val="28"/>
        </w:rPr>
        <w:t xml:space="preserve"> </w:t>
      </w:r>
    </w:p>
    <w:tbl>
      <w:tblPr>
        <w:tblW w:w="9782" w:type="dxa"/>
        <w:tblInd w:w="-318" w:type="dxa"/>
        <w:tblBorders>
          <w:top w:val="single" w:sz="6" w:space="0" w:shadow="0" w:frame="0" w:color="auto"/>
          <w:left w:val="single" w:sz="6" w:space="0" w:shadow="0" w:frame="0" w:color="auto"/>
          <w:bottom w:val="single" w:sz="6" w:space="0" w:shadow="0" w:frame="0" w:color="auto"/>
          <w:right w:val="single" w:sz="6" w:space="0" w:shadow="0" w:frame="0" w:color="auto"/>
          <w:insideH w:val="single" w:sz="6" w:space="0" w:shadow="0" w:frame="0" w:color="auto"/>
          <w:insideV w:val="single" w:sz="6" w:space="0" w:shadow="0" w:frame="0" w:color="auto"/>
        </w:tblBorders>
        <w:shd w:val="clear" w:fill="FFFFFF"/>
        <w:tblLook w:val="04A0"/>
      </w:tblPr>
      <w:tblGrid>
        <w:gridCol w:w="4991"/>
        <w:gridCol w:w="4791"/>
      </w:tblGrid>
      <w:tr>
        <w:trPr>
          <w:trHeight w:hRule="atLeast" w:val="2234"/>
        </w:trPr>
        <w:tc>
          <w:tcPr>
            <w:tcW w:w="4991" w:type="dxa"/>
          </w:tcPr>
          <w:p>
            <w:pPr>
              <w:widowControl w:val="0"/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  <w:lang w:val="uk-UA"/>
              </w:rPr>
              <w:t>Було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Статут комунального закладу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"Броварський краєзнавчий музей"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 І. Загальні положення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1.1. Комунальний заклад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«Броварський краєзнавчий музей»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Броварської міської ради Броварського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району Київської області (надалі - 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Заклад) - заклад, заснований на базі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відокремленої частини майна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комунальної власності Броварської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міської територіальної громади (далі –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територіальна громада), утворений та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зареєстрований в порядку, визначеному законом, що регулює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діяльність   неприбуткової організації.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Заклад внесений контролюючим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органом до Реєстру неприбуткових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установ та організацій.</w:t>
            </w:r>
          </w:p>
          <w:p>
            <w:pPr>
              <w:spacing w:lineRule="auto" w:line="240" w:after="0"/>
              <w:jc w:val="left"/>
              <w:rPr>
                <w:rFonts w:ascii="Times New Roman" w:hAnsi="Times New Roman"/>
                <w:b w:val="1"/>
                <w:i w:val="0"/>
                <w:bCs w:val="1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sz w:val="26"/>
              </w:rPr>
              <w:t xml:space="preserve">  9.2. 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lang/>
              </w:rPr>
              <w:t xml:space="preserve">Зміни та доповнення до Статуту затверджуються </w:t>
            </w:r>
            <w:r>
              <w:rPr>
                <w:rFonts w:ascii="Times New Roman" w:hAnsi="Times New Roman"/>
                <w:b w:val="1"/>
                <w:i w:val="0"/>
                <w:bCs w:val="1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і погоджуються з</w:t>
            </w:r>
            <w:r>
              <w:rPr>
                <w:rFonts w:ascii="Times New Roman" w:hAnsi="Times New Roman"/>
                <w:b w:val="1"/>
                <w:i w:val="0"/>
                <w:bCs w:val="1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spacing w:lineRule="auto" w:line="240" w:after="0"/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1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Органом управління</w:t>
            </w:r>
          </w:p>
          <w:p>
            <w:pPr>
              <w:spacing w:lineRule="auto" w:line="240" w:after="0"/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lang/>
              </w:rPr>
              <w:t>в тому порядку, що і сам Статут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color w:val="000000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 xml:space="preserve">  </w:t>
            </w:r>
          </w:p>
          <w:p>
            <w:pPr>
              <w:widowControl w:val="0"/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СТРУКТУРА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Комунального закладу «Броварський  краєзнавчий музей» Броварської</w:t>
            </w:r>
            <w:r>
              <w:rPr>
                <w:rFonts w:ascii="Times New Roman" w:hAnsi="Times New Roman"/>
                <w:b w:val="1"/>
                <w:sz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1"/>
                <w:sz w:val="26"/>
              </w:rPr>
              <w:t xml:space="preserve">  міської ради Броварського району  Київської області та чисельність  працівників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Директор </w:t>
            </w:r>
            <w:r>
              <w:rPr>
                <w:rFonts w:ascii="Times New Roman" w:hAnsi="Times New Roman"/>
                <w:sz w:val="26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6"/>
              </w:rPr>
              <w:t>1 од.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Старший науковий співробітник 2 од.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Науковий співробітник</w:t>
            </w:r>
            <w:r>
              <w:rPr>
                <w:rFonts w:ascii="Times New Roman" w:hAnsi="Times New Roman"/>
                <w:b w:val="1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b w:val="1"/>
                <w:sz w:val="26"/>
              </w:rPr>
              <w:t xml:space="preserve"> 1 од.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Головний зберігач </w:t>
            </w:r>
            <w:r>
              <w:rPr>
                <w:rFonts w:ascii="Times New Roman" w:hAnsi="Times New Roman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sz w:val="26"/>
              </w:rPr>
              <w:t>1 од.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Музейний доглядач – 1 од.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Робітник по ремонту будівель і споруд  </w:t>
            </w:r>
            <w:r>
              <w:rPr>
                <w:rFonts w:ascii="Times New Roman" w:hAnsi="Times New Roman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sz w:val="26"/>
              </w:rPr>
              <w:t>1 од.</w:t>
            </w:r>
          </w:p>
          <w:p>
            <w:pPr>
              <w:widowControl w:val="0"/>
              <w:numPr>
                <w:ilvl w:val="0"/>
                <w:numId w:val="2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Прибиральник службових</w:t>
            </w:r>
          </w:p>
          <w:p>
            <w:pPr>
              <w:widowControl w:val="0"/>
              <w:ind w:hanging="360" w:left="492"/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приміщень </w:t>
            </w:r>
            <w:r>
              <w:rPr>
                <w:rFonts w:ascii="Times New Roman" w:hAnsi="Times New Roman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sz w:val="26"/>
              </w:rPr>
              <w:t>1 од.</w:t>
            </w:r>
          </w:p>
          <w:p>
            <w:pPr>
              <w:widowControl w:val="0"/>
              <w:contextualSpacing w:val="1"/>
              <w:rPr>
                <w:rFonts w:ascii="Times New Roman" w:hAnsi="Times New Roman"/>
                <w:sz w:val="26"/>
              </w:rPr>
            </w:pPr>
          </w:p>
          <w:p>
            <w:pPr>
              <w:widowControl w:val="0"/>
              <w:contextualSpacing w:val="1"/>
              <w:rPr>
                <w:rFonts w:ascii="Times New Roman" w:hAnsi="Times New Roman"/>
                <w:sz w:val="26"/>
              </w:rPr>
            </w:pPr>
          </w:p>
          <w:p>
            <w:pPr>
              <w:widowControl w:val="0"/>
              <w:contextualSpacing w:val="1"/>
              <w:rPr>
                <w:rFonts w:ascii="Times New Roman" w:hAnsi="Times New Roman"/>
                <w:sz w:val="26"/>
              </w:rPr>
            </w:pPr>
          </w:p>
          <w:p>
            <w:pPr>
              <w:widowControl w:val="0"/>
              <w:spacing w:lineRule="auto" w:line="240" w:beforeAutospacing="0" w:afterAutospacing="0"/>
              <w:rPr>
                <w:rFonts w:ascii="Times New Roman" w:hAnsi="Times New Roman"/>
                <w:b w:val="1"/>
                <w:color w:val="000000"/>
                <w:sz w:val="26"/>
                <w:lang w:val="uk-UA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</w:rPr>
              <w:t xml:space="preserve">   Всього:  8 од.</w:t>
            </w:r>
          </w:p>
        </w:tc>
        <w:tc>
          <w:tcPr>
            <w:tcW w:w="4791" w:type="dxa"/>
          </w:tcPr>
          <w:p>
            <w:pPr>
              <w:widowControl w:val="0"/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color w:val="000000"/>
                <w:sz w:val="26"/>
                <w:lang w:val="uk-UA"/>
              </w:rPr>
            </w:pPr>
            <w:r>
              <w:rPr>
                <w:rFonts w:ascii="Times New Roman" w:hAnsi="Times New Roman"/>
                <w:b w:val="1"/>
                <w:color w:val="000000"/>
                <w:sz w:val="26"/>
                <w:lang w:val="uk-UA"/>
              </w:rPr>
              <w:t>Стало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Статут комунального закладу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"Броварський краєзнавчий музей"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 І. Загальні положення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1.1. Комунальний заклад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«Броварський      краєзнавчий музей»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Броварської міської ради Броварського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району Київської області (надалі –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Заклад) – </w:t>
            </w:r>
            <w:r>
              <w:rPr>
                <w:rFonts w:ascii="Times New Roman" w:hAnsi="Times New Roman"/>
                <w:b w:val="1"/>
                <w:sz w:val="26"/>
              </w:rPr>
              <w:t>музейний заклад</w:t>
            </w:r>
            <w:r>
              <w:rPr>
                <w:rFonts w:ascii="Times New Roman" w:hAnsi="Times New Roman"/>
                <w:sz w:val="26"/>
              </w:rPr>
              <w:t xml:space="preserve">,   заснований на базі відокремленої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частини майна комунальної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власностіБроварської міської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територіальної громади (далі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- територіальна громада),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утворений та зареєстрований в порядку, визначеному законом, що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регулює діяльність   неприбуткової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організації.Заклад внесений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контролюючим  внесений контролюючим органом до Реєстру 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неприбуткових установ та  організацій.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9.2. 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mallCaps w:val="0"/>
                <w:strike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/>
              </w:rPr>
              <w:t>Зміни та доповнення до Статуту затверджуються в тому порядку, що і сам Статут.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  <w:lang w:val="uk-UA"/>
              </w:rPr>
              <w:t xml:space="preserve">            </w:t>
            </w:r>
            <w:r>
              <w:rPr>
                <w:rFonts w:ascii="Times New Roman" w:hAnsi="Times New Roman"/>
                <w:b w:val="1"/>
                <w:sz w:val="26"/>
              </w:rPr>
              <w:t>СТРУКТУРА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   Комунального закладу «Броварський   краєзнавчий музей» Броварської   міської ради Броварського району   Київської області та чисельність   працівників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Директор</w:t>
            </w:r>
            <w:r>
              <w:rPr>
                <w:rFonts w:ascii="Times New Roman" w:hAnsi="Times New Roman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sz w:val="26"/>
              </w:rPr>
              <w:t xml:space="preserve"> 1 од.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Старший науковий співробітник </w:t>
            </w:r>
            <w:r>
              <w:rPr>
                <w:rFonts w:ascii="Times New Roman" w:hAnsi="Times New Roman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sz w:val="26"/>
              </w:rPr>
              <w:t>2 од.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Головний зберігач фондів</w:t>
            </w:r>
            <w:r>
              <w:rPr>
                <w:rFonts w:ascii="Times New Roman" w:hAnsi="Times New Roman"/>
                <w:b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 од</w:t>
            </w:r>
            <w:r>
              <w:rPr>
                <w:rFonts w:ascii="Times New Roman" w:hAnsi="Times New Roman"/>
                <w:b w:val="1"/>
                <w:sz w:val="26"/>
              </w:rPr>
              <w:t>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Зберігач фондів </w:t>
            </w:r>
            <w:r>
              <w:rPr>
                <w:rFonts w:ascii="Times New Roman" w:hAnsi="Times New Roman"/>
                <w:b w:val="1"/>
                <w:sz w:val="26"/>
                <w:lang w:val="uk-UA"/>
              </w:rPr>
              <w:t xml:space="preserve">- </w:t>
            </w:r>
            <w:r>
              <w:rPr>
                <w:rFonts w:ascii="Times New Roman" w:hAnsi="Times New Roman"/>
                <w:b w:val="1"/>
                <w:sz w:val="26"/>
              </w:rPr>
              <w:t>1 од</w:t>
            </w:r>
            <w:r>
              <w:rPr>
                <w:rFonts w:ascii="Times New Roman" w:hAnsi="Times New Roman"/>
                <w:b w:val="1"/>
                <w:color w:val="000000"/>
                <w:sz w:val="26"/>
              </w:rPr>
              <w:t>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Лектор (екскурсовод) </w:t>
            </w:r>
            <w:r>
              <w:rPr>
                <w:rFonts w:ascii="Times New Roman" w:hAnsi="Times New Roman"/>
                <w:b w:val="1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b w:val="1"/>
                <w:sz w:val="26"/>
              </w:rPr>
              <w:t xml:space="preserve"> 1 од</w:t>
            </w:r>
            <w:r>
              <w:rPr>
                <w:rFonts w:ascii="Times New Roman" w:hAnsi="Times New Roman"/>
                <w:b w:val="1"/>
                <w:color w:val="000000"/>
                <w:sz w:val="26"/>
              </w:rPr>
              <w:t>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Діловод </w:t>
            </w:r>
            <w:r>
              <w:rPr>
                <w:rFonts w:ascii="Times New Roman" w:hAnsi="Times New Roman"/>
                <w:b w:val="1"/>
                <w:sz w:val="26"/>
                <w:lang w:val="uk-UA"/>
              </w:rPr>
              <w:t xml:space="preserve">- </w:t>
            </w:r>
            <w:r>
              <w:rPr>
                <w:rFonts w:ascii="Times New Roman" w:hAnsi="Times New Roman"/>
                <w:b w:val="1"/>
                <w:sz w:val="26"/>
              </w:rPr>
              <w:t>1 од</w:t>
            </w:r>
            <w:r>
              <w:rPr>
                <w:rFonts w:ascii="Times New Roman" w:hAnsi="Times New Roman"/>
                <w:b w:val="1"/>
                <w:color w:val="000000"/>
                <w:sz w:val="26"/>
              </w:rPr>
              <w:t>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Музейний доглядач – 1 од.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Робітник по ремонту будівель і </w:t>
            </w:r>
          </w:p>
          <w:p>
            <w:pPr>
              <w:widowControl w:val="0"/>
              <w:ind w:hanging="360" w:left="552"/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споруд  </w:t>
            </w:r>
            <w:r>
              <w:rPr>
                <w:rFonts w:ascii="Times New Roman" w:hAnsi="Times New Roman"/>
                <w:sz w:val="26"/>
                <w:lang w:val="uk-UA"/>
              </w:rPr>
              <w:t>-</w:t>
            </w:r>
            <w:r>
              <w:rPr>
                <w:rFonts w:ascii="Times New Roman" w:hAnsi="Times New Roman"/>
                <w:sz w:val="26"/>
              </w:rPr>
              <w:t>1 од.</w:t>
            </w:r>
          </w:p>
          <w:p>
            <w:pPr>
              <w:widowControl w:val="0"/>
              <w:numPr>
                <w:ilvl w:val="0"/>
                <w:numId w:val="3"/>
              </w:numPr>
              <w:contextualSpacing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Прибиральник службових приміщень </w:t>
            </w:r>
            <w:r>
              <w:rPr>
                <w:rFonts w:ascii="Times New Roman" w:hAnsi="Times New Roman"/>
                <w:sz w:val="26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6"/>
              </w:rPr>
              <w:t>1 од.</w:t>
            </w:r>
          </w:p>
          <w:p>
            <w:pPr>
              <w:spacing w:lineRule="auto" w:line="240" w:beforeAutospacing="0" w:afterAutospacing="0"/>
              <w:rPr>
                <w:rFonts w:ascii="Times New Roman" w:hAnsi="Times New Roman"/>
                <w:b w:val="1"/>
                <w:color w:val="000000"/>
                <w:sz w:val="26"/>
                <w:lang w:val="uk-UA"/>
              </w:rPr>
            </w:pPr>
            <w:r>
              <w:rPr>
                <w:rFonts w:ascii="Times New Roman" w:hAnsi="Times New Roman"/>
                <w:b w:val="1"/>
                <w:sz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b w:val="1"/>
                <w:sz w:val="26"/>
              </w:rPr>
              <w:t xml:space="preserve">Всього:  10 од.</w:t>
            </w: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  <w:b w:val="1"/>
          <w:sz w:val="28"/>
          <w:lang w:val="uk-UA"/>
        </w:rPr>
      </w:pPr>
      <w:r>
        <w:rPr>
          <w:rFonts w:ascii="Times New Roman" w:hAnsi="Times New Roman"/>
          <w:b w:val="1"/>
          <w:color w:val="000000"/>
          <w:sz w:val="26"/>
          <w:lang w:val="uk-UA"/>
        </w:rPr>
        <w:t xml:space="preserve"> 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36"/>
          <w:szCs w:val="36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 xml:space="preserve">Начальник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у</w:t>
      </w:r>
      <w:r>
        <w:rPr>
          <w:rFonts w:ascii="Times New Roman" w:hAnsi="Times New Roman"/>
          <w:color w:val="000000"/>
          <w:sz w:val="28"/>
          <w:lang w:val="uk-UA" w:eastAsia="zh-CN"/>
        </w:rPr>
        <w:t>правління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                </w:t>
      </w:r>
      <w:r>
        <w:rPr>
          <w:rFonts w:ascii="Times New Roman" w:hAnsi="Times New Roman"/>
          <w:color w:val="000000"/>
          <w:sz w:val="28"/>
          <w:lang w:val="uk-UA" w:eastAsia="zh-CN"/>
        </w:rPr>
        <w:t>Аліна ЯРМОЛЕНКО</w:t>
      </w:r>
    </w:p>
    <w:sectPr>
      <w:type w:val="nextPage"/>
      <w:pgSz w:w="11906" w:h="16838" w:code="0"/>
      <w:pgMar w:left="1701" w:right="850" w:top="568" w:bottom="426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2"/>
    <w:multiLevelType w:val="hybridMultilevel"/>
    <w:lvl w:ilvl="0" w:tplc="0AEDB554">
      <w:start w:val="1"/>
      <w:numFmt w:val="decimal"/>
      <w:suff w:val="tab"/>
      <w:lvlText w:val="%1."/>
      <w:lvlJc w:val="left"/>
      <w:pPr>
        <w:ind w:hanging="360" w:left="492"/>
      </w:pPr>
      <w:rPr/>
    </w:lvl>
    <w:lvl w:ilvl="1" w:tplc="04220019">
      <w:start w:val="1"/>
      <w:numFmt w:val="lowerLetter"/>
      <w:suff w:val="tab"/>
      <w:lvlText w:val="%2."/>
      <w:lvlJc w:val="left"/>
      <w:pPr>
        <w:ind w:hanging="360" w:left="1212"/>
      </w:pPr>
      <w:rPr/>
    </w:lvl>
    <w:lvl w:ilvl="2" w:tplc="0422001B">
      <w:start w:val="1"/>
      <w:numFmt w:val="lowerRoman"/>
      <w:suff w:val="tab"/>
      <w:lvlText w:val="%3."/>
      <w:lvlJc w:val="right"/>
      <w:pPr>
        <w:ind w:hanging="180" w:left="1932"/>
      </w:pPr>
      <w:rPr/>
    </w:lvl>
    <w:lvl w:ilvl="3" w:tplc="0422000F">
      <w:start w:val="1"/>
      <w:numFmt w:val="decimal"/>
      <w:suff w:val="tab"/>
      <w:lvlText w:val="%4."/>
      <w:lvlJc w:val="left"/>
      <w:pPr>
        <w:ind w:hanging="360" w:left="2652"/>
      </w:pPr>
      <w:rPr/>
    </w:lvl>
    <w:lvl w:ilvl="4" w:tplc="04220019">
      <w:start w:val="1"/>
      <w:numFmt w:val="lowerLetter"/>
      <w:suff w:val="tab"/>
      <w:lvlText w:val="%5."/>
      <w:lvlJc w:val="left"/>
      <w:pPr>
        <w:ind w:hanging="360" w:left="3372"/>
      </w:pPr>
      <w:rPr/>
    </w:lvl>
    <w:lvl w:ilvl="5" w:tplc="0422001B">
      <w:start w:val="1"/>
      <w:numFmt w:val="lowerRoman"/>
      <w:suff w:val="tab"/>
      <w:lvlText w:val="%6."/>
      <w:lvlJc w:val="right"/>
      <w:pPr>
        <w:ind w:hanging="180" w:left="4092"/>
      </w:pPr>
      <w:rPr/>
    </w:lvl>
    <w:lvl w:ilvl="6" w:tplc="0422000F">
      <w:start w:val="1"/>
      <w:numFmt w:val="decimal"/>
      <w:suff w:val="tab"/>
      <w:lvlText w:val="%7."/>
      <w:lvlJc w:val="left"/>
      <w:pPr>
        <w:ind w:hanging="360" w:left="4812"/>
      </w:pPr>
      <w:rPr/>
    </w:lvl>
    <w:lvl w:ilvl="7" w:tplc="04220019">
      <w:start w:val="1"/>
      <w:numFmt w:val="lowerLetter"/>
      <w:suff w:val="tab"/>
      <w:lvlText w:val="%8."/>
      <w:lvlJc w:val="left"/>
      <w:pPr>
        <w:ind w:hanging="360" w:left="5532"/>
      </w:pPr>
      <w:rPr/>
    </w:lvl>
    <w:lvl w:ilvl="8" w:tplc="0422001B">
      <w:start w:val="1"/>
      <w:numFmt w:val="lowerRoman"/>
      <w:suff w:val="tab"/>
      <w:lvlText w:val="%9."/>
      <w:lvlJc w:val="right"/>
      <w:pPr>
        <w:ind w:hanging="180" w:left="6252"/>
      </w:pPr>
      <w:rPr/>
    </w:lvl>
  </w:abstractNum>
  <w:abstractNum w:abstractNumId="2">
    <w:nsid w:val="00000003"/>
    <w:multiLevelType w:val="hybridMultilevel"/>
    <w:lvl w:ilvl="0" w:tplc="0A899CB2">
      <w:start w:val="1"/>
      <w:numFmt w:val="decimal"/>
      <w:suff w:val="tab"/>
      <w:lvlText w:val="%1."/>
      <w:lvlJc w:val="left"/>
      <w:pPr>
        <w:ind w:hanging="360" w:left="552"/>
      </w:pPr>
      <w:rPr/>
    </w:lvl>
    <w:lvl w:ilvl="1" w:tplc="04220019">
      <w:start w:val="1"/>
      <w:numFmt w:val="lowerLetter"/>
      <w:suff w:val="tab"/>
      <w:lvlText w:val="%2."/>
      <w:lvlJc w:val="left"/>
      <w:pPr>
        <w:ind w:hanging="360" w:left="1272"/>
      </w:pPr>
      <w:rPr/>
    </w:lvl>
    <w:lvl w:ilvl="2" w:tplc="0422001B">
      <w:start w:val="1"/>
      <w:numFmt w:val="lowerRoman"/>
      <w:suff w:val="tab"/>
      <w:lvlText w:val="%3."/>
      <w:lvlJc w:val="right"/>
      <w:pPr>
        <w:ind w:hanging="180" w:left="1992"/>
      </w:pPr>
      <w:rPr/>
    </w:lvl>
    <w:lvl w:ilvl="3" w:tplc="0422000F">
      <w:start w:val="1"/>
      <w:numFmt w:val="decimal"/>
      <w:suff w:val="tab"/>
      <w:lvlText w:val="%4."/>
      <w:lvlJc w:val="left"/>
      <w:pPr>
        <w:ind w:hanging="360" w:left="2712"/>
      </w:pPr>
      <w:rPr/>
    </w:lvl>
    <w:lvl w:ilvl="4" w:tplc="04220019">
      <w:start w:val="1"/>
      <w:numFmt w:val="lowerLetter"/>
      <w:suff w:val="tab"/>
      <w:lvlText w:val="%5."/>
      <w:lvlJc w:val="left"/>
      <w:pPr>
        <w:ind w:hanging="360" w:left="3432"/>
      </w:pPr>
      <w:rPr/>
    </w:lvl>
    <w:lvl w:ilvl="5" w:tplc="0422001B">
      <w:start w:val="1"/>
      <w:numFmt w:val="lowerRoman"/>
      <w:suff w:val="tab"/>
      <w:lvlText w:val="%6."/>
      <w:lvlJc w:val="right"/>
      <w:pPr>
        <w:ind w:hanging="180" w:left="4152"/>
      </w:pPr>
      <w:rPr/>
    </w:lvl>
    <w:lvl w:ilvl="6" w:tplc="0422000F">
      <w:start w:val="1"/>
      <w:numFmt w:val="decimal"/>
      <w:suff w:val="tab"/>
      <w:lvlText w:val="%7."/>
      <w:lvlJc w:val="left"/>
      <w:pPr>
        <w:ind w:hanging="360" w:left="4872"/>
      </w:pPr>
      <w:rPr/>
    </w:lvl>
    <w:lvl w:ilvl="7" w:tplc="04220019">
      <w:start w:val="1"/>
      <w:numFmt w:val="lowerLetter"/>
      <w:suff w:val="tab"/>
      <w:lvlText w:val="%8."/>
      <w:lvlJc w:val="left"/>
      <w:pPr>
        <w:ind w:hanging="360" w:left="5592"/>
      </w:pPr>
      <w:rPr/>
    </w:lvl>
    <w:lvl w:ilvl="8" w:tplc="0422001B">
      <w:start w:val="1"/>
      <w:numFmt w:val="lowerRoman"/>
      <w:suff w:val="tab"/>
      <w:lvlText w:val="%9."/>
      <w:lvlJc w:val="right"/>
      <w:pPr>
        <w:ind w:hanging="180" w:left="6312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72f16-36e6-4323-ac0e-bfe140392bef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cp:lastPrinted>2025-08-07T05:30:00Z</cp:lastPrinted>
  <dcterms:modified xsi:type="dcterms:W3CDTF">2025-08-07T11:06:33Z</dcterms:modified>
  <cp:revision>22</cp:revision>
</cp:coreProperties>
</file>