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BC93A8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6076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E6076" w:rsidRPr="00E827BD" w:rsidP="007E6076" w14:paraId="641622D3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E827BD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E827BD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E827BD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E827BD">
        <w:rPr>
          <w:b/>
          <w:bCs/>
          <w:sz w:val="28"/>
          <w:szCs w:val="28"/>
          <w:lang w:val="uk-UA"/>
        </w:rPr>
        <w:t>та підлягає списанню:</w:t>
      </w:r>
    </w:p>
    <w:p w:rsidR="007E6076" w:rsidRPr="007B5DE1" w:rsidP="007E6076" w14:paraId="4042F662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417"/>
        <w:gridCol w:w="1276"/>
        <w:gridCol w:w="4394"/>
        <w:gridCol w:w="1276"/>
        <w:gridCol w:w="1276"/>
        <w:gridCol w:w="1417"/>
        <w:gridCol w:w="1276"/>
      </w:tblGrid>
      <w:tr w14:paraId="5FD2925A" w14:textId="77777777" w:rsidTr="0075381B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63F2DF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7774F9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7E6076" w:rsidRPr="007E6076" w:rsidP="0075381B" w14:paraId="5D91D9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3F45D3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7E6076" w:rsidRPr="007E6076" w:rsidP="0075381B" w14:paraId="74CB6B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AEFEA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210132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45EF26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7E6076" w:rsidRPr="007E6076" w:rsidP="0075381B" w14:paraId="029430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0A1DD4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7E6076" w:rsidRPr="007E6076" w:rsidP="0075381B" w14:paraId="357A24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29E3AD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7E6076" w:rsidRPr="007E6076" w:rsidP="0075381B" w14:paraId="1E8D7A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348EA8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2025D325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2C4582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01A87E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381C74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69BC1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106B8B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08DEDD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68EE54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1A349F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076" w:rsidRPr="007E6076" w:rsidP="0075381B" w14:paraId="6FE786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305D84AC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621EC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E7B2EAA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Агрегат зварювальний</w:t>
            </w:r>
          </w:p>
          <w:p w:rsidR="007E6076" w:rsidRPr="007E6076" w:rsidP="0075381B" w14:paraId="16B9F7C4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АДЦ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762E308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10402350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7AC99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076" w:rsidRPr="007E6076" w:rsidP="0075381B" w14:paraId="23776368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Прогар плати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котушки збудження, 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не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виходить 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на режим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генерації, 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прогар на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платі випрямляча, 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не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тримає 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струм, ремонту не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62D59A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5556,61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4D569D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5556,61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A48F3A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BB741A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1988</w:t>
            </w:r>
          </w:p>
        </w:tc>
      </w:tr>
      <w:tr w14:paraId="72AD567D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EB783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138630E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Водонагрівач</w:t>
            </w:r>
          </w:p>
          <w:p w:rsidR="007E6076" w:rsidRPr="007E6076" w:rsidP="0075381B" w14:paraId="5B3CCDC0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ГІВ-12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6AE2B65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104023221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2C3AA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76028FD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Численні пошкодження 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трубок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теплообмінника, після ремонту не пройшов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гідровипробування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  (Р=10атм.),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F11517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3483,01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66E4C9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3483,01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07D365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E9985C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2000</w:t>
            </w:r>
          </w:p>
        </w:tc>
      </w:tr>
      <w:tr w14:paraId="1F18C64A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EDBF2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6F879E2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Трансформатор електрозварювал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ь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softHyphen/>
              <w:t xml:space="preserve">ний ТЕД </w:t>
            </w:r>
            <w:r w:rsidRPr="007E6076">
              <w:rPr>
                <w:color w:val="181818"/>
                <w:sz w:val="24"/>
                <w:szCs w:val="24"/>
                <w:lang w:bidi="uk-UA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568BA22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10402349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DB954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076" w:rsidRPr="007E6076" w:rsidP="0075381B" w14:paraId="79EA0FDA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Пробій ізоляції котушки первинної обмотки, низький опір ізоляції обмоток,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прогар на платі випрямляча, коротке замикання обмотки,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36F081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151,78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595675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151,78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FAA556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49B910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1988</w:t>
            </w:r>
          </w:p>
        </w:tc>
      </w:tr>
      <w:tr w14:paraId="247BFD34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47BD6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DE2DEF9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Автопричіп РАПЗ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390EB0C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10504527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995F7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76" w:rsidRPr="007E6076" w:rsidP="0075381B" w14:paraId="6935DF83" w14:textId="77777777">
            <w:pPr>
              <w:pStyle w:val="a2"/>
              <w:shd w:val="clear" w:color="auto" w:fill="auto"/>
              <w:rPr>
                <w:color w:val="000000"/>
                <w:sz w:val="24"/>
                <w:szCs w:val="24"/>
                <w:lang w:bidi="uk-UA"/>
              </w:rPr>
            </w:pPr>
          </w:p>
          <w:p w:rsidR="007E6076" w:rsidRPr="007E6076" w:rsidP="0075381B" w14:paraId="52CC8579" w14:textId="77777777">
            <w:pPr>
              <w:pStyle w:val="a2"/>
              <w:shd w:val="clear" w:color="auto" w:fill="auto"/>
              <w:rPr>
                <w:color w:val="000000"/>
                <w:sz w:val="24"/>
                <w:szCs w:val="24"/>
                <w:lang w:bidi="uk-UA"/>
              </w:rPr>
            </w:pPr>
          </w:p>
          <w:p w:rsidR="007E6076" w:rsidRPr="007E6076" w:rsidP="0075381B" w14:paraId="0B29477B" w14:textId="77777777">
            <w:pPr>
              <w:pStyle w:val="a2"/>
              <w:shd w:val="clear" w:color="auto" w:fill="auto"/>
              <w:rPr>
                <w:color w:val="000000"/>
                <w:sz w:val="24"/>
                <w:szCs w:val="24"/>
                <w:lang w:bidi="uk-UA"/>
              </w:rPr>
            </w:pPr>
          </w:p>
          <w:p w:rsidR="007E6076" w:rsidRPr="007E6076" w:rsidP="0075381B" w14:paraId="49A7E8F7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Граничний знос балки, коліс та рами,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9A116C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3F4DD3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76" w:rsidRPr="007E6076" w:rsidP="0075381B" w14:paraId="23D65A0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1494F8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1989</w:t>
            </w:r>
          </w:p>
        </w:tc>
      </w:tr>
      <w:tr w14:paraId="0EF9AC07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3AD78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0FE34D0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Автопричіп РАП3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33D1250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10504528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8F45F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76" w:rsidRPr="007E6076" w:rsidP="0075381B" w14:paraId="120291EC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7A4BB3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5AEF47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76" w:rsidRPr="007E6076" w:rsidP="0075381B" w14:paraId="33E537A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B949A8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1989</w:t>
            </w:r>
          </w:p>
        </w:tc>
      </w:tr>
      <w:tr w14:paraId="47A4C7D3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B4940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4485536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Автопричіп РАПЗ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5F9D6CD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10504529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CB25C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76" w:rsidRPr="007E6076" w:rsidP="0075381B" w14:paraId="019A2966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232EBA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686FE9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3E2EB6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36D6ABD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1989</w:t>
            </w:r>
          </w:p>
        </w:tc>
      </w:tr>
      <w:tr w14:paraId="48A5B949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792CA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570BE49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Автопричіп РАПЗ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140F288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10504530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3A4F0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99F8F1F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9427F4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7189A7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389,72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5EA5D0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AFFF6A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1989</w:t>
            </w:r>
          </w:p>
        </w:tc>
      </w:tr>
      <w:tr w14:paraId="60FC54FD" w14:textId="77777777" w:rsidTr="007E607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8C1F8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076" w:rsidRPr="007E6076" w:rsidP="0075381B" w14:paraId="64770937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Теплова мережа від ТК 13А-26 до ЦТП по вул.</w:t>
            </w:r>
          </w:p>
          <w:p w:rsidR="007E6076" w:rsidRPr="007E6076" w:rsidP="0075381B" w14:paraId="45A96583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Чорних Запорожців, 68/1 - 39,5м.у двохтрубному вимірі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EA826F6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10310130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3EB73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E6076" w14:paraId="5AAA7339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Трубопровід пошкоджений сильною зовнішньою корозією (70%), антикорозійне покриття труб відсутнє, теплоізоляція пошкоджена </w:t>
            </w:r>
            <w:r w:rsidRPr="007E6076">
              <w:rPr>
                <w:color w:val="181818"/>
                <w:sz w:val="24"/>
                <w:szCs w:val="24"/>
                <w:lang w:bidi="uk-UA"/>
              </w:rPr>
              <w:t xml:space="preserve">і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місцями відсутня, що не відповідає вимогам ДБН В.2.5В Теплові мережі.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8132AF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3703,11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2636C9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3266,30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B48CAAB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436,81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293F3C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1990</w:t>
            </w:r>
          </w:p>
        </w:tc>
      </w:tr>
      <w:tr w14:paraId="71EA3BBF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B5548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1BCC1C7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Таль електричний ТЕ 1-511,в/п-1,0тн.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162B413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10400581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2A333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9F6574A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Коротке замикання електродвигуна, граничне спрацювання робочих зубців шестерень, 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скол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реборди блока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гакової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підвіски, стоншення діаметра канату та кількість обривів дротиків перевищують бракувальний рівень,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A7FB04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374,32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F9ACAC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374,32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061B0C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EC7613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1990</w:t>
            </w:r>
          </w:p>
        </w:tc>
      </w:tr>
      <w:tr w14:paraId="38A0C346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202FF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80EE2BB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Ноутбук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HP</w:t>
            </w:r>
          </w:p>
          <w:p w:rsidR="007E6076" w:rsidRPr="007E6076" w:rsidP="0075381B" w14:paraId="3E1CCE64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val="en-US" w:bidi="en-US"/>
              </w:rPr>
              <w:t>Compag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6715 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2269D7A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10403077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E7458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076" w:rsidRPr="007E6076" w:rsidP="0075381B" w14:paraId="60796737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При ввімкненні 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ноутбук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не подає зображення на екран; пошкодження північного мосту материнс</w:t>
            </w:r>
            <w:r w:rsidRPr="007E6076">
              <w:rPr>
                <w:color w:val="181818"/>
                <w:sz w:val="24"/>
                <w:szCs w:val="24"/>
                <w:lang w:bidi="uk-UA"/>
              </w:rPr>
              <w:t>ь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кої </w:t>
            </w:r>
            <w:r w:rsidRPr="007E6076">
              <w:rPr>
                <w:color w:val="181818"/>
                <w:sz w:val="24"/>
                <w:szCs w:val="24"/>
                <w:lang w:bidi="uk-UA"/>
              </w:rPr>
              <w:t>пл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ати-сліди перегріву та корозії, здуті конденсатори у зоні живлення відео чипа. Під час тестування оперативної пам’яті були зафіксовані постійні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помилки читання.  Жорсткий диск не визначається у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BIOS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C79887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3560,62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D741A4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3560,62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A20538E" w14:textId="77777777">
            <w:pPr>
              <w:pStyle w:val="a2"/>
              <w:shd w:val="clear" w:color="auto" w:fill="auto"/>
              <w:spacing w:after="1620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  <w:p w:rsidR="007E6076" w:rsidRPr="007E6076" w:rsidP="0075381B" w14:paraId="453258E9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789B2E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2A1ACC5E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A7024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B2AB012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Автоматизоване робоче місце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Celeron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2.417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FB164B2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10402720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3710F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076" w:rsidRPr="007E6076" w:rsidP="0075381B" w14:paraId="33771CBC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Системний блок не заванта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softHyphen/>
              <w:t xml:space="preserve">жується, пошкодження материнської плати в районі північного мосту - сліди перегріву, здуті конденсатори ,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обвуглення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контактної зони, жорсткий диск видає численні помилки читання, що свідчить про пошкодження поверхні диска або головок.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Кулер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процесора має значний люфт, система охолодження не справляється з навантаженням,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B96312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10623,00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BE8DC1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10623,00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F4F60D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3435B8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2004</w:t>
            </w:r>
          </w:p>
        </w:tc>
      </w:tr>
      <w:tr w14:paraId="2F24B445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11EFD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CFC7305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Сканер для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штрихкодів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BD5922E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10403205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B55E9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076" w:rsidRPr="007E6076" w:rsidP="0075381B" w14:paraId="39E0E296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Сканер не зчитує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штрихкоди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та не подає жодних звукових або світлових сигналів під час спроби сканування. При підключенні до комп’ютера пристрій не визначається операційною системою. Пошкодження друкованої плати - сліди короткого замикання в районі контролера живлення, корозія на контактних доріжках, лінза сканера має подряпини, що впливає на точність зчитування,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36154C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2011,93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7FE50A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2011,93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268E1E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CAEF61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5A7859FA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E247D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8F30633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Системний блок</w:t>
            </w:r>
          </w:p>
          <w:p w:rsidR="007E6076" w:rsidRPr="007E6076" w:rsidP="0075381B" w14:paraId="2E41A9C8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val="en-US" w:bidi="en-US"/>
              </w:rPr>
              <w:t xml:space="preserve">CELERON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1/8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81B3852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10403081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74C73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AF36F64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Системний блок не проходить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POST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>-тест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(не запускається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BIOS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).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Відсутній відеосигнал на моніторі при спробі ввімкнення. Вентилятори обертаються, але подальше завантаження не відбувається, на материнській платі виявлено ознаки перегріву та здуття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двох конденсаторів у зоні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VRM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(модуль стабілізації живлення процесора). Один з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SMD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- резисторів має термічне пошкодження (нагар і сліди перегріву),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804FB5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3359,65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229F77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3359,65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F06798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671E55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4185E441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620B3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F829EEB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Монітор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Samsung</w:t>
            </w:r>
          </w:p>
          <w:p w:rsidR="007E6076" w:rsidRPr="007E6076" w:rsidP="0075381B" w14:paraId="11176DFF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181818"/>
                <w:sz w:val="24"/>
                <w:szCs w:val="24"/>
                <w:lang w:bidi="uk-UA"/>
              </w:rPr>
              <w:t>1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7 793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DF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AE39432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10402865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7B923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49C36B7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Монітор не вмикається, індикатор живлення не світиться. Виявлено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здутгя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трьох електролітичних конденсаторів у блоці живлення, один із резисторів має сліди перегріву (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обвуглення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оболонки), що вказує на коротке замикання, пошкодження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SMD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- компонентів на платі інвертора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підсвітки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. Через відсутність живлення з інвертора не відбувається підсвічування екрана,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7EBE16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699,00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F32D48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699,00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C0F398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F1E894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2005</w:t>
            </w:r>
          </w:p>
        </w:tc>
      </w:tr>
      <w:tr w14:paraId="3B125FDB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8925B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1CFAE3B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Системний блок</w:t>
            </w:r>
            <w:r w:rsidRPr="007E6076">
              <w:rPr>
                <w:sz w:val="24"/>
                <w:szCs w:val="24"/>
                <w:lang w:val="en-US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Intel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Pentium</w:t>
            </w:r>
          </w:p>
          <w:p w:rsidR="007E6076" w:rsidRPr="007E6076" w:rsidP="0075381B" w14:paraId="075BDE23" w14:textId="77777777">
            <w:pPr>
              <w:pStyle w:val="a2"/>
              <w:shd w:val="clear" w:color="auto" w:fill="auto"/>
              <w:tabs>
                <w:tab w:val="left" w:leader="underscore" w:pos="389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A6589E1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10403240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4675A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BFB373B" w14:textId="77777777">
            <w:pPr>
              <w:pStyle w:val="a2"/>
              <w:shd w:val="clear" w:color="auto" w:fill="auto"/>
              <w:rPr>
                <w:color w:val="000000"/>
                <w:sz w:val="24"/>
                <w:szCs w:val="24"/>
                <w:lang w:bidi="uk-UA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Системний блок не запускається, блок живлення подає напругу, але материнська плата не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ініціалізується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,</w:t>
            </w:r>
          </w:p>
          <w:p w:rsidR="007E6076" w:rsidRPr="007E6076" w:rsidP="0075381B" w14:paraId="0F82A5D5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пошкодження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роз’ємів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живлення АТХ: сліди оплавлення та перегріву, здуті конденсатори в області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VRM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, що свідчить про зниження стабільності живлення процесора.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На материнській платі виявлено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обвуглення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SMD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- компонентів біля </w:t>
            </w:r>
            <w:r w:rsidRPr="007E6076">
              <w:rPr>
                <w:color w:val="000000"/>
                <w:sz w:val="24"/>
                <w:szCs w:val="24"/>
                <w:lang w:eastAsia="ru-RU" w:bidi="ru-RU"/>
              </w:rPr>
              <w:t xml:space="preserve">чипсету, жорсткий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диск має нестабільні показники читання, тестування виявило понад 250 битих секторів, інші комплектуючі (відео карта, оперативна пам'ять) не змогли пройти тестування через неможливість запуску системи, ремонту 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220963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4310,40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72FEB3D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4310,40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460578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5F0AC41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2009</w:t>
            </w:r>
          </w:p>
        </w:tc>
      </w:tr>
      <w:tr w14:paraId="2EDC1011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AF42D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48DD1C4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 xml:space="preserve">Системний блок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Intel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Celeron</w:t>
            </w:r>
            <w:r w:rsidRPr="007E607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7E6076">
              <w:rPr>
                <w:color w:val="000000"/>
                <w:sz w:val="24"/>
                <w:szCs w:val="24"/>
                <w:lang w:val="en-US" w:bidi="en-US"/>
              </w:rPr>
              <w:t>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1FB4F9D6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10404359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CE151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076" w:rsidRPr="007E6076" w:rsidP="0075381B" w14:paraId="6B127F04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Системний блок періодично вимикається. В області ліній живлення процесора здуті конденсатори, почорніння поверхневих резисторів у зоні керування чипсетом. Блок живлення має знижену напругу по лінії 12</w:t>
            </w:r>
            <w:r w:rsidRPr="007E6076">
              <w:rPr>
                <w:color w:val="000000"/>
                <w:sz w:val="24"/>
                <w:szCs w:val="24"/>
                <w:lang w:val="en-US" w:bidi="uk-UA"/>
              </w:rPr>
              <w:t>V</w:t>
            </w:r>
            <w:r w:rsidRPr="007E6076">
              <w:rPr>
                <w:color w:val="000000"/>
                <w:sz w:val="24"/>
                <w:szCs w:val="24"/>
                <w:lang w:bidi="uk-UA"/>
              </w:rPr>
              <w:t>, що могло спричинити пошкодження інших компонентів. Жорсткий диск в процесі діагностики виявив клацання шпинделя підозра на механічну несправність,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F9FBA4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1565,00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DB94EE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1565,00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915582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2E38E6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7E6076">
              <w:rPr>
                <w:color w:val="000000"/>
                <w:sz w:val="24"/>
                <w:szCs w:val="24"/>
                <w:lang w:bidi="uk-UA"/>
              </w:rPr>
              <w:t>2009</w:t>
            </w:r>
          </w:p>
        </w:tc>
      </w:tr>
      <w:tr w14:paraId="7E4B48B8" w14:textId="77777777" w:rsidTr="0075381B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B612A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69AA3C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42EFA0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DF67A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3CC4C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7F9FEA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40957,31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34E776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40520,50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2EC632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76">
              <w:rPr>
                <w:rFonts w:ascii="Times New Roman" w:hAnsi="Times New Roman" w:cs="Times New Roman"/>
                <w:sz w:val="24"/>
                <w:szCs w:val="24"/>
              </w:rPr>
              <w:t>436,81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76" w:rsidRPr="007E6076" w:rsidP="0075381B" w14:paraId="0481B0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076" w:rsidRPr="007E6076" w:rsidP="007E6076" w14:paraId="2931B9ED" w14:textId="77777777">
      <w:pPr>
        <w:rPr>
          <w:rFonts w:ascii="Times New Roman" w:hAnsi="Times New Roman" w:cs="Times New Roman"/>
          <w:sz w:val="24"/>
          <w:szCs w:val="24"/>
        </w:rPr>
      </w:pPr>
    </w:p>
    <w:p w:rsidR="007E6076" w:rsidRPr="007E6076" w:rsidP="007E6076" w14:paraId="38CC10F0" w14:textId="4A2916A0">
      <w:pPr>
        <w:rPr>
          <w:rFonts w:ascii="Times New Roman" w:hAnsi="Times New Roman" w:cs="Times New Roman"/>
          <w:sz w:val="28"/>
          <w:szCs w:val="28"/>
        </w:rPr>
      </w:pPr>
      <w:r w:rsidRPr="007E607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</w:r>
      <w:r w:rsidRPr="007E6076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7E6076" w14:paraId="18507996" w14:textId="07B5CA14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6076" w:rsidR="007E607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B3E3A"/>
    <w:rsid w:val="005C6C54"/>
    <w:rsid w:val="005E68BF"/>
    <w:rsid w:val="00602E8E"/>
    <w:rsid w:val="00617517"/>
    <w:rsid w:val="00643CA3"/>
    <w:rsid w:val="006C38FA"/>
    <w:rsid w:val="006F7263"/>
    <w:rsid w:val="00713AF1"/>
    <w:rsid w:val="0075381B"/>
    <w:rsid w:val="007B5DE1"/>
    <w:rsid w:val="007E6076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827BD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E6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7E60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7E607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7E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E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27403F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805</Words>
  <Characters>4589</Characters>
  <Application>Microsoft Office Word</Application>
  <DocSecurity>8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2025-08-04T07:33:00Z</dcterms:modified>
</cp:coreProperties>
</file>