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:rsidR="00206F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06FD9" w:rsidRPr="002500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:rsidR="00F96304" w:rsidRPr="00206FD9" w:rsidRDefault="00F96304" w:rsidP="00F9630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6384D" w:rsidRDefault="00F6384D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0503B3" w:rsidRPr="00F602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000,0 тис. грн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  <w:bookmarkStart w:id="0" w:name="_GoBack"/>
      <w:bookmarkEnd w:id="0"/>
    </w:p>
    <w:p w:rsidR="00684B95" w:rsidRDefault="00684B95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2B93" w:rsidRDefault="00684B95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4B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організації обслуговування та надання різних видів соціальних послуг Броварським міським територіальним центром соціального обслуговування, у тому числі і надання безкоштовних перукарських послуг пенсіонерам, особам з інвалідністю є необхідність збільшити обсяг фінансування заходу Програми «Надання безкоштовних перукарських послуг пенсіонерам, особам з інвалідністю» на </w:t>
      </w:r>
      <w:r w:rsidRPr="00684B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43,1 тис. грн.</w:t>
      </w:r>
      <w:r w:rsidRPr="00684B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виділення додаткових коштів з місцевого бюджету.</w:t>
      </w:r>
    </w:p>
    <w:p w:rsidR="00684B95" w:rsidRDefault="00684B95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4B95" w:rsidRDefault="00684B95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підтримки сімей, 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>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виховують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>ся діти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-сир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>оти та діти, позбавлені батьківського піклування, які перебувають у складних життєвих обставинах</w:t>
      </w:r>
      <w:r w:rsidR="006764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015D">
        <w:rPr>
          <w:rFonts w:ascii="Times New Roman" w:eastAsia="Calibri" w:hAnsi="Times New Roman" w:cs="Times New Roman"/>
          <w:sz w:val="28"/>
          <w:szCs w:val="28"/>
          <w:lang w:eastAsia="en-US"/>
        </w:rPr>
        <w:t>є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необхідність збільшення фінансування заходу Програми </w:t>
      </w:r>
      <w:r w:rsidR="00AB240F" w:rsidRPr="00AB240F">
        <w:rPr>
          <w:rFonts w:ascii="Times New Roman" w:eastAsia="Calibri" w:hAnsi="Times New Roman" w:cs="Times New Roman"/>
          <w:sz w:val="28"/>
          <w:szCs w:val="28"/>
          <w:lang w:eastAsia="en-US"/>
        </w:rPr>
        <w:t>«Часткове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затверджуються в установленому порядку»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AB240F" w:rsidRPr="00AB24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100,0 тис. грн.</w:t>
      </w:r>
      <w:r w:rsidR="00AB24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виділення додаткових коштів з місцевого бюджету.</w:t>
      </w:r>
    </w:p>
    <w:p w:rsidR="0097015D" w:rsidRDefault="0097015D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0329" w:rsidRPr="000503B3" w:rsidRDefault="0097015D" w:rsidP="000503B3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підтримки дітей – першокласників із сімей, які опинилися складних життєвих обставинах, є необхідність збільшення фінансування заходу Програми </w:t>
      </w:r>
      <w:r w:rsidRPr="0097015D">
        <w:rPr>
          <w:rFonts w:ascii="Times New Roman" w:eastAsia="Calibri" w:hAnsi="Times New Roman" w:cs="Times New Roman"/>
          <w:sz w:val="28"/>
          <w:szCs w:val="28"/>
          <w:lang w:eastAsia="en-US"/>
        </w:rPr>
        <w:t>«Придбання портфелів та шкільного приладдя для дітей із сімей, які опинилися в складних життєвих обставинах»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Pr="006764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119,0 тис.</w:t>
      </w:r>
      <w:r w:rsidR="006764DF" w:rsidRPr="006764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грн.</w:t>
      </w:r>
      <w:r w:rsidR="006764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виділення додаткових коштів з місцевого бюджету.</w:t>
      </w:r>
    </w:p>
    <w:p w:rsidR="006764DF" w:rsidRPr="0052396D" w:rsidRDefault="006764DF" w:rsidP="00206FD9">
      <w:pPr>
        <w:pStyle w:val="1"/>
        <w:shd w:val="clear" w:color="auto" w:fill="auto"/>
        <w:spacing w:after="0"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76448" w:rsidRPr="00276448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:rsidR="00271782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:rsidR="00276448" w:rsidRPr="00F626F7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:rsidR="00F96304" w:rsidRPr="00206FD9" w:rsidRDefault="00F96304" w:rsidP="00F9630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0BFD" w:rsidRDefault="00DD0BFD" w:rsidP="00661259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304AC1" w:rsidRPr="001414CF">
        <w:rPr>
          <w:rFonts w:ascii="Times New Roman" w:hAnsi="Times New Roman" w:cs="Times New Roman"/>
          <w:b/>
          <w:sz w:val="28"/>
          <w:szCs w:val="28"/>
        </w:rPr>
        <w:t>9</w:t>
      </w:r>
      <w:r w:rsidRPr="001414CF">
        <w:rPr>
          <w:rFonts w:ascii="Times New Roman" w:hAnsi="Times New Roman" w:cs="Times New Roman"/>
          <w:b/>
          <w:sz w:val="28"/>
          <w:szCs w:val="28"/>
        </w:rPr>
        <w:t>500,0 тис.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BFD" w:rsidRDefault="00747764" w:rsidP="00DD0BFD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місцевого бюджету  надано матеріальну допомогу 1</w:t>
      </w:r>
      <w:r w:rsidR="00A37C64">
        <w:rPr>
          <w:rFonts w:ascii="Times New Roman" w:hAnsi="Times New Roman" w:cs="Times New Roman"/>
          <w:sz w:val="28"/>
          <w:szCs w:val="28"/>
        </w:rPr>
        <w:t>725</w:t>
      </w:r>
      <w:r>
        <w:rPr>
          <w:rFonts w:ascii="Times New Roman" w:hAnsi="Times New Roman" w:cs="Times New Roman"/>
          <w:sz w:val="28"/>
          <w:szCs w:val="28"/>
        </w:rPr>
        <w:t xml:space="preserve"> особам на загальну суму </w:t>
      </w:r>
      <w:r w:rsidR="00914FBB">
        <w:rPr>
          <w:rFonts w:ascii="Times New Roman" w:hAnsi="Times New Roman" w:cs="Times New Roman"/>
          <w:sz w:val="28"/>
          <w:szCs w:val="28"/>
        </w:rPr>
        <w:t xml:space="preserve">6 </w:t>
      </w:r>
      <w:r w:rsidR="00A37C64">
        <w:rPr>
          <w:rFonts w:ascii="Times New Roman" w:hAnsi="Times New Roman" w:cs="Times New Roman"/>
          <w:sz w:val="28"/>
          <w:szCs w:val="28"/>
        </w:rPr>
        <w:t>723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7C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:rsidR="00082D60" w:rsidRDefault="0037278C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01.07.2025 року </w:t>
      </w:r>
      <w:r w:rsidR="009510F4">
        <w:rPr>
          <w:rFonts w:ascii="Times New Roman" w:hAnsi="Times New Roman" w:cs="Times New Roman"/>
          <w:sz w:val="28"/>
          <w:szCs w:val="28"/>
        </w:rPr>
        <w:t xml:space="preserve">до 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</w:rPr>
        <w:t>надійшл</w:t>
      </w:r>
      <w:r w:rsidR="009510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510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заяв</w:t>
      </w:r>
      <w:r w:rsidR="009510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отримання адресної матеріальної допомоги за пошкоджене майно внаслідок збройної агресії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 України </w:t>
      </w:r>
      <w:r w:rsidR="00605633">
        <w:rPr>
          <w:rFonts w:ascii="Times New Roman" w:hAnsi="Times New Roman" w:cs="Times New Roman"/>
          <w:sz w:val="28"/>
          <w:szCs w:val="28"/>
        </w:rPr>
        <w:t>на суму 2</w:t>
      </w:r>
      <w:r w:rsidR="009510F4">
        <w:rPr>
          <w:rFonts w:ascii="Times New Roman" w:hAnsi="Times New Roman" w:cs="Times New Roman"/>
          <w:sz w:val="28"/>
          <w:szCs w:val="28"/>
        </w:rPr>
        <w:t>523</w:t>
      </w:r>
      <w:r w:rsidR="00605633">
        <w:rPr>
          <w:rFonts w:ascii="Times New Roman" w:hAnsi="Times New Roman" w:cs="Times New Roman"/>
          <w:sz w:val="28"/>
          <w:szCs w:val="28"/>
        </w:rPr>
        <w:t>,</w:t>
      </w:r>
      <w:r w:rsidR="009510F4">
        <w:rPr>
          <w:rFonts w:ascii="Times New Roman" w:hAnsi="Times New Roman" w:cs="Times New Roman"/>
          <w:sz w:val="28"/>
          <w:szCs w:val="28"/>
        </w:rPr>
        <w:t>25</w:t>
      </w:r>
      <w:r w:rsidR="00605633">
        <w:rPr>
          <w:rFonts w:ascii="Times New Roman" w:hAnsi="Times New Roman" w:cs="Times New Roman"/>
          <w:sz w:val="28"/>
          <w:szCs w:val="28"/>
        </w:rPr>
        <w:t xml:space="preserve"> тис. грн.   </w:t>
      </w:r>
      <w:r w:rsidR="007B7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0503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5633" w:rsidRPr="0060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050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D16068" w:rsidRDefault="00D16068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6068" w:rsidRDefault="00D16068" w:rsidP="00D16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«Надання безкоштовних перукарських послуг пенсіонерам, особам з інвалідністю» </w:t>
      </w:r>
      <w:r w:rsidR="005332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2025 рік 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становить </w:t>
      </w:r>
      <w:r w:rsidRPr="001414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145,6 тис. грн.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14CF" w:rsidRDefault="003C51C1" w:rsidP="00141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Станом на 01.07.2025 року </w:t>
      </w:r>
      <w:r w:rsidR="00951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надано 2438 безкоштовних перукарських послуг для 1566 осіб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використано </w:t>
      </w:r>
      <w:r w:rsidR="0025426E"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10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(заробітна плата перукарів та нарахування)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сумі 92,1 тис. грн. </w:t>
      </w:r>
      <w:r w:rsidR="00D16068"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забезпечення виконання цього заходу Програми до кінця року необхідно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</w:t>
      </w:r>
      <w:r w:rsidR="00D16068"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16068"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тис. грн. </w:t>
      </w:r>
    </w:p>
    <w:p w:rsidR="00D16068" w:rsidRPr="00D16068" w:rsidRDefault="0025426E" w:rsidP="00141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Пропонується збільшити обсяг фінансування на</w:t>
      </w:r>
      <w:r w:rsidR="00D16068"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1C1" w:rsidRPr="003C51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43,1</w:t>
      </w:r>
      <w:r w:rsidR="00D16068" w:rsidRPr="003C51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тис. грн.</w:t>
      </w:r>
      <w:r w:rsidR="00D16068"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47764" w:rsidRDefault="00D16068" w:rsidP="001414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414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Загальний обсяг фінансування заходу, необхідного для реалізації Програми на 202</w:t>
      </w:r>
      <w:r w:rsidR="003C51C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 становитиме – </w:t>
      </w:r>
      <w:r w:rsidR="003C51C1"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188</w:t>
      </w:r>
      <w:r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3C51C1"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тис. грн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7BFC" w:rsidRDefault="00C37BFC" w:rsidP="00D16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BFC" w:rsidRPr="001414CF" w:rsidRDefault="00C37BFC" w:rsidP="00D160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Pr="00AB240F">
        <w:rPr>
          <w:rFonts w:ascii="Times New Roman" w:eastAsia="Calibri" w:hAnsi="Times New Roman" w:cs="Times New Roman"/>
          <w:sz w:val="28"/>
          <w:szCs w:val="28"/>
          <w:lang w:eastAsia="en-US"/>
        </w:rPr>
        <w:t>«Часткове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затверджуються в установленому порядку»</w:t>
      </w:r>
      <w:r w:rsidR="005332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2025 рік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становить </w:t>
      </w:r>
      <w:r w:rsidRPr="001414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100,00 тис. грн. </w:t>
      </w:r>
    </w:p>
    <w:p w:rsidR="00C37BFC" w:rsidRDefault="00C37BFC" w:rsidP="00D160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72329">
        <w:rPr>
          <w:rFonts w:ascii="Times New Roman" w:eastAsia="Calibri" w:hAnsi="Times New Roman" w:cs="Times New Roman"/>
          <w:sz w:val="28"/>
          <w:szCs w:val="28"/>
          <w:lang w:eastAsia="en-US"/>
        </w:rPr>
        <w:t>Станом на 01.07.2025 року за рахунок коштів місцевого погашено заборгованість за спожиті комунальні послуги трьом сім’ям, в тому числі сім’ї</w:t>
      </w:r>
      <w:r w:rsidR="00D377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опікуна/піклувальника, які отримують соціальні послуги на суму 100,00 тис. грн. Обсяг фінансування використано </w:t>
      </w:r>
      <w:r w:rsidR="00001BC5">
        <w:rPr>
          <w:rFonts w:ascii="Times New Roman" w:eastAsia="Calibri" w:hAnsi="Times New Roman" w:cs="Times New Roman"/>
          <w:sz w:val="28"/>
          <w:szCs w:val="28"/>
          <w:lang w:eastAsia="en-US"/>
        </w:rPr>
        <w:t>повністю.</w:t>
      </w:r>
    </w:p>
    <w:p w:rsidR="00D377D5" w:rsidRDefault="00D377D5" w:rsidP="00D160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Фахівцями Центру соціал</w:t>
      </w:r>
      <w:r w:rsidR="00001B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ьних служб Броварської міської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ради Броварського району Київської області виявлено 5 сімей: сім’ї, в яких виховуються діти з інвалідністю; багатодітні сім’ї; та сім’я, в якій мати виховує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дітей самостійно, що перебувають у складних життєвих обставинах та мають значні суми заборгованості за спожиті комунальні послуги.</w:t>
      </w:r>
    </w:p>
    <w:p w:rsidR="00001BC5" w:rsidRDefault="00001BC5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Пропонується збільшити обсяг фінансування на </w:t>
      </w:r>
      <w:r w:rsidRPr="00001B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100,0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01BC5" w:rsidRDefault="00001BC5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 становитиме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200</w:t>
      </w:r>
      <w:r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тис. грн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1BC5" w:rsidRDefault="00001BC5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1BC5" w:rsidRPr="001414CF" w:rsidRDefault="00001BC5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 </w:t>
      </w:r>
      <w:r w:rsidRPr="0097015D">
        <w:rPr>
          <w:rFonts w:ascii="Times New Roman" w:eastAsia="Calibri" w:hAnsi="Times New Roman" w:cs="Times New Roman"/>
          <w:sz w:val="28"/>
          <w:szCs w:val="28"/>
          <w:lang w:eastAsia="en-US"/>
        </w:rPr>
        <w:t>«Придбання портфелів та шкільного приладдя для дітей із сімей, які опинилися в складних життєвих обставинах»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32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2025 рік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становить </w:t>
      </w:r>
      <w:r w:rsidRPr="001414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10,0 тис. грн. </w:t>
      </w:r>
    </w:p>
    <w:p w:rsidR="005332D1" w:rsidRDefault="00001BC5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 2025 році до «Дня знань»(1 вере</w:t>
      </w:r>
      <w:r w:rsidR="005332D1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ня) планується привітати 60 дітей, які виховуються в сім’ях, що отримують соціальні послуги</w:t>
      </w:r>
      <w:r w:rsidRPr="00001B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Центрі соціальних служб Броварської міської ради Броварського району Київської області, та придбати їм 60 шкільних портфелів по </w:t>
      </w:r>
      <w:r w:rsidR="00115B61">
        <w:rPr>
          <w:rFonts w:ascii="Times New Roman" w:eastAsia="Calibri" w:hAnsi="Times New Roman" w:cs="Times New Roman"/>
          <w:sz w:val="28"/>
          <w:szCs w:val="28"/>
          <w:lang w:eastAsia="en-US"/>
        </w:rPr>
        <w:t>1650,0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грн. та 60 наборів шкільного приладдя по </w:t>
      </w:r>
      <w:r w:rsidR="00115B61">
        <w:rPr>
          <w:rFonts w:ascii="Times New Roman" w:eastAsia="Calibri" w:hAnsi="Times New Roman" w:cs="Times New Roman"/>
          <w:sz w:val="28"/>
          <w:szCs w:val="28"/>
          <w:lang w:eastAsia="en-US"/>
        </w:rPr>
        <w:t>500,0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грн. </w:t>
      </w:r>
    </w:p>
    <w:p w:rsidR="00001BC5" w:rsidRDefault="005332D1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Загальна сума на придбання портфелів та шкільного приладдя становить 129,0 тис. грн. </w:t>
      </w:r>
      <w:r w:rsidR="00001B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332D1" w:rsidRDefault="005332D1" w:rsidP="00001B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Пропонується збільшити обсяг фінансування </w:t>
      </w:r>
      <w:r w:rsidRPr="005332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119,0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D6BA8" w:rsidRDefault="005332D1" w:rsidP="000503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 становитиме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129</w:t>
      </w:r>
      <w:r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677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тис. грн</w:t>
      </w:r>
      <w:r w:rsidRPr="00D160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7F78" w:rsidRPr="00914FBB" w:rsidRDefault="004D7F78" w:rsidP="00914FBB">
      <w:pPr>
        <w:pStyle w:val="aa"/>
        <w:tabs>
          <w:tab w:val="left" w:pos="426"/>
          <w:tab w:val="left" w:pos="113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96304" w:rsidRDefault="00271782" w:rsidP="004D7F78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:rsidR="004D7F78" w:rsidRPr="004D7F78" w:rsidRDefault="004D7F78" w:rsidP="004D7F78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F0F5D" w:rsidRDefault="00A50CFE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DF0F5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F0F5D" w:rsidRDefault="00DF0F5D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громади;</w:t>
      </w:r>
    </w:p>
    <w:p w:rsidR="0047122B" w:rsidRPr="00A37C64" w:rsidRDefault="0047122B" w:rsidP="00A37C6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0F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фінансову підтримку </w:t>
      </w:r>
      <w:r w:rsidRPr="004712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найбільш вразливих верств населення Броварської</w:t>
      </w:r>
      <w:r w:rsidR="00DF0F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міської територіальної громади;</w:t>
      </w:r>
    </w:p>
    <w:p w:rsidR="00271782" w:rsidRPr="00F626F7" w:rsidRDefault="00271782" w:rsidP="00206FD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:rsidR="00F96304" w:rsidRPr="00206FD9" w:rsidRDefault="00F96304" w:rsidP="00F9630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Pr="00206FD9" w:rsidRDefault="00206FD9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252"/>
        <w:gridCol w:w="1418"/>
        <w:gridCol w:w="1559"/>
        <w:gridCol w:w="1547"/>
      </w:tblGrid>
      <w:tr w:rsidR="00271782" w:rsidRPr="002500D9" w:rsidTr="0047122B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524" w:type="dxa"/>
            <w:gridSpan w:val="3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:rsidTr="0047122B">
        <w:trPr>
          <w:jc w:val="center"/>
        </w:trPr>
        <w:tc>
          <w:tcPr>
            <w:tcW w:w="839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:rsidTr="0047122B">
        <w:trPr>
          <w:trHeight w:val="1012"/>
          <w:jc w:val="center"/>
        </w:trPr>
        <w:tc>
          <w:tcPr>
            <w:tcW w:w="839" w:type="dxa"/>
          </w:tcPr>
          <w:p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418" w:type="dxa"/>
            <w:vAlign w:val="center"/>
          </w:tcPr>
          <w:p w:rsidR="00271782" w:rsidRPr="002500D9" w:rsidRDefault="005332D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71782" w:rsidRPr="002500D9" w:rsidRDefault="00E1792B" w:rsidP="000503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50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:rsidR="00271782" w:rsidRPr="002500D9" w:rsidRDefault="005332D1" w:rsidP="000503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3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2B41" w:rsidRPr="002500D9" w:rsidTr="0047122B">
        <w:trPr>
          <w:trHeight w:val="1012"/>
          <w:jc w:val="center"/>
        </w:trPr>
        <w:tc>
          <w:tcPr>
            <w:tcW w:w="839" w:type="dxa"/>
          </w:tcPr>
          <w:p w:rsidR="00532B41" w:rsidRDefault="00532B4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532B41" w:rsidRPr="0047122B" w:rsidRDefault="00532B41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2B41">
              <w:rPr>
                <w:rFonts w:ascii="Times New Roman" w:hAnsi="Times New Roman" w:cs="Times New Roman"/>
                <w:sz w:val="24"/>
                <w:szCs w:val="24"/>
              </w:rPr>
              <w:t>п.6.16. «Надання безкоштовних перукарських послуг пенсіонерам, особам з інвалідн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32B41">
              <w:rPr>
                <w:rFonts w:ascii="Times New Roman" w:hAnsi="Times New Roman" w:cs="Times New Roman"/>
                <w:sz w:val="24"/>
                <w:szCs w:val="24"/>
              </w:rPr>
              <w:t>стю»</w:t>
            </w:r>
          </w:p>
        </w:tc>
        <w:tc>
          <w:tcPr>
            <w:tcW w:w="1418" w:type="dxa"/>
            <w:vAlign w:val="center"/>
          </w:tcPr>
          <w:p w:rsidR="00532B41" w:rsidRDefault="00532B4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559" w:type="dxa"/>
            <w:vAlign w:val="center"/>
          </w:tcPr>
          <w:p w:rsidR="00532B41" w:rsidRDefault="00532B41" w:rsidP="00A37C6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+43,1</w:t>
            </w:r>
          </w:p>
        </w:tc>
        <w:tc>
          <w:tcPr>
            <w:tcW w:w="1547" w:type="dxa"/>
            <w:vAlign w:val="center"/>
          </w:tcPr>
          <w:p w:rsidR="00532B41" w:rsidRDefault="00532B4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188,7</w:t>
            </w:r>
          </w:p>
        </w:tc>
      </w:tr>
      <w:tr w:rsidR="00532B41" w:rsidRPr="002500D9" w:rsidTr="0047122B">
        <w:trPr>
          <w:trHeight w:val="1012"/>
          <w:jc w:val="center"/>
        </w:trPr>
        <w:tc>
          <w:tcPr>
            <w:tcW w:w="839" w:type="dxa"/>
          </w:tcPr>
          <w:p w:rsidR="00532B41" w:rsidRDefault="00532B4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2" w:type="dxa"/>
          </w:tcPr>
          <w:p w:rsidR="00532B41" w:rsidRPr="0047122B" w:rsidRDefault="00532B4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2B41">
              <w:rPr>
                <w:rFonts w:ascii="Times New Roman" w:hAnsi="Times New Roman" w:cs="Times New Roman"/>
                <w:sz w:val="24"/>
                <w:szCs w:val="24"/>
              </w:rPr>
              <w:t>п.6.25. «Часткове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затверджуються в установленому порядку»</w:t>
            </w:r>
          </w:p>
        </w:tc>
        <w:tc>
          <w:tcPr>
            <w:tcW w:w="1418" w:type="dxa"/>
            <w:vAlign w:val="center"/>
          </w:tcPr>
          <w:p w:rsidR="00532B41" w:rsidRDefault="00532B4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vAlign w:val="center"/>
          </w:tcPr>
          <w:p w:rsidR="00532B41" w:rsidRDefault="00532B41" w:rsidP="00A37C6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  <w:tc>
          <w:tcPr>
            <w:tcW w:w="1547" w:type="dxa"/>
            <w:vAlign w:val="center"/>
          </w:tcPr>
          <w:p w:rsidR="00532B41" w:rsidRDefault="00532B4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32B41" w:rsidRPr="002500D9" w:rsidTr="0047122B">
        <w:trPr>
          <w:trHeight w:val="1012"/>
          <w:jc w:val="center"/>
        </w:trPr>
        <w:tc>
          <w:tcPr>
            <w:tcW w:w="839" w:type="dxa"/>
          </w:tcPr>
          <w:p w:rsidR="00532B41" w:rsidRDefault="00532B4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532B41" w:rsidRPr="0047122B" w:rsidRDefault="00532B4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32B41">
              <w:rPr>
                <w:rFonts w:ascii="Times New Roman" w:hAnsi="Times New Roman" w:cs="Times New Roman"/>
                <w:sz w:val="24"/>
                <w:szCs w:val="24"/>
              </w:rPr>
              <w:t>п.6.27. «Придбання портфелів та шкільного приладдя для дітей із сімей, які опинилися в складних життєвих обставинах»</w:t>
            </w:r>
          </w:p>
        </w:tc>
        <w:tc>
          <w:tcPr>
            <w:tcW w:w="1418" w:type="dxa"/>
            <w:vAlign w:val="center"/>
          </w:tcPr>
          <w:p w:rsidR="00532B41" w:rsidRDefault="00532B4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center"/>
          </w:tcPr>
          <w:p w:rsidR="00532B41" w:rsidRDefault="00532B41" w:rsidP="00A37C6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+119,0</w:t>
            </w:r>
          </w:p>
        </w:tc>
        <w:tc>
          <w:tcPr>
            <w:tcW w:w="1547" w:type="dxa"/>
            <w:vAlign w:val="center"/>
          </w:tcPr>
          <w:p w:rsidR="00532B41" w:rsidRDefault="00532B4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</w:tr>
      <w:tr w:rsidR="00271782" w:rsidRPr="002500D9" w:rsidTr="0047122B">
        <w:trPr>
          <w:trHeight w:val="265"/>
          <w:jc w:val="center"/>
        </w:trPr>
        <w:tc>
          <w:tcPr>
            <w:tcW w:w="839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418" w:type="dxa"/>
          </w:tcPr>
          <w:p w:rsidR="00271782" w:rsidRPr="002500D9" w:rsidRDefault="00DE4069" w:rsidP="00532B4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37C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3A98"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559" w:type="dxa"/>
          </w:tcPr>
          <w:p w:rsidR="00271782" w:rsidRPr="002500D9" w:rsidRDefault="00DB5AFB" w:rsidP="000503B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0503B3">
              <w:rPr>
                <w:rFonts w:ascii="Times New Roman" w:hAnsi="Times New Roman" w:cs="Times New Roman"/>
                <w:b/>
                <w:sz w:val="24"/>
                <w:szCs w:val="24"/>
              </w:rPr>
              <w:t>1262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547" w:type="dxa"/>
          </w:tcPr>
          <w:p w:rsidR="00271782" w:rsidRPr="002500D9" w:rsidRDefault="00532B41" w:rsidP="000503B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03B3">
              <w:rPr>
                <w:rFonts w:ascii="Times New Roman" w:hAnsi="Times New Roman" w:cs="Times New Roman"/>
                <w:b/>
                <w:sz w:val="24"/>
                <w:szCs w:val="24"/>
              </w:rPr>
              <w:t>0636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</w:tbl>
    <w:p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 w:rsidR="008968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Алла ПЕТРЕНКО</w:t>
      </w:r>
    </w:p>
    <w:p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FF30E9"/>
    <w:multiLevelType w:val="multilevel"/>
    <w:tmpl w:val="140ED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5"/>
  </w:num>
  <w:num w:numId="7">
    <w:abstractNumId w:val="8"/>
  </w:num>
  <w:num w:numId="8">
    <w:abstractNumId w:val="17"/>
  </w:num>
  <w:num w:numId="9">
    <w:abstractNumId w:val="1"/>
  </w:num>
  <w:num w:numId="10">
    <w:abstractNumId w:val="10"/>
  </w:num>
  <w:num w:numId="11">
    <w:abstractNumId w:val="16"/>
  </w:num>
  <w:num w:numId="12">
    <w:abstractNumId w:val="18"/>
  </w:num>
  <w:num w:numId="13">
    <w:abstractNumId w:val="13"/>
  </w:num>
  <w:num w:numId="14">
    <w:abstractNumId w:val="14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01BC5"/>
    <w:rsid w:val="00042719"/>
    <w:rsid w:val="000503B3"/>
    <w:rsid w:val="000537EB"/>
    <w:rsid w:val="00082D60"/>
    <w:rsid w:val="00094E74"/>
    <w:rsid w:val="000A04EF"/>
    <w:rsid w:val="000A4C1B"/>
    <w:rsid w:val="00115B61"/>
    <w:rsid w:val="00126B69"/>
    <w:rsid w:val="001414CF"/>
    <w:rsid w:val="0018033E"/>
    <w:rsid w:val="00187A49"/>
    <w:rsid w:val="001A3FF0"/>
    <w:rsid w:val="001B3D7A"/>
    <w:rsid w:val="001D035C"/>
    <w:rsid w:val="001D45B4"/>
    <w:rsid w:val="001D5466"/>
    <w:rsid w:val="001D74CF"/>
    <w:rsid w:val="00206FD9"/>
    <w:rsid w:val="00244FF9"/>
    <w:rsid w:val="0025426E"/>
    <w:rsid w:val="0026627C"/>
    <w:rsid w:val="00271782"/>
    <w:rsid w:val="00276448"/>
    <w:rsid w:val="002F47DB"/>
    <w:rsid w:val="00304AC1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E764E"/>
    <w:rsid w:val="004033FD"/>
    <w:rsid w:val="0047122B"/>
    <w:rsid w:val="004A70BA"/>
    <w:rsid w:val="004D7F78"/>
    <w:rsid w:val="004F4D4F"/>
    <w:rsid w:val="0052396D"/>
    <w:rsid w:val="00525C68"/>
    <w:rsid w:val="00532382"/>
    <w:rsid w:val="00532B41"/>
    <w:rsid w:val="005332D1"/>
    <w:rsid w:val="00547B0E"/>
    <w:rsid w:val="00553A98"/>
    <w:rsid w:val="00572329"/>
    <w:rsid w:val="005733D8"/>
    <w:rsid w:val="005B0E4A"/>
    <w:rsid w:val="005B1C08"/>
    <w:rsid w:val="005B2780"/>
    <w:rsid w:val="005E7652"/>
    <w:rsid w:val="005F21B8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7502C"/>
    <w:rsid w:val="006764DF"/>
    <w:rsid w:val="006771CB"/>
    <w:rsid w:val="00684B95"/>
    <w:rsid w:val="00696599"/>
    <w:rsid w:val="006A3433"/>
    <w:rsid w:val="006B13C0"/>
    <w:rsid w:val="006B2B93"/>
    <w:rsid w:val="006C396C"/>
    <w:rsid w:val="00705E96"/>
    <w:rsid w:val="00706901"/>
    <w:rsid w:val="0074644B"/>
    <w:rsid w:val="00747764"/>
    <w:rsid w:val="00755635"/>
    <w:rsid w:val="007B7391"/>
    <w:rsid w:val="007D04D0"/>
    <w:rsid w:val="007E7FBA"/>
    <w:rsid w:val="00823C04"/>
    <w:rsid w:val="00827775"/>
    <w:rsid w:val="008438B4"/>
    <w:rsid w:val="00881846"/>
    <w:rsid w:val="00884415"/>
    <w:rsid w:val="008968BB"/>
    <w:rsid w:val="008A1702"/>
    <w:rsid w:val="008A33F2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7015D"/>
    <w:rsid w:val="00970BD3"/>
    <w:rsid w:val="00970DCB"/>
    <w:rsid w:val="009B7D79"/>
    <w:rsid w:val="009C0EEF"/>
    <w:rsid w:val="009C10FF"/>
    <w:rsid w:val="00A15D32"/>
    <w:rsid w:val="00A218AE"/>
    <w:rsid w:val="00A35A0E"/>
    <w:rsid w:val="00A368F9"/>
    <w:rsid w:val="00A36D1F"/>
    <w:rsid w:val="00A37C64"/>
    <w:rsid w:val="00A50CFE"/>
    <w:rsid w:val="00A571C6"/>
    <w:rsid w:val="00A92192"/>
    <w:rsid w:val="00AB240F"/>
    <w:rsid w:val="00AB6F49"/>
    <w:rsid w:val="00B0702E"/>
    <w:rsid w:val="00B3336D"/>
    <w:rsid w:val="00B35D4C"/>
    <w:rsid w:val="00B46089"/>
    <w:rsid w:val="00B5176E"/>
    <w:rsid w:val="00B80167"/>
    <w:rsid w:val="00BC55DC"/>
    <w:rsid w:val="00BC6C38"/>
    <w:rsid w:val="00BD6BA8"/>
    <w:rsid w:val="00BE02B7"/>
    <w:rsid w:val="00BF6942"/>
    <w:rsid w:val="00C11058"/>
    <w:rsid w:val="00C14D1A"/>
    <w:rsid w:val="00C37BFC"/>
    <w:rsid w:val="00C55F71"/>
    <w:rsid w:val="00C8546D"/>
    <w:rsid w:val="00C94111"/>
    <w:rsid w:val="00C96FCB"/>
    <w:rsid w:val="00CD128F"/>
    <w:rsid w:val="00CD6E0D"/>
    <w:rsid w:val="00CE2315"/>
    <w:rsid w:val="00D073B5"/>
    <w:rsid w:val="00D16068"/>
    <w:rsid w:val="00D24589"/>
    <w:rsid w:val="00D377D5"/>
    <w:rsid w:val="00D44173"/>
    <w:rsid w:val="00D5049E"/>
    <w:rsid w:val="00D92C45"/>
    <w:rsid w:val="00D94503"/>
    <w:rsid w:val="00DB5AFB"/>
    <w:rsid w:val="00DC33C6"/>
    <w:rsid w:val="00DD0BFD"/>
    <w:rsid w:val="00DD7BFD"/>
    <w:rsid w:val="00DE4069"/>
    <w:rsid w:val="00DF0F5D"/>
    <w:rsid w:val="00E03F54"/>
    <w:rsid w:val="00E05A3B"/>
    <w:rsid w:val="00E1792B"/>
    <w:rsid w:val="00E31D32"/>
    <w:rsid w:val="00E528A9"/>
    <w:rsid w:val="00E7332E"/>
    <w:rsid w:val="00EC4CB9"/>
    <w:rsid w:val="00EC5F8B"/>
    <w:rsid w:val="00EC6EF6"/>
    <w:rsid w:val="00ED2BA2"/>
    <w:rsid w:val="00F16891"/>
    <w:rsid w:val="00F6027B"/>
    <w:rsid w:val="00F6384D"/>
    <w:rsid w:val="00F96304"/>
    <w:rsid w:val="00FA0F2C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8B3C-DAC1-49F8-9C3C-8F2EBD7D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20</cp:revision>
  <cp:lastPrinted>2025-07-08T13:23:00Z</cp:lastPrinted>
  <dcterms:created xsi:type="dcterms:W3CDTF">2025-04-02T08:46:00Z</dcterms:created>
  <dcterms:modified xsi:type="dcterms:W3CDTF">2025-07-10T12:21:00Z</dcterms:modified>
</cp:coreProperties>
</file>