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keepNext/>
        <w:keepLines/>
        <w:spacing w:beforeAutospacing="0" w:after="20" w:afterAutospacing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lang w:eastAsia="ru-RU"/>
        </w:rPr>
        <w:t>ПОЛОЖЕННЯ</w:t>
      </w:r>
    </w:p>
    <w:p>
      <w:pPr>
        <w:spacing w:beforeAutospacing="0" w:afterAutospacing="0" w:line="240" w:lineRule="auto"/>
        <w:jc w:val="center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lang w:eastAsia="ru-RU"/>
        </w:rPr>
        <w:t>про забезпечення санаторно-курортним лікуванням Захисників та Захисниць України, що брали/беруть участь в заходах щодо забезпечення відсічі збройної агресії російської федерації, ветеранів війни, осіб на яких поширюється дія Закону України «Про статус ветеранів війни, гарантії їх соціального захисту» у новій редакції</w:t>
      </w:r>
    </w:p>
    <w:p>
      <w:pPr>
        <w:spacing w:beforeAutospacing="0" w:after="215" w:afterAutospacing="0" w:line="240" w:lineRule="auto"/>
        <w:ind w:left="3252" w:right="2675" w:hanging="10"/>
        <w:jc w:val="center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1. Загальні положення </w:t>
      </w:r>
    </w:p>
    <w:p>
      <w:pPr>
        <w:spacing w:beforeAutospacing="0" w:after="206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1.1. Це Положення визначає умови та порядок 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федерації, ветеранів війни, осіб на яких поширюється дія Закону України «Про статус ветеранів війни, гарантії їх соціального захисту», а саме: учасники бойових дій, особи з інвалідністю внаслідок війни, учасники війни.</w:t>
      </w:r>
    </w:p>
    <w:p>
      <w:pPr>
        <w:spacing w:beforeAutospacing="0" w:after="208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1.2. Положення розроблено на виконання підпункту 6.18 пункту 6 Програми підтримки Захисників і Захисниць України, членів сімей загиблих на 2024-2026 роки, затвердженої рішенням Броварської міської ради Броварського району Київської області від 27.02.2025 № 2002-88-08.</w:t>
      </w:r>
    </w:p>
    <w:p>
      <w:pPr>
        <w:spacing w:beforeAutospacing="0" w:after="208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1.3. Забезпечення санаторно-курортними  лікуванням Захисників та Захисниць України, що брали / беруть участь в заходах щодо забезпечення відсічі збройної агресії російської федерації (далі-особи) та ветеранів війни  здійснюється за рахунок коштів, передбачених у місцевому бюджеті.</w:t>
      </w:r>
    </w:p>
    <w:p>
      <w:pPr>
        <w:spacing w:beforeAutospacing="0" w:after="206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1.4. Санаторно-курортне лікування надається особам, зареєстрованим в  Броварській міській територіальній громаді, в порядку черговості</w:t>
      </w:r>
      <w:r>
        <w:rPr>
          <w:rFonts w:ascii="Times New Roman" w:hAnsi="Times New Roman"/>
          <w:color w:val="000000"/>
          <w:sz w:val="28"/>
          <w:lang w:eastAsia="ru-RU"/>
        </w:rPr>
        <w:t xml:space="preserve"> та в межах коштів, виділених на ці цілі.</w:t>
      </w:r>
    </w:p>
    <w:p>
      <w:pPr>
        <w:spacing w:beforeAutospacing="0" w:after="217" w:afterAutospacing="0" w:line="240" w:lineRule="auto"/>
        <w:ind w:left="567"/>
        <w:jc w:val="center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 Порядок забезпечення санаторно-курортним лікуванням.</w:t>
      </w:r>
    </w:p>
    <w:p>
      <w:pPr>
        <w:spacing w:beforeAutospacing="0" w:after="206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2.1. Забезпечення осіб путівками на санаторно-курортне лікування проводиться шляхом безготівкового перерахування коштів санаторно-курортним закладам, які мають ліцензію на провадження господарської діяльності з медичної практики за надані послуги, відповідно до укладених договорів, на підставі актів приймання - передачі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2.2. Гранична вартість путівки для забезпечення санаторно-курортним лікуванням становить:</w:t>
      </w:r>
    </w:p>
    <w:p>
      <w:pPr>
        <w:pStyle w:val="ListParagraph"/>
        <w:numPr>
          <w:ilvl w:val="0"/>
          <w:numId w:val="4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для учасників бойових дій та учасників війни – 18000 грн. (1000,00грн.за один ліжко-день) з податком на додану вартість; </w:t>
      </w:r>
    </w:p>
    <w:p>
      <w:pPr>
        <w:pStyle w:val="ListParagraph"/>
        <w:numPr>
          <w:ilvl w:val="0"/>
          <w:numId w:val="3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для осіб з інвалідністю внаслідок війни – 21000,00 грн. (1000,00 грн. за один ліжко-день) без податку на додану вартість; </w:t>
      </w:r>
    </w:p>
    <w:p>
      <w:pPr>
        <w:pStyle w:val="ListParagraph"/>
        <w:numPr>
          <w:ilvl w:val="0"/>
          <w:numId w:val="3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для осіб з інвалідністю внаслідок війни з наслідками травм і захворюванням хребта та спинного мозку – 35000,00 грн. (1000,00 грн. за один ліжко день) без податку на додану вартість. 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2.3. Відповідно до цього По</w:t>
      </w:r>
      <w:r>
        <w:rPr>
          <w:rFonts w:ascii="Times New Roman" w:hAnsi="Times New Roman"/>
          <w:color w:val="000000"/>
          <w:sz w:val="28"/>
          <w:lang w:eastAsia="ru-RU"/>
        </w:rPr>
        <w:t>ложення</w:t>
      </w:r>
      <w:r>
        <w:rPr>
          <w:rFonts w:ascii="Times New Roman" w:hAnsi="Times New Roman"/>
          <w:color w:val="000000"/>
          <w:sz w:val="28"/>
          <w:lang w:eastAsia="ru-RU"/>
        </w:rPr>
        <w:t xml:space="preserve"> путівками до санаторно-курортних закладів, згідно з медичними рекомендаціями забезпечуються</w:t>
      </w:r>
      <w:r>
        <w:rPr>
          <w:rFonts w:ascii="Times New Roman" w:hAnsi="Times New Roman"/>
          <w:color w:val="000000"/>
          <w:sz w:val="28"/>
          <w:lang w:eastAsia="ru-RU"/>
        </w:rPr>
        <w:t xml:space="preserve"> в порядку черговості</w:t>
      </w:r>
      <w:r>
        <w:rPr>
          <w:rFonts w:ascii="Times New Roman" w:hAnsi="Times New Roman"/>
          <w:color w:val="000000"/>
          <w:sz w:val="28"/>
          <w:lang w:eastAsia="ru-RU"/>
        </w:rPr>
        <w:t>:</w:t>
      </w:r>
    </w:p>
    <w:p>
      <w:pPr>
        <w:pStyle w:val="ListParagraph"/>
        <w:numPr>
          <w:ilvl w:val="0"/>
          <w:numId w:val="9"/>
        </w:numPr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учасники бойових дій – не частіше ніж один раз на рік терміном на 18    днів;  </w:t>
      </w:r>
    </w:p>
    <w:p>
      <w:pPr>
        <w:pStyle w:val="ListParagraph"/>
        <w:numPr>
          <w:ilvl w:val="0"/>
          <w:numId w:val="9"/>
        </w:numPr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особи з інвалідністю внаслідок війни - позачергово щороку терміном на 21 день; </w:t>
      </w:r>
    </w:p>
    <w:p>
      <w:pPr>
        <w:pStyle w:val="ListParagraph"/>
        <w:numPr>
          <w:ilvl w:val="0"/>
          <w:numId w:val="9"/>
        </w:numPr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учасники війни - не частіше ніж один раз на два роки терміном на 18 днів;     </w:t>
      </w:r>
    </w:p>
    <w:p>
      <w:pPr>
        <w:pStyle w:val="ListParagraph"/>
        <w:numPr>
          <w:ilvl w:val="0"/>
          <w:numId w:val="9"/>
        </w:numPr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особи з інвалідністю внаслідок війни з наслідками травм і захворюванням хребта та спинного мозку (до санаторіїв спинального профілю) – не частіше ніж один раз на рік терміном на 35 днів.</w:t>
      </w:r>
    </w:p>
    <w:p>
      <w:pPr>
        <w:pStyle w:val="ListParagraph"/>
        <w:spacing w:beforeAutospacing="0" w:after="0" w:afterAutospacing="0" w:line="240" w:lineRule="auto"/>
        <w:ind w:left="709"/>
        <w:jc w:val="both"/>
        <w:rPr>
          <w:rFonts w:ascii="Times New Roman" w:hAnsi="Times New Roman"/>
          <w:color w:val="000000"/>
          <w:sz w:val="28"/>
          <w:lang w:eastAsia="ru-RU"/>
        </w:rPr>
      </w:pPr>
    </w:p>
    <w:p>
      <w:pPr>
        <w:spacing w:beforeAutospacing="0" w:after="208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2.4. У разі коли особа має право на забезпечення путівкою за кількома законами, їй надається право вибору в забезпеченні путівкою за одним із них.</w:t>
      </w:r>
    </w:p>
    <w:p>
      <w:pPr>
        <w:spacing w:beforeAutospacing="0" w:after="208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2.5. Для одержання санаторно-курортної путівки особи повинні перебувати на обліку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громадян</w:t>
      </w:r>
      <w:r>
        <w:rPr>
          <w:rFonts w:ascii="Times New Roman" w:hAnsi="Times New Roman"/>
          <w:color w:val="000000"/>
          <w:sz w:val="28"/>
          <w:lang w:eastAsia="ru-RU"/>
        </w:rPr>
        <w:t>, які потребують санаторно-курортного лікування</w:t>
      </w:r>
      <w:r>
        <w:rPr>
          <w:rFonts w:ascii="Times New Roman" w:hAnsi="Times New Roman"/>
          <w:color w:val="000000"/>
          <w:sz w:val="28"/>
          <w:lang w:eastAsia="ru-RU"/>
        </w:rPr>
        <w:t xml:space="preserve"> в управлінні з питань ветеранської політики Броварської міської ради Броварського району Київської області.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2.6. Для взяття на облік особа чи її законний представник подає</w:t>
      </w:r>
      <w:r>
        <w:rPr>
          <w:rFonts w:ascii="Times New Roman" w:hAnsi="Times New Roman"/>
          <w:color w:val="000000"/>
          <w:sz w:val="28"/>
          <w:lang w:eastAsia="ru-RU"/>
        </w:rPr>
        <w:t>: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заяву</w:t>
      </w:r>
      <w:r>
        <w:rPr>
          <w:rFonts w:ascii="Times New Roman" w:hAnsi="Times New Roman"/>
          <w:color w:val="000000"/>
          <w:sz w:val="28"/>
          <w:lang w:eastAsia="ru-RU"/>
        </w:rPr>
        <w:t>;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копію пасп</w:t>
      </w:r>
      <w:r>
        <w:rPr>
          <w:rFonts w:ascii="Times New Roman" w:hAnsi="Times New Roman"/>
          <w:color w:val="000000"/>
          <w:sz w:val="28"/>
          <w:lang w:eastAsia="ru-RU"/>
        </w:rPr>
        <w:t xml:space="preserve">орту </w:t>
      </w:r>
      <w:r>
        <w:rPr>
          <w:rFonts w:ascii="Times New Roman" w:hAnsi="Times New Roman"/>
          <w:color w:val="000000"/>
          <w:sz w:val="28"/>
          <w:lang w:eastAsia="ru-RU"/>
        </w:rPr>
        <w:t>громадянина України</w:t>
      </w:r>
      <w:r>
        <w:rPr>
          <w:rFonts w:ascii="Times New Roman" w:hAnsi="Times New Roman"/>
          <w:color w:val="000000"/>
          <w:sz w:val="28"/>
          <w:lang w:eastAsia="ru-RU"/>
        </w:rPr>
        <w:t>;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витяг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 xml:space="preserve">з реєстру територіальної громади </w:t>
      </w:r>
      <w:r>
        <w:rPr>
          <w:rFonts w:ascii="Times New Roman" w:hAnsi="Times New Roman"/>
          <w:color w:val="000000"/>
          <w:sz w:val="28"/>
          <w:lang w:eastAsia="ru-RU"/>
        </w:rPr>
        <w:t xml:space="preserve">про </w:t>
      </w:r>
      <w:r>
        <w:rPr>
          <w:rFonts w:ascii="Times New Roman" w:hAnsi="Times New Roman"/>
          <w:color w:val="000000"/>
          <w:sz w:val="28"/>
          <w:lang w:eastAsia="ru-RU"/>
        </w:rPr>
        <w:t>мі</w:t>
      </w:r>
      <w:r>
        <w:rPr>
          <w:rFonts w:ascii="Times New Roman" w:hAnsi="Times New Roman"/>
          <w:color w:val="000000"/>
          <w:sz w:val="28"/>
          <w:lang w:eastAsia="ru-RU"/>
        </w:rPr>
        <w:t>сце проживання</w:t>
      </w:r>
      <w:r>
        <w:rPr>
          <w:rFonts w:ascii="Times New Roman" w:hAnsi="Times New Roman"/>
          <w:color w:val="000000"/>
          <w:sz w:val="28"/>
          <w:lang w:eastAsia="ru-RU"/>
        </w:rPr>
        <w:t>;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копію довідки про присв</w:t>
      </w:r>
      <w:r>
        <w:rPr>
          <w:rFonts w:ascii="Times New Roman" w:hAnsi="Times New Roman"/>
          <w:color w:val="000000"/>
          <w:sz w:val="28"/>
          <w:lang w:eastAsia="ru-RU"/>
        </w:rPr>
        <w:t>оє</w:t>
      </w:r>
      <w:r>
        <w:rPr>
          <w:rFonts w:ascii="Times New Roman" w:hAnsi="Times New Roman"/>
          <w:color w:val="000000"/>
          <w:sz w:val="28"/>
          <w:lang w:eastAsia="ru-RU"/>
        </w:rPr>
        <w:t>ння реєстраційного но</w:t>
      </w:r>
      <w:r>
        <w:rPr>
          <w:rFonts w:ascii="Times New Roman" w:hAnsi="Times New Roman"/>
          <w:color w:val="000000"/>
          <w:sz w:val="28"/>
          <w:lang w:eastAsia="ru-RU"/>
        </w:rPr>
        <w:t>мера облі</w:t>
      </w:r>
      <w:r>
        <w:rPr>
          <w:rFonts w:ascii="Times New Roman" w:hAnsi="Times New Roman"/>
          <w:color w:val="000000"/>
          <w:sz w:val="28"/>
          <w:lang w:eastAsia="ru-RU"/>
        </w:rPr>
        <w:t>кової картки платника податків</w:t>
      </w:r>
      <w:r>
        <w:rPr>
          <w:rFonts w:ascii="Times New Roman" w:hAnsi="Times New Roman"/>
          <w:color w:val="000000"/>
          <w:sz w:val="28"/>
          <w:lang w:eastAsia="ru-RU"/>
        </w:rPr>
        <w:t>;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медичну довідку лікувальної установи за </w:t>
      </w:r>
      <w:hyperlink r:id="rId4" w:anchor="n3">
        <w:r>
          <w:rPr>
            <w:rFonts w:ascii="Times New Roman" w:hAnsi="Times New Roman"/>
            <w:color w:val="000000"/>
            <w:sz w:val="28"/>
            <w:lang w:eastAsia="ru-RU"/>
          </w:rPr>
          <w:t>формою</w:t>
        </w:r>
      </w:hyperlink>
      <w:hyperlink r:id="rId4" w:anchor="n3">
        <w:r>
          <w:rPr>
            <w:rFonts w:ascii="Times New Roman" w:hAnsi="Times New Roman"/>
            <w:color w:val="000000"/>
            <w:sz w:val="28"/>
            <w:lang w:eastAsia="ru-RU"/>
          </w:rPr>
          <w:t xml:space="preserve"> </w:t>
        </w:r>
      </w:hyperlink>
      <w:hyperlink r:id="rId4" w:anchor="n3">
        <w:r>
          <w:rPr>
            <w:rFonts w:ascii="Times New Roman" w:hAnsi="Times New Roman"/>
            <w:color w:val="000000"/>
            <w:sz w:val="28"/>
            <w:lang w:eastAsia="ru-RU"/>
          </w:rPr>
          <w:t>№</w:t>
        </w:r>
      </w:hyperlink>
      <w:hyperlink r:id="rId4" w:anchor="n3">
        <w:r>
          <w:rPr>
            <w:rFonts w:ascii="Times New Roman" w:hAnsi="Times New Roman"/>
            <w:color w:val="000000"/>
            <w:sz w:val="28"/>
            <w:lang w:eastAsia="ru-RU"/>
          </w:rPr>
          <w:t xml:space="preserve"> </w:t>
        </w:r>
      </w:hyperlink>
      <w:hyperlink r:id="rId4" w:anchor="n3">
        <w:r>
          <w:rPr>
            <w:rFonts w:ascii="Times New Roman" w:hAnsi="Times New Roman"/>
            <w:color w:val="000000"/>
            <w:sz w:val="28"/>
            <w:lang w:eastAsia="ru-RU"/>
          </w:rPr>
          <w:t>070/о</w:t>
        </w:r>
      </w:hyperlink>
      <w:r>
        <w:rPr>
          <w:rFonts w:ascii="Times New Roman" w:hAnsi="Times New Roman"/>
          <w:color w:val="000000"/>
          <w:sz w:val="28"/>
          <w:lang w:eastAsia="ru-RU"/>
        </w:rPr>
        <w:t>;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копію відповідного посвідчення, що підтверджує статус особи («Посвідчення учасник бойових дій», «Посвідчення особа з інвалідністю внаслідок війни»), а учасники бойових дій, особи з інвалідністю  внаслідок війни - також копію військового квитка (за наявності)</w:t>
      </w:r>
      <w:r>
        <w:rPr>
          <w:rFonts w:ascii="Times New Roman" w:hAnsi="Times New Roman"/>
          <w:color w:val="000000"/>
          <w:sz w:val="28"/>
          <w:lang w:eastAsia="ru-RU"/>
        </w:rPr>
        <w:t>;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копію </w:t>
      </w:r>
      <w:r>
        <w:rPr>
          <w:rFonts w:ascii="Times New Roman" w:hAnsi="Times New Roman"/>
          <w:color w:val="000000"/>
          <w:sz w:val="28"/>
          <w:lang w:eastAsia="ru-RU"/>
        </w:rPr>
        <w:t>документу</w:t>
      </w:r>
      <w:r>
        <w:rPr>
          <w:rFonts w:ascii="Times New Roman" w:hAnsi="Times New Roman"/>
          <w:color w:val="000000"/>
          <w:sz w:val="28"/>
          <w:lang w:eastAsia="ru-RU"/>
        </w:rPr>
        <w:t>, що підтвердж</w:t>
      </w:r>
      <w:r>
        <w:rPr>
          <w:rFonts w:ascii="Times New Roman" w:hAnsi="Times New Roman"/>
          <w:color w:val="000000"/>
          <w:sz w:val="28"/>
          <w:lang w:eastAsia="ru-RU"/>
        </w:rPr>
        <w:t>ує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бе</w:t>
      </w:r>
      <w:r>
        <w:rPr>
          <w:rFonts w:ascii="Times New Roman" w:hAnsi="Times New Roman"/>
          <w:color w:val="000000"/>
          <w:sz w:val="28"/>
          <w:lang w:eastAsia="ru-RU"/>
        </w:rPr>
        <w:t>зпосередню участь особи в антитерористичній операції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або заходах і</w:t>
      </w:r>
      <w:r>
        <w:rPr>
          <w:rFonts w:ascii="Times New Roman" w:hAnsi="Times New Roman"/>
          <w:color w:val="000000"/>
          <w:sz w:val="28"/>
          <w:lang w:eastAsia="ru-RU"/>
        </w:rPr>
        <w:t>з забезпечення національної безпеки і оборони України у зв'язку з ві</w:t>
      </w:r>
      <w:r>
        <w:rPr>
          <w:rFonts w:ascii="Times New Roman" w:hAnsi="Times New Roman"/>
          <w:color w:val="000000"/>
          <w:sz w:val="28"/>
          <w:lang w:eastAsia="ru-RU"/>
        </w:rPr>
        <w:t>йськовою агресі</w:t>
      </w:r>
      <w:r>
        <w:rPr>
          <w:rFonts w:ascii="Times New Roman" w:hAnsi="Times New Roman"/>
          <w:color w:val="000000"/>
          <w:sz w:val="28"/>
          <w:lang w:eastAsia="ru-RU"/>
        </w:rPr>
        <w:t>єю російської федерації проти України (за на</w:t>
      </w:r>
      <w:r>
        <w:rPr>
          <w:rFonts w:ascii="Times New Roman" w:hAnsi="Times New Roman"/>
          <w:color w:val="000000"/>
          <w:sz w:val="28"/>
          <w:lang w:eastAsia="ru-RU"/>
        </w:rPr>
        <w:t>явності)</w:t>
      </w:r>
      <w:r>
        <w:rPr>
          <w:rFonts w:ascii="Times New Roman" w:hAnsi="Times New Roman"/>
          <w:color w:val="000000"/>
          <w:sz w:val="28"/>
          <w:lang w:eastAsia="ru-RU"/>
        </w:rPr>
        <w:t>;</w:t>
      </w:r>
    </w:p>
    <w:p>
      <w:pPr>
        <w:numPr>
          <w:ilvl w:val="0"/>
          <w:numId w:val="9"/>
        </w:numPr>
        <w:spacing w:beforeAutospacing="0" w:after="12" w:afterAutospacing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довідку про неотримання путівки - працюючим особам з місця роботи, а військовим пенсіонерам </w:t>
      </w:r>
      <w:r>
        <w:rPr>
          <w:rFonts w:ascii="Times New Roman" w:hAnsi="Times New Roman"/>
          <w:color w:val="000000"/>
          <w:sz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lang w:eastAsia="ru-RU"/>
        </w:rPr>
        <w:t>за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місцем отримання пенсії</w:t>
      </w:r>
      <w:r>
        <w:rPr>
          <w:rFonts w:ascii="Times New Roman" w:hAnsi="Times New Roman"/>
          <w:color w:val="000000"/>
          <w:sz w:val="28"/>
          <w:lang w:eastAsia="ru-RU"/>
        </w:rPr>
        <w:t>;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>
      <w:pPr>
        <w:spacing w:beforeAutospacing="0" w:after="20" w:afterAutospacing="0" w:line="240" w:lineRule="auto"/>
        <w:ind w:left="10" w:right="-15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Під час подання копій документів особи надають їх оригінали для огляду.  </w:t>
      </w:r>
    </w:p>
    <w:p>
      <w:pPr>
        <w:spacing w:beforeAutospacing="0" w:after="20" w:afterAutospacing="0" w:line="240" w:lineRule="auto"/>
        <w:ind w:left="10" w:right="-15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</w:t>
      </w:r>
    </w:p>
    <w:p>
      <w:pPr>
        <w:spacing w:beforeAutospacing="0" w:after="20" w:afterAutospacing="0" w:line="240" w:lineRule="auto"/>
        <w:ind w:left="10" w:right="-15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2.7. Документи подаються </w:t>
      </w:r>
      <w:r>
        <w:rPr>
          <w:rFonts w:ascii="Times New Roman" w:hAnsi="Times New Roman"/>
          <w:color w:val="000000"/>
          <w:sz w:val="28"/>
          <w:lang w:eastAsia="ru-RU"/>
        </w:rPr>
        <w:t>через</w:t>
      </w:r>
      <w:r>
        <w:rPr>
          <w:rFonts w:ascii="Times New Roman" w:hAnsi="Times New Roman"/>
          <w:color w:val="000000"/>
          <w:sz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обслуговування "Прозорий офіс" виконавчого коміт</w:t>
      </w:r>
      <w:r>
        <w:rPr>
          <w:rFonts w:ascii="Times New Roman" w:hAnsi="Times New Roman"/>
          <w:color w:val="000000"/>
          <w:sz w:val="28"/>
          <w:lang w:eastAsia="ru-RU"/>
        </w:rPr>
        <w:t>ету Броварської міської ради Броварського району Київ</w:t>
      </w:r>
      <w:r>
        <w:rPr>
          <w:rFonts w:ascii="Times New Roman" w:hAnsi="Times New Roman"/>
          <w:color w:val="000000"/>
          <w:sz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lang w:eastAsia="ru-RU"/>
        </w:rPr>
        <w:t>ької області</w:t>
      </w:r>
      <w:r>
        <w:rPr>
          <w:rFonts w:ascii="Times New Roman" w:hAnsi="Times New Roman"/>
          <w:color w:val="000000"/>
          <w:sz w:val="28"/>
          <w:lang w:eastAsia="ru-RU"/>
        </w:rPr>
        <w:t xml:space="preserve"> для подаль</w:t>
      </w:r>
      <w:r>
        <w:rPr>
          <w:rFonts w:ascii="Times New Roman" w:hAnsi="Times New Roman"/>
          <w:color w:val="000000"/>
          <w:sz w:val="28"/>
          <w:lang w:eastAsia="ru-RU"/>
        </w:rPr>
        <w:t>шо</w:t>
      </w:r>
      <w:r>
        <w:rPr>
          <w:rFonts w:ascii="Times New Roman" w:hAnsi="Times New Roman"/>
          <w:color w:val="000000"/>
          <w:sz w:val="28"/>
          <w:lang w:eastAsia="ru-RU"/>
        </w:rPr>
        <w:t xml:space="preserve">ї </w:t>
      </w:r>
      <w:r>
        <w:rPr>
          <w:rFonts w:ascii="Times New Roman" w:hAnsi="Times New Roman"/>
          <w:color w:val="000000"/>
          <w:sz w:val="28"/>
          <w:lang w:eastAsia="ru-RU"/>
        </w:rPr>
        <w:t xml:space="preserve">передачі в </w:t>
      </w:r>
      <w:r>
        <w:rPr>
          <w:rFonts w:ascii="Times New Roman" w:hAnsi="Times New Roman"/>
          <w:color w:val="000000"/>
          <w:sz w:val="28"/>
          <w:lang w:eastAsia="ru-RU"/>
        </w:rPr>
        <w:t>Уп</w:t>
      </w:r>
      <w:r>
        <w:rPr>
          <w:rFonts w:ascii="Times New Roman" w:hAnsi="Times New Roman"/>
          <w:color w:val="000000"/>
          <w:sz w:val="28"/>
          <w:lang w:eastAsia="ru-RU"/>
        </w:rPr>
        <w:t>равління</w:t>
      </w:r>
      <w:r>
        <w:rPr>
          <w:rFonts w:ascii="Times New Roman" w:hAnsi="Times New Roman"/>
          <w:color w:val="000000"/>
          <w:sz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>
      <w:pPr>
        <w:spacing w:beforeAutospacing="0" w:after="20" w:afterAutospacing="0" w:line="240" w:lineRule="auto"/>
        <w:ind w:left="10" w:right="-15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2.8. Особа, яка перебуває на обліку для забезпечення санаторно-курортним лікуванням в </w:t>
      </w:r>
      <w:r>
        <w:rPr>
          <w:rFonts w:ascii="Times New Roman" w:hAnsi="Times New Roman"/>
          <w:color w:val="000000"/>
          <w:sz w:val="28"/>
          <w:lang w:eastAsia="ru-RU"/>
        </w:rPr>
        <w:t>Управлінн</w:t>
      </w:r>
      <w:r>
        <w:rPr>
          <w:rFonts w:ascii="Times New Roman" w:hAnsi="Times New Roman"/>
          <w:color w:val="000000"/>
          <w:sz w:val="28"/>
          <w:lang w:eastAsia="ru-RU"/>
        </w:rPr>
        <w:t>і</w:t>
      </w:r>
      <w:r>
        <w:rPr>
          <w:rFonts w:ascii="Times New Roman" w:hAnsi="Times New Roman"/>
          <w:color w:val="000000"/>
          <w:sz w:val="28"/>
          <w:lang w:eastAsia="ru-RU"/>
        </w:rPr>
        <w:t>, але в поточному році одержала безоплатну путівку,  знімається з такого обліку.</w:t>
      </w:r>
    </w:p>
    <w:p>
      <w:pPr>
        <w:spacing w:beforeAutospacing="0" w:after="206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Компенсація за доплату, пов’язану з поліпшенням умов проживання в санаторії, та за продовження строку лікування не здійснюється.</w:t>
      </w:r>
    </w:p>
    <w:p>
      <w:pPr>
        <w:spacing w:beforeAutospacing="0" w:after="206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2.9. Особи мають право вільного вибору санаторно-курортного закладу відповідного профілю лікування.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2.10. З метою забезпечення осіб путівками, санаторно-курортний заклад подає Управлінню:</w:t>
      </w:r>
    </w:p>
    <w:p>
      <w:pPr>
        <w:pStyle w:val="ListParagraph"/>
        <w:numPr>
          <w:ilvl w:val="0"/>
          <w:numId w:val="7"/>
        </w:numPr>
        <w:spacing w:beforeAutospacing="0" w:after="12" w:afterAutospacing="0" w:line="240" w:lineRule="auto"/>
        <w:ind w:left="567" w:hanging="283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 </w:t>
      </w:r>
    </w:p>
    <w:p>
      <w:pPr>
        <w:pStyle w:val="ListParagraph"/>
        <w:numPr>
          <w:ilvl w:val="0"/>
          <w:numId w:val="7"/>
        </w:numPr>
        <w:spacing w:beforeAutospacing="0" w:after="12" w:afterAutospacing="0" w:line="240" w:lineRule="auto"/>
        <w:ind w:left="567" w:hanging="283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 </w:t>
      </w:r>
    </w:p>
    <w:p>
      <w:pPr>
        <w:pStyle w:val="ListParagraph"/>
        <w:numPr>
          <w:ilvl w:val="0"/>
          <w:numId w:val="7"/>
        </w:numPr>
        <w:spacing w:beforeAutospacing="0" w:after="12" w:afterAutospacing="0" w:line="240" w:lineRule="auto"/>
        <w:ind w:left="567" w:hanging="283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інформацію про умови проживання та харчування; </w:t>
      </w:r>
    </w:p>
    <w:p>
      <w:pPr>
        <w:pStyle w:val="ListParagraph"/>
        <w:numPr>
          <w:ilvl w:val="0"/>
          <w:numId w:val="7"/>
        </w:numPr>
        <w:spacing w:beforeAutospacing="0" w:after="12" w:afterAutospacing="0" w:line="240" w:lineRule="auto"/>
        <w:ind w:left="567" w:hanging="283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перелік послуг, що можуть надаватись особі за період санаторно-курортного лікування, відповідно до медичних рекомендацій; </w:t>
      </w:r>
    </w:p>
    <w:p>
      <w:pPr>
        <w:pStyle w:val="ListParagraph"/>
        <w:numPr>
          <w:ilvl w:val="0"/>
          <w:numId w:val="7"/>
        </w:numPr>
        <w:spacing w:beforeAutospacing="0" w:after="12" w:afterAutospacing="0" w:line="240" w:lineRule="auto"/>
        <w:ind w:left="567" w:hanging="283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інформацію  про вартість путівки.</w:t>
      </w:r>
    </w:p>
    <w:p>
      <w:pPr>
        <w:spacing w:beforeAutospacing="0" w:after="0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Управління ознайомлює з поданою інформацією осіб, які у десятиденний строк повідомляють  про згоду на отримання путівки або відмову від неї.</w:t>
      </w:r>
    </w:p>
    <w:p>
      <w:pPr>
        <w:spacing w:beforeAutospacing="0" w:after="206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У разі отримання від санаторно-курортного закладу, обраного особою, відмови у її прийнятті на санаторно-курортне лікування Управління інформує про це особу та пропонує їй обрати інший заклад.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2.11.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- для особи).</w:t>
      </w:r>
    </w:p>
    <w:p>
      <w:pPr>
        <w:spacing w:beforeAutospacing="0" w:after="12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>
      <w:pPr>
        <w:spacing w:beforeAutospacing="0" w:after="206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По прибуттю особи до відповідного санаторно-курортного закладу, керівник такого закладу підписує і скріплює печаткою всі примірники договору,  після чого заклад  надсилає один примірник договору поштовим відправленням Управлінню, другий – передає особі, третій – залишає на зберіганні у закладі.                                                                                                                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2.12.  Після оздоровлення, особи подають Управлінню зворотний талон путівки або інший документ, що підтверджує проходження лікування в санаторно-курортному закладі за профілем захворювання, за яким їм видано довідку для отримання путівки.</w:t>
      </w:r>
    </w:p>
    <w:p>
      <w:pPr>
        <w:spacing w:beforeAutospacing="0" w:after="206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В такому документі  зазначається  прізвище, ім’я по батькові особи, строк перебування в закладі, завірений підписом керівника та скріплений печаткою  такого закладу.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2.13. Після надання особам послуг санаторно-курортного лікування заклад подає до Управління акт приймання - передачі послуг щодо проведення розрахунків за результатами надання послуг санаторно-курортного лікування, згідно з умовами договору.</w:t>
      </w:r>
    </w:p>
    <w:p>
      <w:pPr>
        <w:spacing w:beforeAutospacing="0" w:after="12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У разі дострокового вибуття особи із санаторно-курортного закладу Управління проводить оплату за використану  частину путівки.</w:t>
      </w:r>
    </w:p>
    <w:p>
      <w:pPr>
        <w:spacing w:beforeAutospacing="0" w:after="12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Кошти за невикористану частину путівки (невикористані ліжко-дні) Управління закладу не сплачує.</w:t>
      </w:r>
    </w:p>
    <w:p>
      <w:pPr>
        <w:spacing w:beforeAutospacing="0" w:after="12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діючого законодавства.</w:t>
      </w:r>
    </w:p>
    <w:p>
      <w:pPr>
        <w:spacing w:beforeAutospacing="0" w:after="206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Останнім днем періоду перебування осіб у санаторно-курортних закладах є 10 грудня поточного бюджетного року (включно), що є датою виїзду із закладу.</w:t>
      </w:r>
    </w:p>
    <w:p>
      <w:pPr>
        <w:numPr>
          <w:ilvl w:val="0"/>
          <w:numId w:val="1"/>
        </w:numPr>
        <w:spacing w:beforeAutospacing="0" w:after="216" w:afterAutospacing="0" w:line="240" w:lineRule="auto"/>
        <w:ind w:left="3828" w:right="2675" w:hanging="30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Заключні положення.</w:t>
      </w:r>
    </w:p>
    <w:p>
      <w:pPr>
        <w:spacing w:beforeAutospacing="0" w:after="1349" w:afterAutospacing="0" w:line="240" w:lineRule="auto"/>
        <w:ind w:left="-15" w:firstLine="55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4"/>
          <w:lang w:eastAsia="ru-RU"/>
        </w:rPr>
        <w:t>3.1.</w:t>
      </w:r>
      <w:r>
        <w:rPr>
          <w:rFonts w:ascii="Times New Roman" w:hAnsi="Times New Roman"/>
          <w:color w:val="000000"/>
          <w:sz w:val="28"/>
          <w:lang w:eastAsia="ru-RU"/>
        </w:rPr>
        <w:t xml:space="preserve"> Контроль за цільовим використанням коштів здійснюється в порядку, визначеному чинним законодавством України.</w:t>
      </w:r>
    </w:p>
    <w:p>
      <w:pPr>
        <w:spacing w:beforeAutospacing="0" w:after="12" w:afterAutospacing="0" w:line="240" w:lineRule="auto"/>
        <w:ind w:left="-15"/>
        <w:jc w:val="both"/>
        <w:rPr>
          <w:rFonts w:ascii="Times New Roman" w:hAnsi="Times New Roman"/>
          <w:color w:val="000000"/>
          <w:sz w:val="28"/>
          <w:lang w:val="ru-RU"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Міський голова                                                                        Ігор  САПОЖКО</w:t>
      </w:r>
      <w:r>
        <w:rPr>
          <w:rFonts w:ascii="Times New Roman" w:hAnsi="Times New Roman"/>
          <w:color w:val="000000"/>
          <w:sz w:val="28"/>
          <w:lang w:val="ru-RU" w:eastAsia="ru-RU"/>
        </w:rPr>
        <w:t xml:space="preserve">                  </w:t>
      </w: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5"/>
      <w:footerReference w:type="default" r:id="rId6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83223"/>
    <w:multiLevelType w:val="hybridMultilevel"/>
    <w:tmpl w:val="00000000"/>
    <w:lvl w:ilvl="0">
      <w:start w:val="2"/>
      <w:numFmt w:val="bullet"/>
      <w:lvlText w:val="-"/>
      <w:lvlJc w:val="left"/>
      <w:pPr>
        <w:ind w:left="1262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2" w:hanging="360"/>
      </w:pPr>
      <w:rPr>
        <w:rFonts w:ascii="Wingdings" w:hAnsi="Wingdings"/>
      </w:rPr>
    </w:lvl>
  </w:abstractNum>
  <w:abstractNum w:abstractNumId="1">
    <w:nsid w:val="06C67DB0"/>
    <w:multiLevelType w:val="hybridMultilevel"/>
    <w:tmpl w:val="00000000"/>
    <w:lvl w:ilvl="0">
      <w:start w:val="3"/>
      <w:numFmt w:val="decimal"/>
      <w:lvlText w:val="%1."/>
      <w:lvlJc w:val="left"/>
      <w:pPr>
        <w:ind w:left="3522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68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6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A8A465D"/>
    <w:multiLevelType w:val="hybridMultilevel"/>
    <w:tmpl w:val="00000000"/>
    <w:lvl w:ilvl="0">
      <w:start w:val="1"/>
      <w:numFmt w:val="bullet"/>
      <w:lvlText w:val="-"/>
      <w:lvlJc w:val="left"/>
      <w:pPr>
        <w:ind w:left="34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EF55AA6"/>
    <w:multiLevelType w:val="hybridMultilevel"/>
    <w:tmpl w:val="00000000"/>
    <w:lvl w:ilvl="0">
      <w:start w:val="2"/>
      <w:numFmt w:val="bullet"/>
      <w:lvlText w:val="-"/>
      <w:lvlJc w:val="left"/>
      <w:pPr>
        <w:ind w:left="70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/>
      </w:rPr>
    </w:lvl>
  </w:abstractNum>
  <w:abstractNum w:abstractNumId="4">
    <w:nsid w:val="2E414251"/>
    <w:multiLevelType w:val="hybridMultilevel"/>
    <w:tmpl w:val="00000000"/>
    <w:lvl w:ilvl="0">
      <w:start w:val="2"/>
      <w:numFmt w:val="bullet"/>
      <w:lvlText w:val="-"/>
      <w:lvlJc w:val="left"/>
      <w:pPr>
        <w:ind w:left="1996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/>
      </w:rPr>
    </w:lvl>
  </w:abstractNum>
  <w:abstractNum w:abstractNumId="5">
    <w:nsid w:val="35B4701F"/>
    <w:multiLevelType w:val="hybridMultilevel"/>
    <w:tmpl w:val="0000000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16273B0"/>
    <w:multiLevelType w:val="hybridMultilevel"/>
    <w:tmpl w:val="00000000"/>
    <w:lvl w:ilvl="0">
      <w:start w:val="2"/>
      <w:numFmt w:val="bullet"/>
      <w:lvlText w:val="-"/>
      <w:lvlJc w:val="left"/>
      <w:pPr>
        <w:ind w:left="85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7">
    <w:nsid w:val="5A3C66C8"/>
    <w:multiLevelType w:val="hybridMultilevel"/>
    <w:tmpl w:val="0000000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1427F02"/>
    <w:multiLevelType w:val="hybridMultilevel"/>
    <w:tmpl w:val="00000000"/>
    <w:lvl w:ilvl="0">
      <w:start w:val="1"/>
      <w:numFmt w:val="bullet"/>
      <w:lvlText w:val="-"/>
      <w:lvlJc w:val="left"/>
      <w:pPr>
        <w:ind w:left="34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on2.rada.gov.ua/laws/show/z0680-12/paran3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2025-06-26T11:36:33Z</dcterms:modified>
</cp:coreProperties>
</file>