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C29" w14:textId="77777777" w:rsidR="005B1C08" w:rsidRDefault="0007309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84462E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92CABB" w14:textId="77777777" w:rsidR="00073098" w:rsidRDefault="00073098" w:rsidP="00073098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на передачу комунального</w:t>
      </w:r>
    </w:p>
    <w:p w14:paraId="54780BC0" w14:textId="77777777" w:rsidR="00073098" w:rsidRDefault="00073098" w:rsidP="00073098">
      <w:pPr>
        <w:spacing w:after="0" w:line="240" w:lineRule="auto"/>
        <w:ind w:right="-1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 та внесення змін до рішення Броварської міської ради Київської області від 01.10.2020</w:t>
      </w:r>
    </w:p>
    <w:p w14:paraId="1C6797DA" w14:textId="77777777" w:rsidR="00361CD8" w:rsidRDefault="00073098" w:rsidP="0007309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1991-83-07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4D393B2B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9FCA92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підготовлена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 w:rsidRPr="00C929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82B16BC" w14:textId="77777777" w:rsidR="00073098" w:rsidRPr="00C929ED" w:rsidRDefault="00073098" w:rsidP="00073098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8140003" w14:textId="77777777" w:rsidR="00073098" w:rsidRPr="00C929ED" w:rsidRDefault="00073098" w:rsidP="0007309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929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14:paraId="62516B7F" w14:textId="77777777" w:rsidR="00073098" w:rsidRPr="00C929ED" w:rsidRDefault="00073098" w:rsidP="00073098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929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Листи </w:t>
      </w:r>
      <w:r w:rsidRPr="00C929ED">
        <w:rPr>
          <w:rFonts w:ascii="Times New Roman" w:hAnsi="Times New Roman"/>
          <w:sz w:val="28"/>
          <w:szCs w:val="28"/>
          <w:lang w:val="uk-UA" w:eastAsia="ru-RU"/>
        </w:rPr>
        <w:t>управління соціального захисту населення Броварської міської ради Броварського району Київської області від 16.05.2025 № 7191/5.5/В, управління освіти і науки Броварської міської ради Броварського району Київської області від 14.05.2025 № 7087/6./В,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16.05.2025 № 7224/1.4.2/В.,</w:t>
      </w:r>
      <w:r w:rsidRPr="00C929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 w:rsidRPr="00C929ED">
        <w:rPr>
          <w:rFonts w:ascii="Times New Roman" w:eastAsia="Times New Roman" w:hAnsi="Times New Roman"/>
          <w:sz w:val="28"/>
          <w:szCs w:val="28"/>
          <w:lang w:val="uk-UA" w:eastAsia="ru-RU"/>
        </w:rPr>
        <w:t>Броваритепловодоенергія</w:t>
      </w:r>
      <w:proofErr w:type="spellEnd"/>
      <w:r w:rsidRPr="00C929ED">
        <w:rPr>
          <w:rFonts w:ascii="Times New Roman" w:eastAsia="Times New Roman" w:hAnsi="Times New Roman"/>
          <w:sz w:val="28"/>
          <w:szCs w:val="28"/>
          <w:lang w:val="uk-UA" w:eastAsia="ru-RU"/>
        </w:rPr>
        <w:t>» від 22.05.2025 № 7574/13.2/В</w:t>
      </w:r>
    </w:p>
    <w:p w14:paraId="6895E35E" w14:textId="77777777" w:rsidR="00073098" w:rsidRPr="00C929ED" w:rsidRDefault="00073098" w:rsidP="00073098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14:paraId="59406D21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C929ED"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комунального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eastAsia="Times New Roman" w:hAnsi="Times New Roman"/>
          <w:sz w:val="28"/>
          <w:szCs w:val="28"/>
          <w:lang w:val="uk-UA"/>
        </w:rPr>
        <w:t>а та установ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шляхом прийняття рішення </w:t>
      </w:r>
      <w:r w:rsidRPr="00C929ED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ї міської ради Броварського району Київської області </w:t>
      </w:r>
      <w:r w:rsidRPr="00C929ED">
        <w:rPr>
          <w:rFonts w:ascii="Times New Roman" w:hAnsi="Times New Roman"/>
          <w:bCs/>
          <w:color w:val="000000"/>
          <w:sz w:val="28"/>
          <w:szCs w:val="28"/>
          <w:lang w:val="uk-UA"/>
        </w:rPr>
        <w:t>«</w:t>
      </w:r>
      <w:r w:rsidRPr="00C929ED">
        <w:rPr>
          <w:rFonts w:ascii="Times New Roman" w:eastAsia="Times New Roman" w:hAnsi="Times New Roman"/>
          <w:bCs/>
          <w:sz w:val="28"/>
          <w:szCs w:val="28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C929ED"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14:paraId="17A77EFB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29ED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0FBF1D8E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31DD972B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29ED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1CFD2A82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29ED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754878E" w14:textId="77777777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929ED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40E1339E" w14:textId="77777777" w:rsidR="00073098" w:rsidRPr="00C929ED" w:rsidRDefault="00073098" w:rsidP="000730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Обладнання та інвентар для басейну та спортивних залів, яке придбане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 w:rsidRPr="00C929ED"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 w:rsidRPr="00C929ED"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 w:rsidRPr="00C929ED">
        <w:rPr>
          <w:rFonts w:ascii="Times New Roman" w:eastAsia="Times New Roman" w:hAnsi="Times New Roman"/>
          <w:sz w:val="28"/>
          <w:szCs w:val="28"/>
          <w:lang w:val="uk-UA"/>
        </w:rPr>
        <w:t>), буде використовуватись комунальним підприємством «Оздоровчо-реабілітаційний центр»</w:t>
      </w:r>
      <w:r w:rsidRPr="00C929ED">
        <w:rPr>
          <w:rFonts w:ascii="Times New Roman" w:hAnsi="Times New Roman"/>
          <w:sz w:val="28"/>
          <w:szCs w:val="28"/>
          <w:lang w:val="uk-UA"/>
        </w:rPr>
        <w:t xml:space="preserve"> Броварсько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області, з мет</w:t>
      </w:r>
      <w:r>
        <w:rPr>
          <w:rFonts w:ascii="Times New Roman" w:eastAsia="Times New Roman" w:hAnsi="Times New Roman"/>
          <w:sz w:val="28"/>
          <w:szCs w:val="28"/>
          <w:lang w:val="uk-UA"/>
        </w:rPr>
        <w:t>ою оздоровлення та реабілітації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дітей та дорослих</w:t>
      </w:r>
      <w:r w:rsidRPr="00C929ED">
        <w:rPr>
          <w:rFonts w:ascii="Times New Roman" w:eastAsia="Times New Roman" w:hAnsi="Times New Roman"/>
          <w:color w:val="FF0000"/>
          <w:sz w:val="28"/>
          <w:szCs w:val="28"/>
          <w:lang w:val="uk-UA"/>
        </w:rPr>
        <w:t>.</w:t>
      </w:r>
    </w:p>
    <w:p w14:paraId="1A8616DB" w14:textId="77777777" w:rsidR="00073098" w:rsidRPr="00C929ED" w:rsidRDefault="00073098" w:rsidP="000730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sz w:val="28"/>
          <w:szCs w:val="28"/>
          <w:lang w:val="uk-UA"/>
        </w:rPr>
        <w:t>Передача кондиціонерів між управліннями проведена з метою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раціонального використання та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організації бухгалтерського обліку</w:t>
      </w:r>
      <w:r w:rsidRPr="00C929ED">
        <w:rPr>
          <w:rFonts w:ascii="Times New Roman" w:hAnsi="Times New Roman"/>
          <w:sz w:val="28"/>
          <w:szCs w:val="28"/>
          <w:lang w:val="uk-UA"/>
        </w:rPr>
        <w:t>.</w:t>
      </w:r>
    </w:p>
    <w:p w14:paraId="25279CF6" w14:textId="77777777" w:rsidR="00073098" w:rsidRPr="00C929ED" w:rsidRDefault="00073098" w:rsidP="000730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14:paraId="7BBD5531" w14:textId="14ED9886" w:rsidR="00073098" w:rsidRDefault="00073098" w:rsidP="00073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A011608" w14:textId="77777777" w:rsidR="00DC48AE" w:rsidRPr="00C929ED" w:rsidRDefault="00DC48AE" w:rsidP="00073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97A321D" w14:textId="7489F4D5" w:rsidR="00073098" w:rsidRPr="00C929ED" w:rsidRDefault="00073098" w:rsidP="000730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C929ED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C929ED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14:paraId="4FE13902" w14:textId="77777777" w:rsidR="00073098" w:rsidRPr="00C929ED" w:rsidRDefault="00073098" w:rsidP="000730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E54DD98" w14:textId="77777777" w:rsidR="00073098" w:rsidRPr="00C929ED" w:rsidRDefault="00073098" w:rsidP="000730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929E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68C5B7DB" w14:textId="77777777" w:rsidR="00073098" w:rsidRPr="00C929ED" w:rsidRDefault="00073098" w:rsidP="00073098">
      <w:pPr>
        <w:spacing w:line="240" w:lineRule="auto"/>
        <w:rPr>
          <w:rFonts w:ascii="Times New Roman" w:hAnsi="Times New Roman"/>
          <w:sz w:val="28"/>
          <w:szCs w:val="28"/>
        </w:rPr>
      </w:pPr>
      <w:r w:rsidRPr="00C929ED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042B29C6" w14:textId="77777777" w:rsidR="009B7D79" w:rsidRPr="00073098" w:rsidRDefault="009B7D79" w:rsidP="0007309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07309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7309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C48AE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9E09"/>
  <w15:docId w15:val="{D3EB3F78-651F-44A4-82BD-7D0C7401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7309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07309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17</cp:revision>
  <dcterms:created xsi:type="dcterms:W3CDTF">2021-03-03T14:03:00Z</dcterms:created>
  <dcterms:modified xsi:type="dcterms:W3CDTF">2025-06-05T13:18:00Z</dcterms:modified>
</cp:coreProperties>
</file>