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46" w:rsidRPr="007D1D46" w:rsidRDefault="007D1D46" w:rsidP="007D1D46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1D46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7D1D46" w:rsidRPr="007D1D46" w:rsidRDefault="007D1D46" w:rsidP="007D1D46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D1D46" w:rsidRPr="007D1D46" w:rsidRDefault="007D1D46" w:rsidP="007D1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7D1D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7D1D46" w:rsidRPr="007D1D46" w:rsidRDefault="007D1D46" w:rsidP="007D1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7D1D46" w:rsidRPr="007D1D46" w:rsidRDefault="007D1D46" w:rsidP="007D1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підготовку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лот</w:t>
      </w:r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7D1D46" w:rsidRPr="007D1D46" w:rsidRDefault="007D1D46" w:rsidP="007D1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0,0231 га </w:t>
      </w:r>
    </w:p>
    <w:p w:rsidR="007D1D46" w:rsidRPr="007D1D46" w:rsidRDefault="007D1D46" w:rsidP="007D1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proofErr w:type="gram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вул.Київській</w:t>
      </w:r>
      <w:proofErr w:type="spellEnd"/>
      <w:proofErr w:type="gram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262 в м.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</w:t>
      </w:r>
    </w:p>
    <w:p w:rsidR="007D1D46" w:rsidRPr="007D1D46" w:rsidRDefault="007D1D46" w:rsidP="007D1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46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</w:p>
    <w:p w:rsidR="007D1D46" w:rsidRPr="007D1D46" w:rsidRDefault="007D1D46" w:rsidP="007D1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7D1D46" w:rsidRPr="007D1D46" w:rsidRDefault="007D1D46" w:rsidP="007D1D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1D46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7D1D46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7D1D46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7D1D46" w:rsidRPr="007D1D46" w:rsidRDefault="007D1D46" w:rsidP="007D1D46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7D1D46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7D1D46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7D1D4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7D1D4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7D1D46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7D1D4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7D1D4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7D1D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D1D4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7D1D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D1D4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7D1D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D1D4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7D1D46">
        <w:rPr>
          <w:rFonts w:ascii="Times New Roman" w:hAnsi="Times New Roman" w:cs="Times New Roman"/>
          <w:sz w:val="28"/>
          <w:szCs w:val="28"/>
        </w:rPr>
        <w:t>.</w:t>
      </w:r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D1D46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7D1D4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7D1D4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7D1D46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7D1D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7D1D46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7D1D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D1D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7D1D4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7D1D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7D1D46" w:rsidRPr="007D1D46" w:rsidRDefault="007D1D46" w:rsidP="007D1D4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D1D4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7D1D46">
        <w:rPr>
          <w:rFonts w:ascii="Times New Roman" w:hAnsi="Times New Roman" w:cs="Times New Roman"/>
          <w:sz w:val="28"/>
          <w:szCs w:val="28"/>
          <w:lang w:val="uk-UA"/>
        </w:rPr>
        <w:t xml:space="preserve">134,136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7D1D46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7D1D46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7D1D46" w:rsidRPr="007D1D46" w:rsidRDefault="007D1D46" w:rsidP="007D1D4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D1D46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7D1D46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7D1D46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 Даний проект рішення є підставою для зміни цільового призначення земельної ділянки </w:t>
      </w:r>
      <w:r w:rsidRPr="007D1D46">
        <w:rPr>
          <w:rFonts w:ascii="Times New Roman" w:hAnsi="Times New Roman"/>
          <w:sz w:val="28"/>
          <w:szCs w:val="28"/>
          <w:lang w:val="uk-UA"/>
        </w:rPr>
        <w:t>площею 0,0231 га,</w:t>
      </w:r>
      <w:r w:rsidRPr="007D1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«</w:t>
      </w:r>
      <w:r w:rsidRPr="007D1D4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для будівництва і обслуговування жилого будинку, господарських будівель і споруд (присадибна ділянка)</w:t>
      </w:r>
      <w:r w:rsidRPr="007D1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на «</w:t>
      </w:r>
      <w:r w:rsidRPr="007D1D4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для будівництва та обслуговування будівель   закладів    охорони здоров’я   та   соціальної   допомоги</w:t>
      </w:r>
      <w:r w:rsidRPr="007D1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  </w:t>
      </w:r>
      <w:r w:rsidRPr="007D1D46">
        <w:rPr>
          <w:rFonts w:ascii="Times New Roman" w:hAnsi="Times New Roman"/>
          <w:sz w:val="28"/>
          <w:szCs w:val="28"/>
          <w:lang w:val="uk-UA"/>
        </w:rPr>
        <w:t xml:space="preserve"> розташованої по </w:t>
      </w:r>
      <w:proofErr w:type="spellStart"/>
      <w:r w:rsidRPr="007D1D46">
        <w:rPr>
          <w:rFonts w:ascii="Times New Roman" w:hAnsi="Times New Roman"/>
          <w:sz w:val="28"/>
          <w:szCs w:val="28"/>
          <w:lang w:val="uk-UA"/>
        </w:rPr>
        <w:t>вул.Київській</w:t>
      </w:r>
      <w:proofErr w:type="spellEnd"/>
      <w:r w:rsidRPr="007D1D46">
        <w:rPr>
          <w:rFonts w:ascii="Times New Roman" w:hAnsi="Times New Roman"/>
          <w:sz w:val="28"/>
          <w:szCs w:val="28"/>
          <w:lang w:val="uk-UA"/>
        </w:rPr>
        <w:t xml:space="preserve">, 262   </w:t>
      </w:r>
      <w:r w:rsidRPr="007D1D46">
        <w:rPr>
          <w:rFonts w:ascii="Times New Roman" w:hAnsi="Times New Roman" w:cs="Times New Roman"/>
          <w:sz w:val="28"/>
          <w:szCs w:val="28"/>
          <w:lang w:val="uk-UA"/>
        </w:rPr>
        <w:t>в    м. Бровари.</w:t>
      </w:r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D1D4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7D1D4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7D1D46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7D1D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7D1D46" w:rsidRPr="007D1D46" w:rsidRDefault="007D1D46" w:rsidP="007D1D4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7D1D46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7D1D4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D1D46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7D1D4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7D1D4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7D1D4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7D1D46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7D1D46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7D1D46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7D1D46">
        <w:rPr>
          <w:rFonts w:ascii="Times New Roman" w:hAnsi="Times New Roman"/>
          <w:sz w:val="28"/>
          <w:szCs w:val="28"/>
          <w:lang w:eastAsia="zh-CN"/>
        </w:rPr>
        <w:t>.</w:t>
      </w:r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D1D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7D1D4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7D1D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D1D46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у формі аукціону. </w:t>
      </w:r>
    </w:p>
    <w:p w:rsidR="007D1D46" w:rsidRPr="007D1D46" w:rsidRDefault="007D1D46" w:rsidP="007D1D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D1D46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7D1D4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7D1D46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7D1D46" w:rsidRPr="007D1D46" w:rsidRDefault="007D1D46" w:rsidP="007D1D4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D1D46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7D1D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7D1D46" w:rsidRPr="007D1D46" w:rsidRDefault="007D1D46" w:rsidP="007D1D4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D1D46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7D1D46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7D1D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7D1D4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D1D46" w:rsidRPr="007D1D46" w:rsidRDefault="007D1D46" w:rsidP="007D1D4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D1D46" w:rsidRPr="007D1D46" w:rsidRDefault="007D1D46" w:rsidP="007D1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1D46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7D1D4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7D1D46" w:rsidRPr="007D1D46" w:rsidRDefault="007D1D46" w:rsidP="007D1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1D46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7D1D46" w:rsidRDefault="009B7D79" w:rsidP="007D1D46">
      <w:pPr>
        <w:rPr>
          <w:lang w:val="uk-UA"/>
        </w:rPr>
      </w:pPr>
      <w:bookmarkStart w:id="1" w:name="_GoBack"/>
      <w:bookmarkEnd w:id="1"/>
    </w:p>
    <w:sectPr w:rsidR="009B7D79" w:rsidRPr="007D1D4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D1D46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EF210-B580-4350-A920-C5F9C79B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2025-05-14T05:36:00Z</dcterms:modified>
</cp:coreProperties>
</file>