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5459AD" w:rsidRPr="00031006" w:rsidRDefault="006D54E3" w:rsidP="007E169C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проекту рішення 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</w:t>
      </w:r>
      <w:r w:rsidR="00A27DD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внесення змін до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D32AAB" w:rsidRPr="00031006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53D4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proofErr w:type="spellStart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="00B169C3"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:rsidR="00C83DBA" w:rsidRPr="00031006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Пояснювальна записка підготовлена відповідно до ст. 2</w:t>
      </w:r>
      <w:r w:rsidR="00EC636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A242B9" w:rsidRPr="00031006" w:rsidRDefault="00D356B2" w:rsidP="00A242B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A578EC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рішення.</w:t>
      </w:r>
      <w:r w:rsidR="00A578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Необхідність прийняття рішення 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внесення змін </w:t>
      </w:r>
      <w:r w:rsidR="007208CA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програми викликана в зв’язку</w:t>
      </w:r>
      <w:r w:rsidR="007208CA" w:rsidRPr="007208CA">
        <w:rPr>
          <w:rFonts w:ascii="Times New Roman" w:hAnsi="Times New Roman" w:cs="Times New Roman"/>
          <w:sz w:val="26"/>
          <w:szCs w:val="26"/>
          <w:lang w:val="uk-UA"/>
        </w:rPr>
        <w:t xml:space="preserve"> із надходженням службової записки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як відповідального виконавця та розпорядника коштів за пунктом 1.8. заходів «Розроблення проектно</w:t>
      </w:r>
      <w:r w:rsidR="007208C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7208CA" w:rsidRPr="007208CA">
        <w:rPr>
          <w:rFonts w:ascii="Times New Roman" w:hAnsi="Times New Roman" w:cs="Times New Roman"/>
          <w:sz w:val="26"/>
          <w:szCs w:val="26"/>
          <w:lang w:val="uk-UA"/>
        </w:rPr>
        <w:t xml:space="preserve">кошторисної документації реконструкції басейну КП «Оздоровчо-реабілітаційний центр» для забезпечення доступності на об’єкт будівництва «Реконструкція будівлі басейну в складі комплексу для забезпечення доступності по вул. Героїв Небесної Сотні, 13а в </w:t>
      </w:r>
      <w:r w:rsidR="007208CA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7208CA" w:rsidRPr="007208CA">
        <w:rPr>
          <w:rFonts w:ascii="Times New Roman" w:hAnsi="Times New Roman" w:cs="Times New Roman"/>
          <w:sz w:val="26"/>
          <w:szCs w:val="26"/>
          <w:lang w:val="uk-UA"/>
        </w:rPr>
        <w:t>м. Бровари Броварського району Київської області»</w:t>
      </w:r>
      <w:r w:rsidR="007208C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45E25" w:rsidRPr="00031006" w:rsidRDefault="00345E25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є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забезпеченн</w:t>
      </w:r>
      <w:r w:rsidR="004B2455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я ефективного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використання коштів місцевого бюджету в ході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реалізації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заходів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</w:t>
      </w:r>
      <w:r w:rsidR="009A3F41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лексного вирішення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питань,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пов’язаних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соціальними, психологічними, інфраструктурними та іншими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змінами, які в сукупності дій спроможні перетворити Броварську міську територіальну громаду на </w:t>
      </w:r>
      <w:proofErr w:type="spellStart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безбар’єрний</w:t>
      </w:r>
      <w:proofErr w:type="spellEnd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простір.</w:t>
      </w:r>
    </w:p>
    <w:p w:rsidR="0078293A" w:rsidRPr="00031006" w:rsidRDefault="00345E25" w:rsidP="0078293A">
      <w:pPr>
        <w:pStyle w:val="a4"/>
        <w:spacing w:after="0" w:line="240" w:lineRule="auto"/>
        <w:ind w:left="0"/>
        <w:jc w:val="both"/>
        <w:rPr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3. Правові аспекти.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="0078293A"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78293A"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Повноваження</w:t>
      </w:r>
      <w:r w:rsidR="0012135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щодо затв</w:t>
      </w:r>
      <w:r w:rsidR="005B2DA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ердження місцевих цільових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 передбачено </w:t>
      </w:r>
      <w:r w:rsidR="005B2DAD" w:rsidRPr="00031006">
        <w:rPr>
          <w:rFonts w:ascii="Times New Roman" w:hAnsi="Times New Roman" w:cs="Times New Roman"/>
          <w:sz w:val="26"/>
          <w:szCs w:val="26"/>
          <w:lang w:val="uk-UA"/>
        </w:rPr>
        <w:t>пунктом 22 частини першої статті 26 Закону України «Про місцеве самоврядування в Україні»</w:t>
      </w:r>
      <w:r w:rsidR="0078293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577CA" w:rsidRPr="00031006" w:rsidRDefault="00121354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 w:rsidR="001B188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Фінансування Програми за</w:t>
      </w:r>
      <w:r w:rsidR="0078293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рахунок місцевого бюджету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здійснюється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виходячи з його реальних можливостей та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пріоритетів з розподілом на головних розпорядників коштів</w:t>
      </w:r>
      <w:r w:rsidR="001B188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напрямків діяльності та заходів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47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можливості на умовах </w:t>
      </w:r>
      <w:proofErr w:type="spellStart"/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співфінансування</w:t>
      </w:r>
      <w:proofErr w:type="spellEnd"/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державним бюджетом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577C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Загальний обсяг фінансування Програми </w:t>
      </w:r>
      <w:r w:rsidR="00CE0BC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періо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д 2025-2029 роки передбачається 65801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,0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 тис.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грн.</w:t>
      </w:r>
    </w:p>
    <w:p w:rsidR="00031006" w:rsidRPr="00031006" w:rsidRDefault="00121354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  <w:r w:rsidR="00031006" w:rsidRPr="007E169C">
        <w:rPr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031006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провадж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1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изнач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4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6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піль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 підтрим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ег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 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рі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ств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ння </w:t>
      </w:r>
      <w:proofErr w:type="spellStart"/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єр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, 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дасть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мож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ож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ю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 отримати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7E16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ння; інфо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ію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йзр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б;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ги;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часті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всіх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рах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життя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спіл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ва;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м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жливос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ьни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іт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031006" w:rsidRPr="00031006">
        <w:rPr>
          <w:rFonts w:ascii="Times New Roman" w:eastAsia="Times New Roman" w:hAnsi="Times New Roman" w:cs="Times New Roman"/>
          <w:sz w:val="26"/>
          <w:szCs w:val="26"/>
          <w:lang w:val="uk-UA"/>
        </w:rPr>
        <w:t>рівні умови та можливості у сфері зайнятості, а також заняття підприємництвом.</w:t>
      </w:r>
    </w:p>
    <w:p w:rsidR="004F0CB7" w:rsidRPr="00031006" w:rsidRDefault="00F536AD" w:rsidP="000310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6F527E" w:rsidRPr="00031006" w:rsidRDefault="006F527E" w:rsidP="00786630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Доповідач: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начальник управління містобудування та архітектури - головний ар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хітектор міста Світлана БАТИНЧУК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3055D3" w:rsidRDefault="006F527E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1B1889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lastRenderedPageBreak/>
        <w:t>Відповідальна особа за підготовку проекту рішення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удівного кадастру Лілія РИБАКОВА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5059C3" w:rsidRDefault="005059C3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059C3" w:rsidRDefault="005059C3" w:rsidP="005059C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59C3" w:rsidRDefault="00BF2B16" w:rsidP="005059C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="005059C3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9C3" w:rsidRPr="00BF2B16" w:rsidTr="005059C3">
        <w:trPr>
          <w:trHeight w:val="10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5059C3" w:rsidRPr="005129E3" w:rsidTr="0032710E">
        <w:trPr>
          <w:trHeight w:val="135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9E3" w:rsidRPr="00911189" w:rsidRDefault="0032710E" w:rsidP="003271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r w:rsidR="007208C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Розроблення проектно-кошторисної документації </w:t>
            </w:r>
            <w:r w:rsidR="007208CA" w:rsidRPr="00327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реконструкції</w:t>
            </w:r>
            <w:r w:rsidR="007208C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басейну </w:t>
            </w:r>
            <w:r w:rsidR="005129E3"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 «Оздоровчо-реабілітаційний центр» для забезпечення доступності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9E3" w:rsidRPr="0032710E" w:rsidRDefault="0032710E" w:rsidP="005129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озроблення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оектно-кошторисної документації </w:t>
            </w:r>
            <w:r w:rsidRPr="003271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капітального ремонту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басейну </w:t>
            </w: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 «Оздоровчо-реабілітаційний центр» для забезпечення доступності </w:t>
            </w:r>
          </w:p>
        </w:tc>
      </w:tr>
    </w:tbl>
    <w:p w:rsidR="00786630" w:rsidRDefault="00786630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Default="008F4566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Pr="00786630" w:rsidRDefault="008F4566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6D54E3" w:rsidRPr="00031006" w:rsidRDefault="006D54E3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711339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2C2F" w:rsidRPr="00031006">
        <w:rPr>
          <w:rFonts w:ascii="Times New Roman" w:hAnsi="Times New Roman" w:cs="Times New Roman"/>
          <w:sz w:val="26"/>
          <w:szCs w:val="26"/>
          <w:lang w:val="uk-UA"/>
        </w:rPr>
        <w:t>–</w:t>
      </w:r>
    </w:p>
    <w:p w:rsidR="00141B93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                                 </w:t>
      </w:r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bookmarkStart w:id="0" w:name="_GoBack"/>
      <w:bookmarkEnd w:id="0"/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031006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EC6"/>
    <w:multiLevelType w:val="hybridMultilevel"/>
    <w:tmpl w:val="8D18423C"/>
    <w:lvl w:ilvl="0" w:tplc="F2D8CD7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2D47502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5E045B6C">
      <w:start w:val="1"/>
      <w:numFmt w:val="bullet"/>
      <w:lvlText w:val="•"/>
      <w:lvlJc w:val="left"/>
      <w:pPr>
        <w:ind w:left="0" w:firstLine="0"/>
      </w:pPr>
    </w:lvl>
    <w:lvl w:ilvl="3" w:tplc="956CE580">
      <w:start w:val="1"/>
      <w:numFmt w:val="bullet"/>
      <w:lvlText w:val="•"/>
      <w:lvlJc w:val="left"/>
      <w:pPr>
        <w:ind w:left="0" w:firstLine="0"/>
      </w:pPr>
    </w:lvl>
    <w:lvl w:ilvl="4" w:tplc="12CA449A">
      <w:start w:val="1"/>
      <w:numFmt w:val="bullet"/>
      <w:lvlText w:val="•"/>
      <w:lvlJc w:val="left"/>
      <w:pPr>
        <w:ind w:left="0" w:firstLine="0"/>
      </w:pPr>
    </w:lvl>
    <w:lvl w:ilvl="5" w:tplc="1876D2DA">
      <w:start w:val="1"/>
      <w:numFmt w:val="bullet"/>
      <w:lvlText w:val="•"/>
      <w:lvlJc w:val="left"/>
      <w:pPr>
        <w:ind w:left="0" w:firstLine="0"/>
      </w:pPr>
    </w:lvl>
    <w:lvl w:ilvl="6" w:tplc="996C2FB6">
      <w:start w:val="1"/>
      <w:numFmt w:val="bullet"/>
      <w:lvlText w:val="•"/>
      <w:lvlJc w:val="left"/>
      <w:pPr>
        <w:ind w:left="0" w:firstLine="0"/>
      </w:pPr>
    </w:lvl>
    <w:lvl w:ilvl="7" w:tplc="E7FC3A42">
      <w:start w:val="1"/>
      <w:numFmt w:val="bullet"/>
      <w:lvlText w:val="•"/>
      <w:lvlJc w:val="left"/>
      <w:pPr>
        <w:ind w:left="0" w:firstLine="0"/>
      </w:pPr>
    </w:lvl>
    <w:lvl w:ilvl="8" w:tplc="7CE000A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B5B36"/>
    <w:multiLevelType w:val="hybridMultilevel"/>
    <w:tmpl w:val="FFC28374"/>
    <w:lvl w:ilvl="0" w:tplc="A196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31006"/>
    <w:rsid w:val="00046A86"/>
    <w:rsid w:val="00051FF3"/>
    <w:rsid w:val="000532FD"/>
    <w:rsid w:val="000C3FE4"/>
    <w:rsid w:val="000E3CF4"/>
    <w:rsid w:val="00103D04"/>
    <w:rsid w:val="00113C55"/>
    <w:rsid w:val="00121354"/>
    <w:rsid w:val="00141B93"/>
    <w:rsid w:val="001647EC"/>
    <w:rsid w:val="00165713"/>
    <w:rsid w:val="001A47C3"/>
    <w:rsid w:val="001B1889"/>
    <w:rsid w:val="001F3CCE"/>
    <w:rsid w:val="002577CA"/>
    <w:rsid w:val="00280A63"/>
    <w:rsid w:val="00294402"/>
    <w:rsid w:val="002C663D"/>
    <w:rsid w:val="003055D3"/>
    <w:rsid w:val="00307BB5"/>
    <w:rsid w:val="0032710E"/>
    <w:rsid w:val="00343CF2"/>
    <w:rsid w:val="00345E25"/>
    <w:rsid w:val="00397367"/>
    <w:rsid w:val="003E2413"/>
    <w:rsid w:val="003E2866"/>
    <w:rsid w:val="004311C7"/>
    <w:rsid w:val="004B2455"/>
    <w:rsid w:val="004C1C66"/>
    <w:rsid w:val="004F0CB7"/>
    <w:rsid w:val="004F2FE1"/>
    <w:rsid w:val="005058A6"/>
    <w:rsid w:val="005059C3"/>
    <w:rsid w:val="005129E3"/>
    <w:rsid w:val="005455E7"/>
    <w:rsid w:val="005459AD"/>
    <w:rsid w:val="00592283"/>
    <w:rsid w:val="0059252E"/>
    <w:rsid w:val="005B0F59"/>
    <w:rsid w:val="005B2DAD"/>
    <w:rsid w:val="005C7868"/>
    <w:rsid w:val="005F193E"/>
    <w:rsid w:val="00612166"/>
    <w:rsid w:val="0062318D"/>
    <w:rsid w:val="006234EF"/>
    <w:rsid w:val="00632346"/>
    <w:rsid w:val="0063787D"/>
    <w:rsid w:val="00643425"/>
    <w:rsid w:val="006A3E41"/>
    <w:rsid w:val="006B22C3"/>
    <w:rsid w:val="006D54E3"/>
    <w:rsid w:val="006F527E"/>
    <w:rsid w:val="006F582D"/>
    <w:rsid w:val="00711339"/>
    <w:rsid w:val="00713038"/>
    <w:rsid w:val="007208CA"/>
    <w:rsid w:val="0078293A"/>
    <w:rsid w:val="00786630"/>
    <w:rsid w:val="00790DB8"/>
    <w:rsid w:val="007B3B3B"/>
    <w:rsid w:val="007E169C"/>
    <w:rsid w:val="00801DB1"/>
    <w:rsid w:val="00843D5A"/>
    <w:rsid w:val="00887897"/>
    <w:rsid w:val="00895058"/>
    <w:rsid w:val="008972D6"/>
    <w:rsid w:val="008E4C42"/>
    <w:rsid w:val="008F4205"/>
    <w:rsid w:val="008F4566"/>
    <w:rsid w:val="00911189"/>
    <w:rsid w:val="00946FE1"/>
    <w:rsid w:val="009575FE"/>
    <w:rsid w:val="009745C5"/>
    <w:rsid w:val="009926FC"/>
    <w:rsid w:val="009A3F41"/>
    <w:rsid w:val="009D1FB9"/>
    <w:rsid w:val="009D4B92"/>
    <w:rsid w:val="009E1BA7"/>
    <w:rsid w:val="009F0336"/>
    <w:rsid w:val="009F71AF"/>
    <w:rsid w:val="00A242B9"/>
    <w:rsid w:val="00A27DD3"/>
    <w:rsid w:val="00A32C2F"/>
    <w:rsid w:val="00A578EC"/>
    <w:rsid w:val="00A7773B"/>
    <w:rsid w:val="00A834F3"/>
    <w:rsid w:val="00AA53D4"/>
    <w:rsid w:val="00AD42D9"/>
    <w:rsid w:val="00B123E4"/>
    <w:rsid w:val="00B169C3"/>
    <w:rsid w:val="00B56E42"/>
    <w:rsid w:val="00B65C55"/>
    <w:rsid w:val="00BF2B16"/>
    <w:rsid w:val="00C83DBA"/>
    <w:rsid w:val="00CA5C2A"/>
    <w:rsid w:val="00CE0BC0"/>
    <w:rsid w:val="00D12B22"/>
    <w:rsid w:val="00D22D28"/>
    <w:rsid w:val="00D25CC8"/>
    <w:rsid w:val="00D32AAB"/>
    <w:rsid w:val="00D356B2"/>
    <w:rsid w:val="00D73291"/>
    <w:rsid w:val="00DA0C96"/>
    <w:rsid w:val="00DD280E"/>
    <w:rsid w:val="00DF2E26"/>
    <w:rsid w:val="00E05F02"/>
    <w:rsid w:val="00E22B33"/>
    <w:rsid w:val="00E94A1D"/>
    <w:rsid w:val="00EA6698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semiHidden/>
    <w:qFormat/>
    <w:rsid w:val="00911189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A8C6-A6E2-4B26-885F-D465628A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2025-03-24T11:11:00Z</cp:lastPrinted>
  <dcterms:created xsi:type="dcterms:W3CDTF">2017-11-20T13:43:00Z</dcterms:created>
  <dcterms:modified xsi:type="dcterms:W3CDTF">2025-04-16T10:44:00Z</dcterms:modified>
</cp:coreProperties>
</file>