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4"/>
          <w:szCs w:val="24"/>
        </w:rPr>
        <w:tab/>
        <w:tab/>
        <w:t xml:space="preserve">ПРОЕКТ </w:t>
      </w:r>
      <w:r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ПВ-297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5103"/>
        <w:jc w:val="center"/>
        <w:rPr>
          <w:rFonts w:ascii="Times New Roman" w:hAnsi="Times New Roman"/>
          <w:b/>
          <w:bCs/>
          <w:sz w:val="24"/>
          <w:szCs w:val="24"/>
        </w:rPr>
      </w:pP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>
      <w:pPr>
        <w:tabs>
          <w:tab w:val="left" w:pos="5610"/>
          <w:tab w:val="left" w:pos="6358"/>
        </w:tabs>
        <w:spacing w:beforeAutospacing="0" w:after="0" w:afterAutospacing="0"/>
        <w:ind w:left="10206"/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Програми участі Броварської міської територіальної громади у проєкті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Європейські перспективи: громадяни формують майбутнє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»</w:t>
      </w:r>
      <w:r>
        <w:rPr>
          <w:rFonts w:ascii="Times New Roman" w:hAnsi="Times New Roman"/>
          <w:b w:val="0"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     від____________ № _________</w:t>
      </w:r>
    </w:p>
    <w:p>
      <w:pPr>
        <w:widowControl/>
        <w:tabs>
          <w:tab w:val="left" w:pos="5610"/>
          <w:tab w:val="left" w:pos="6358"/>
        </w:tabs>
        <w:bidi w:val="0"/>
        <w:spacing w:line="276" w:lineRule="auto"/>
        <w:ind w:left="10206" w:right="0"/>
        <w:jc w:val="center"/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</w:p>
    <w:p>
      <w:pPr>
        <w:widowControl/>
        <w:bidi w:val="0"/>
        <w:spacing w:after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Заходи та потреба у фінансуванні реалізації Програми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участі Броварської міської територіальної громади </w:t>
      </w:r>
    </w:p>
    <w:p>
      <w:pPr>
        <w:widowControl/>
        <w:bidi w:val="0"/>
        <w:spacing w:after="0"/>
        <w:ind w:left="0" w:right="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000000" w:themeColor="dark1"/>
          <w:sz w:val="28"/>
          <w:u w:val="none"/>
          <w:shd w:val="clear" w:color="auto" w:fill="auto"/>
          <w:vertAlign w:val="baseline"/>
          <w:lang w:val="x-none"/>
        </w:rPr>
        <w:t xml:space="preserve">у проєкті </w:t>
      </w: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>«Європейські перспективи: громадяни формують майбутнє»</w:t>
      </w:r>
    </w:p>
    <w:p>
      <w:pPr>
        <w:widowControl/>
        <w:tabs>
          <w:tab w:val="left" w:pos="1123"/>
        </w:tabs>
        <w:bidi w:val="0"/>
        <w:spacing w:after="0"/>
        <w:ind w:left="1417" w:right="850"/>
        <w:jc w:val="center"/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</w:pPr>
      <w:r>
        <w:rPr>
          <w:rFonts w:ascii="Times New Roman" w:hAnsi="Times New Roman"/>
          <w:b/>
          <w:bCs w:val="0"/>
          <w:i w:val="0"/>
          <w:caps w:val="0"/>
          <w:strike w:val="0"/>
          <w:noProof w:val="0"/>
          <w:vanish w:val="0"/>
          <w:color w:val="auto"/>
          <w:sz w:val="28"/>
          <w:u w:val="none"/>
          <w:shd w:val="clear" w:color="auto" w:fill="auto"/>
          <w:vertAlign w:val="baseline"/>
          <w:lang w:val="x-none"/>
        </w:rPr>
        <w:t xml:space="preserve">на 2025 - 2026 роки </w:t>
      </w:r>
    </w:p>
    <w:tbl>
      <w:tblPr>
        <w:tblW w:w="14760" w:type="dxa"/>
        <w:tblInd w:w="-5" w:type="dxa"/>
        <w:shd w:val="clear" w:color="auto" w:fill="FFFFFF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25"/>
        <w:gridCol w:w="4453"/>
        <w:gridCol w:w="2551"/>
        <w:gridCol w:w="1633"/>
        <w:gridCol w:w="1853"/>
        <w:gridCol w:w="1060"/>
        <w:gridCol w:w="1203"/>
        <w:gridCol w:w="604"/>
        <w:gridCol w:w="463"/>
        <w:gridCol w:w="15"/>
      </w:tblGrid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№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п/п</w:t>
            </w:r>
          </w:p>
        </w:tc>
        <w:tc>
          <w:tcPr>
            <w:tcW w:w="423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Заходи до   Програми</w:t>
            </w:r>
          </w:p>
        </w:tc>
        <w:tc>
          <w:tcPr>
            <w:tcW w:w="341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Виконавці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Термін виконан-ня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Джерела фінансуван-ня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Всього</w:t>
            </w:r>
          </w:p>
          <w:p>
            <w:pPr>
              <w:widowControl/>
              <w:bidi w:val="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(євро)</w:t>
            </w:r>
          </w:p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Потреба у   фінансуванні</w:t>
            </w:r>
          </w:p>
          <w:p>
            <w:pPr>
              <w:widowControl/>
              <w:bidi w:val="0"/>
              <w:spacing w:after="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(євро) </w:t>
            </w:r>
          </w:p>
        </w:tc>
        <w:tc>
          <w:tcPr>
            <w:tcW w:w="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423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341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 w:line="276" w:lineRule="auto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2025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center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2026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line="297" w:lineRule="atLeast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1.   Міграція   – виклик для всієї Європи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Проведення   організаційних заходів щодо опитування громадян у змішаному форматі стосовно   міграційних процесів в Україні, в тому числі у громаді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Квітень-травень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  Громадської ради щодо проведення аналізу опитування та визначення шляхів   покращення життєвих умов мігрантів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Квітень-травень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  поїздки на міжнародну зустріч партнерів проєкту до м.Ізола, Республіка   Словенія для презентації результатів опитування (видатки на відрядження)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Квітень-травень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2560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line="297" w:lineRule="atLeast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2.   Демократія в умовах кризи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  організаційних заходів щодо опитування громадян у змішаному форматі стосовно демократичних   процесів в Україні, в тому числі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Липень-вересень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  Громадської ради щодо проведення аналізу опитування та визначення шляхів   покращення демократичних процесів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Вересень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  поїздки на  міжнародну зустріч   партнерів проєкту у м. Єна, ФРН, для презентації результатів опитування (видатки   на відрядження)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Броварського  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Вересень-листопад   2025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1557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line="297" w:lineRule="atLeast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444444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3. </w:t>
              <w:tab/>
              <w:t xml:space="preserve">Європейська ідентичність </w:t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444444"/>
                <w:sz w:val="28"/>
                <w:u w:val="none"/>
                <w:shd w:val="clear" w:color="auto" w:fill="auto"/>
                <w:vertAlign w:val="baseline"/>
                <w:lang w:val="x-none"/>
              </w:rPr>
              <w:t>як чинник євроінтеграції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  організаційних заходів щодо опитування громадян у змішаному фор-маті стосовно   покращення євроінтеграційних процесів в Україні, в тому числі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виконав-чого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Лютий-квітень   2026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Громадської ради щодо   проведення аналізу опитування та визначення шляхів покращення євроінтеграційних   процесів у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 виконав-чого   комітету            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Березень-квітень   2026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Організація   поїздки на  міжнародну зустріч партнерів   проєкту у м.Тімішоара, Румунія   для презентації результатів опитування (видатки на відрядження)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 інвестицій виконавчого   комітету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Березень-травень   2026 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1446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4. </w:t>
              <w:tab/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Гендерна рівність як</w:t>
            </w:r>
            <w:r>
              <w:rPr>
                <w:rFonts w:ascii="Times New Roman" w:hAnsi="Times New Roman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рівні можливості   впливу жінок та чоловіків на суспільство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Проведення   організаційних заходів щодо опитування громадян у змішаному форматі стосовно питань   гендерної рівності, недискримінації та інклюзії в Україні, в тому числі у   громаді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Червень-серпень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4.2.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Створення   Громадської ради щодо проведення аналізу опитування та визначення викликів   гендерної рівності й  розроблення   концепції подолання існуючих проблем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Серпень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4.3.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Підготовка до участі у міжнародній   зустрічі партнерів проєкту у                         м.Кіфісія, Греція для презентації результатів   опитування (видатки на відрядження)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 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Липень-вересень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2446</w:t>
            </w: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</w:t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</w:t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.      </w:t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Спільне вирішення європейських   викликів: обмін досвідом 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Підведення   підсумків  Громадських рад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 виконавчого   комітету Броварської міської ради Броварського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Вересень-жовтень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5.2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both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Презентація та   обговорення результатів зборів та тематичних опитувань громадян на   міжнародній заключній зустрічі у м. Бровари за участі усіх   міст/країн-учасників проєкту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 виконавчого комітету Броварської міської ради Броварського   району Київської області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Листопад   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2220</w:t>
            </w:r>
          </w:p>
        </w:tc>
        <w:tc>
          <w:tcPr>
            <w:tcW w:w="1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pBdr>
                <w:bottom w:val="single" w:sz="4" w:space="0" w:color="auto"/>
              </w:pBdr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1475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6. </w:t>
              <w:tab/>
              <w:t>Технічне забезпечення проєкту</w:t>
            </w: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6.1.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0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Придбання обладнання   та оргтехніки для досягнення цілей проєкту, а саме: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-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ноутбуки   (4 од.)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-навушники   (4 од)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-БФП   (2 од.)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-фотоапарат   (1 од.)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-набір   фарб для БФП (4 од.)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-біндер   (1 од.)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Управління   економіки та інвестицій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2025-2026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Кошти   Європейської Комісії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14771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  <w:p>
            <w:pPr>
              <w:widowControl/>
              <w:bidi w:val="0"/>
              <w:spacing w:before="1" w:after="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 New Roman" w:hAnsi="Times New Roman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  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2210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355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1470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1090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310</w:t>
            </w:r>
          </w:p>
          <w:p>
            <w:pPr>
              <w:widowControl/>
              <w:bidi w:val="0"/>
              <w:spacing w:after="0"/>
              <w:ind w:left="0" w:right="0"/>
              <w:jc w:val="left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110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9226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  <w:tr>
        <w:tblPrEx>
          <w:tblW w:w="14760" w:type="dxa"/>
          <w:tblInd w:w="-5" w:type="dxa"/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 w:val="0"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4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Всього потреба у   фінансуванні </w:t>
            </w:r>
          </w:p>
        </w:tc>
        <w:tc>
          <w:tcPr>
            <w:tcW w:w="3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25000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9662</w:t>
            </w:r>
          </w:p>
        </w:tc>
        <w:tc>
          <w:tcPr>
            <w:tcW w:w="12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widowControl/>
              <w:bidi w:val="0"/>
              <w:spacing w:before="1" w:after="200" w:line="297" w:lineRule="atLeast"/>
              <w:ind w:left="0" w:right="0"/>
              <w:jc w:val="both"/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</w:pPr>
            <w:r>
              <w:rPr>
                <w:rFonts w:ascii="Times" w:hAnsi="Times"/>
                <w:b/>
                <w:bCs w:val="0"/>
                <w:i w:val="0"/>
                <w:caps w:val="0"/>
                <w:strike w:val="0"/>
                <w:noProof w:val="0"/>
                <w:vanish w:val="0"/>
                <w:color w:val="auto"/>
                <w:sz w:val="28"/>
                <w:u w:val="none"/>
                <w:shd w:val="clear" w:color="auto" w:fill="auto"/>
                <w:vertAlign w:val="baseline"/>
                <w:lang w:val="x-none"/>
              </w:rPr>
              <w:t>15338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bidi w:val="0"/>
              <w:spacing w:after="200"/>
              <w:ind w:left="0" w:right="0"/>
              <w:jc w:val="left"/>
              <w:rPr>
                <w:rFonts w:ascii="Times" w:hAnsi="Times"/>
                <w:b/>
                <w:bCs w:val="0"/>
                <w:smallCaps w:val="0"/>
                <w:snapToGrid/>
                <w:spacing w:val="0"/>
                <w:w w:val="100"/>
                <w:position w:val="0"/>
                <w:sz w:val="28"/>
                <w:szCs w:val="22"/>
                <w:cs w:val="0"/>
              </w:rPr>
            </w:pPr>
          </w:p>
        </w:tc>
      </w:tr>
    </w:tbl>
    <w:p>
      <w:pPr>
        <w:spacing w:beforeAutospacing="0" w:after="0" w:afterAutospacing="0" w:line="240" w:lineRule="auto"/>
        <w:jc w:val="center"/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</w:p>
    <w:p>
      <w:pPr>
        <w:spacing w:beforeAutospacing="0" w:afterAutospacing="0" w:line="240" w:lineRule="auto"/>
        <w:rPr>
          <w:rFonts w:ascii="Times" w:hAnsi="Times"/>
          <w:b/>
          <w:bCs w:val="0"/>
          <w:smallCaps w:val="0"/>
          <w:snapToGrid/>
          <w:color w:val="FFFFFF"/>
          <w:spacing w:val="0"/>
          <w:w w:val="100"/>
          <w:position w:val="0"/>
          <w:sz w:val="28"/>
          <w:szCs w:val="22"/>
          <w:cs w:val="0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/>
          <w:bCs w:val="0"/>
          <w:smallCaps w:val="0"/>
          <w:snapToGrid/>
          <w:color w:val="FFFFFF"/>
          <w:spacing w:val="0"/>
          <w:w w:val="100"/>
          <w:position w:val="0"/>
          <w:sz w:val="28"/>
          <w:szCs w:val="22"/>
          <w:cs w:val="0"/>
        </w:rPr>
        <w:t xml:space="preserve">  </w:t>
      </w:r>
    </w:p>
    <w:p>
      <w:pPr>
        <w:spacing w:beforeAutospacing="0" w:afterAutospacing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</w:t>
      </w:r>
      <w:r>
        <w:rPr>
          <w:rFonts w:ascii="Times" w:hAnsi="Times"/>
          <w:b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  </w:t>
      </w:r>
      <w:r>
        <w:rPr>
          <w:rFonts w:ascii="Times" w:hAnsi="Times"/>
          <w:b w:val="0"/>
          <w:bCs w:val="0"/>
          <w:smallCaps w:val="0"/>
          <w:snapToGrid/>
          <w:spacing w:val="0"/>
          <w:w w:val="100"/>
          <w:position w:val="0"/>
          <w:sz w:val="28"/>
          <w:szCs w:val="22"/>
          <w:cs w:val="0"/>
        </w:rPr>
        <w:t xml:space="preserve">Міський голова  </w:t>
        <w:tab/>
        <w:tab/>
        <w:tab/>
        <w:tab/>
        <w:tab/>
        <w:tab/>
        <w:tab/>
        <w:tab/>
        <w:tab/>
        <w:tab/>
        <w:tab/>
        <w:tab/>
        <w:tab/>
        <w:t xml:space="preserve">    Ігор САПОЖКО</w:t>
      </w:r>
      <w:permEnd w:id="0"/>
    </w:p>
    <w:sectPr>
      <w:headerReference w:type="default" r:id="rId4"/>
      <w:footerReference w:type="default" r:id="rId5"/>
      <w:type w:val="nextPage"/>
      <w:pgSz w:w="16838" w:h="11906" w:orient="landscape" w:code="0"/>
      <w:pgMar w:top="1276" w:right="678" w:bottom="993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  <w:lang w:val="ru-RU"/>
      </w:rPr>
      <w:t>#</w:t>
    </w:r>
    <w:r>
      <w:rPr>
        <w:rFonts w:ascii="Times New Roman" w:hAnsi="Times New Roman"/>
        <w:sz w:val="24"/>
        <w:szCs w:val="24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right"/>
      <w:rPr>
        <w:rFonts w:ascii="Times New Roman" w:hAnsi="Times New Roman"/>
        <w:color w:val="7F7F7F" w:themeColor="text1" w:themeTint="80"/>
        <w:sz w:val="24"/>
        <w:szCs w:val="24"/>
      </w:rPr>
    </w:pPr>
    <w:bookmarkStart w:id="1" w:name="_Hlk109737539"/>
    <w:r>
      <w:rPr>
        <w:rFonts w:ascii="Times New Roman" w:hAnsi="Times New Roman"/>
        <w:color w:val="7F7F7F" w:themeColor="text1" w:themeTint="80"/>
        <w:sz w:val="24"/>
        <w:szCs w:val="24"/>
        <w:lang w:eastAsia="ru-RU"/>
      </w:rPr>
      <w:t>Продовження додатку</w:t>
    </w:r>
  </w:p>
  <w:p>
    <w:pPr>
      <w:pStyle w:val="Header"/>
      <w:rPr>
        <w:rFonts w:ascii="Times New Roman" w:hAnsi="Times New Roman"/>
        <w:sz w:val="24"/>
        <w:szCs w:val="24"/>
      </w:rPr>
    </w:pP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/>
        <w:sz w:val="22"/>
        <w:szCs w:val="22"/>
        <w:lang w:val="uk-UA" w:eastAsia="uk-UA" w:bidi="ar-SA"/>
      </w:rPr>
    </w:rPrDefault>
    <w:pPrDefault>
      <w:pPr>
        <w:keepNext w:val="0"/>
        <w:keepLines w:val="0"/>
        <w:pageBreakBefore w:val="0"/>
        <w:widowControl/>
        <w:suppressLineNumbers w:val="0"/>
        <w:shd w:val="clear" w:color="auto" w:fill="auto"/>
        <w:suppressAutoHyphens w:val="0"/>
        <w:bidi w:val="0"/>
        <w:spacing w:before="0" w:beforeAutospacing="0" w:after="200" w:afterAutospacing="0" w:line="276" w:lineRule="auto"/>
        <w:ind w:left="0" w:right="0" w:firstLine="0"/>
        <w:contextualSpacing w:val="0"/>
        <w:jc w:val="left"/>
        <w:outlineLvl w:val="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</w:style>
  <w:style w:type="paragraph" w:styleId="Header">
    <w:name w:val="header"/>
    <w:basedOn w:val="Normal"/>
    <w:link w:val="a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paragraph" w:styleId="Footer">
    <w:name w:val="footer"/>
    <w:basedOn w:val="Normal"/>
    <w:link w:val="a0"/>
    <w:pPr>
      <w:tabs>
        <w:tab w:val="center" w:pos="4677"/>
        <w:tab w:val="right" w:pos="9355"/>
      </w:tabs>
      <w:spacing w:beforeAutospacing="0" w:after="0" w:afterAutospacing="0" w:line="240" w:lineRule="auto"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a">
    <w:name w:val="Верхний колонтитул Знак"/>
    <w:basedOn w:val="DefaultParagraphFont"/>
    <w:link w:val="Header"/>
  </w:style>
  <w:style w:type="character" w:customStyle="1" w:styleId="a0">
    <w:name w:val="Нижний колонтитул Знак"/>
    <w:basedOn w:val="DefaultParagraphFont"/>
    <w:link w:val="Footer"/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8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21.0001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ASKOD</cp:lastModifiedBy>
  <cp:revision>16</cp:revision>
  <dcterms:created xsi:type="dcterms:W3CDTF">2022-10-03T09:10:00Z</dcterms:created>
  <dcterms:modified xsi:type="dcterms:W3CDTF">2025-04-08T11:24:04Z</dcterms:modified>
</cp:coreProperties>
</file>