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18A8" w14:textId="77777777" w:rsidR="005B1C08" w:rsidRPr="00591C61" w:rsidRDefault="00A14F81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14:paraId="0375C82A" w14:textId="77777777" w:rsidR="005B1C08" w:rsidRPr="00591C61" w:rsidRDefault="005B1C08" w:rsidP="009B7D79">
      <w:pPr>
        <w:spacing w:after="0"/>
        <w:ind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588CB2A5" w14:textId="77777777" w:rsidR="00A14F81" w:rsidRPr="00591C61" w:rsidRDefault="00A14F81" w:rsidP="00A14F8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591C61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bookmarkStart w:id="0" w:name="_Hlk131690893"/>
      <w:r w:rsidRPr="00591C61">
        <w:rPr>
          <w:b/>
          <w:color w:val="000000"/>
          <w:sz w:val="27"/>
          <w:szCs w:val="27"/>
        </w:rPr>
        <w:t>«</w:t>
      </w:r>
      <w:r w:rsidRPr="00591C61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591C61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591C61">
        <w:rPr>
          <w:rFonts w:ascii="Times New Roman" w:eastAsia="Times New Roman" w:hAnsi="Times New Roman"/>
          <w:b/>
          <w:sz w:val="27"/>
          <w:szCs w:val="27"/>
        </w:rPr>
        <w:t xml:space="preserve"> дозволу </w:t>
      </w: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на передачу комунального </w:t>
      </w:r>
    </w:p>
    <w:p w14:paraId="28AE5768" w14:textId="77777777" w:rsidR="00A14F81" w:rsidRPr="00591C61" w:rsidRDefault="00A14F81" w:rsidP="00A14F81">
      <w:pPr>
        <w:spacing w:after="0" w:line="240" w:lineRule="auto"/>
        <w:ind w:right="-1"/>
        <w:jc w:val="center"/>
        <w:rPr>
          <w:b/>
          <w:sz w:val="27"/>
          <w:szCs w:val="27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>майна Броварської міської територіальної громади</w:t>
      </w:r>
      <w:r w:rsidRPr="00591C61">
        <w:rPr>
          <w:b/>
          <w:color w:val="000000"/>
          <w:sz w:val="27"/>
          <w:szCs w:val="27"/>
        </w:rPr>
        <w:t>»</w:t>
      </w:r>
    </w:p>
    <w:bookmarkEnd w:id="0"/>
    <w:p w14:paraId="435C0719" w14:textId="77777777" w:rsidR="00A14F81" w:rsidRPr="00591C61" w:rsidRDefault="00A14F81" w:rsidP="00A14F8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3C892D83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Пояснювальна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 xml:space="preserve"> записка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підготовлена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відповідно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Броварської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міської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 xml:space="preserve"> ради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Броварського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Київської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області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 xml:space="preserve"> VIII </w:t>
      </w:r>
      <w:proofErr w:type="spellStart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скликання</w:t>
      </w:r>
      <w:proofErr w:type="spellEnd"/>
      <w:r w:rsidRPr="00591C61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14:paraId="75A3D5D9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14:paraId="294FEF2D" w14:textId="77777777" w:rsidR="00A14F81" w:rsidRPr="00591C61" w:rsidRDefault="00A14F81" w:rsidP="00591C61">
      <w:pPr>
        <w:pStyle w:val="a5"/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Обґрунтування необхідності прийняття рішення</w:t>
      </w:r>
    </w:p>
    <w:p w14:paraId="7A97693C" w14:textId="77777777" w:rsidR="00A14F81" w:rsidRPr="00591C61" w:rsidRDefault="00A14F81" w:rsidP="00591C61">
      <w:pPr>
        <w:pStyle w:val="a6"/>
        <w:ind w:left="-142"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591C61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Листи </w:t>
      </w:r>
      <w:r w:rsidRPr="00591C61">
        <w:rPr>
          <w:rFonts w:ascii="Times New Roman" w:hAnsi="Times New Roman"/>
          <w:sz w:val="27"/>
          <w:szCs w:val="27"/>
          <w:lang w:val="uk-UA" w:eastAsia="ru-RU"/>
        </w:rPr>
        <w:t>управління соціального захисту населення Броварської міської ради Броварського району Київської області від 31.03.2025 № 4919/5.5/В,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02.04.2025 № 5080/1.4.2/В.</w:t>
      </w:r>
    </w:p>
    <w:p w14:paraId="1DAD2579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>2. Мета і шляхи її досягнення</w:t>
      </w:r>
    </w:p>
    <w:p w14:paraId="16836468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bCs/>
          <w:color w:val="000000"/>
          <w:sz w:val="27"/>
          <w:szCs w:val="27"/>
          <w:lang w:val="uk-UA"/>
        </w:rPr>
      </w:pPr>
      <w:r w:rsidRPr="00591C61">
        <w:rPr>
          <w:rFonts w:ascii="Times New Roman" w:hAnsi="Times New Roman"/>
          <w:sz w:val="27"/>
          <w:szCs w:val="27"/>
          <w:lang w:val="uk-UA"/>
        </w:rPr>
        <w:t>Мета – передача основних засобів та нематеріальних активів з балансу</w:t>
      </w: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 на баланс комунального підприємства та закладу Броварської міської ради Броварського району Київської області шляхом прийняття рішення </w:t>
      </w:r>
      <w:r w:rsidRPr="00591C61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591C61">
        <w:rPr>
          <w:bCs/>
          <w:color w:val="000000"/>
          <w:sz w:val="27"/>
          <w:szCs w:val="27"/>
          <w:lang w:val="uk-UA"/>
        </w:rPr>
        <w:t>«</w:t>
      </w:r>
      <w:r w:rsidRPr="00591C61">
        <w:rPr>
          <w:rFonts w:ascii="Times New Roman" w:eastAsia="Times New Roman" w:hAnsi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591C61">
        <w:rPr>
          <w:bCs/>
          <w:color w:val="000000"/>
          <w:sz w:val="27"/>
          <w:szCs w:val="27"/>
          <w:lang w:val="uk-UA"/>
        </w:rPr>
        <w:t>».</w:t>
      </w:r>
    </w:p>
    <w:p w14:paraId="49AFAE44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73BD414A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14:paraId="3E7EA4E0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1B87FBEB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hAnsi="Times New Roman"/>
          <w:sz w:val="27"/>
          <w:szCs w:val="27"/>
          <w:lang w:val="uk-UA"/>
        </w:rPr>
      </w:pPr>
      <w:r w:rsidRPr="00591C61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4AD83858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591C61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63F656DE" w14:textId="77777777" w:rsidR="00A14F81" w:rsidRPr="00591C61" w:rsidRDefault="00A14F81" w:rsidP="00591C61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91C61">
        <w:rPr>
          <w:rFonts w:ascii="Times New Roman" w:eastAsia="Times New Roman" w:hAnsi="Times New Roman"/>
          <w:sz w:val="27"/>
          <w:szCs w:val="27"/>
          <w:lang w:val="uk-UA"/>
        </w:rPr>
        <w:t>Оприбуткування матеріальних цінностей на баланс та впорядкування бухгалтерського обліку установ, та організація  діяльності установи у зв’язку з реорганізацією.</w:t>
      </w:r>
    </w:p>
    <w:p w14:paraId="7C6F66C0" w14:textId="77777777" w:rsidR="00A14F81" w:rsidRPr="00591C61" w:rsidRDefault="00A14F81" w:rsidP="00591C61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Комплект учнівський двомісний в кількості 24 штуки який придбаний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Ерланген</w:t>
      </w:r>
      <w:proofErr w:type="spellEnd"/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 (</w:t>
      </w:r>
      <w:proofErr w:type="spellStart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Німечинна</w:t>
      </w:r>
      <w:proofErr w:type="spellEnd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), буде використовуватись Броварським ліцеєм № 11 Броварської міської ради Броварського району Київської області для організації навчального процесу.</w:t>
      </w:r>
    </w:p>
    <w:p w14:paraId="58C5C75D" w14:textId="77777777" w:rsidR="00A14F81" w:rsidRPr="00591C61" w:rsidRDefault="00A14F81" w:rsidP="00591C61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Обладнання та інвентар для басейну та спортивних залів, яке придбане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Ерланген</w:t>
      </w:r>
      <w:proofErr w:type="spellEnd"/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 (</w:t>
      </w:r>
      <w:proofErr w:type="spellStart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Німечинна</w:t>
      </w:r>
      <w:proofErr w:type="spellEnd"/>
      <w:r w:rsidRPr="00591C61">
        <w:rPr>
          <w:rFonts w:ascii="Times New Roman" w:eastAsia="Times New Roman" w:hAnsi="Times New Roman"/>
          <w:sz w:val="27"/>
          <w:szCs w:val="27"/>
          <w:lang w:val="uk-UA"/>
        </w:rPr>
        <w:t>), буде використовуватись комунальним підприємством «Оздоровчо-реабілітаційний центр»</w:t>
      </w:r>
      <w:r w:rsidRPr="00591C61">
        <w:rPr>
          <w:rFonts w:ascii="Times New Roman" w:hAnsi="Times New Roman"/>
          <w:sz w:val="27"/>
          <w:szCs w:val="27"/>
          <w:lang w:val="uk-UA"/>
        </w:rPr>
        <w:t xml:space="preserve"> Броварсько</w:t>
      </w:r>
      <w:r w:rsidRPr="00591C61">
        <w:rPr>
          <w:rFonts w:ascii="Times New Roman" w:eastAsia="Times New Roman" w:hAnsi="Times New Roman"/>
          <w:sz w:val="27"/>
          <w:szCs w:val="27"/>
          <w:lang w:val="uk-UA"/>
        </w:rPr>
        <w:t>ї міської ради Броварського району Київської області, з метою оздоровлення та реабілітацією дітей та дорослих.</w:t>
      </w:r>
    </w:p>
    <w:p w14:paraId="367E1F1D" w14:textId="77777777" w:rsidR="00A14F81" w:rsidRPr="00591C61" w:rsidRDefault="00A14F81" w:rsidP="00591C61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</w:t>
      </w:r>
    </w:p>
    <w:p w14:paraId="1F7C7DB2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05EEC732" w14:textId="77777777" w:rsidR="00A14F81" w:rsidRPr="00591C61" w:rsidRDefault="00A14F81" w:rsidP="00591C61">
      <w:pPr>
        <w:spacing w:after="0" w:line="240" w:lineRule="auto"/>
        <w:ind w:left="-142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591C61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рішення:</w:t>
      </w:r>
      <w:r w:rsidRPr="00591C61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14:paraId="345C7F1D" w14:textId="77777777" w:rsidR="00A14F81" w:rsidRPr="00591C61" w:rsidRDefault="00A14F81" w:rsidP="00591C61">
      <w:pPr>
        <w:spacing w:after="0" w:line="240" w:lineRule="auto"/>
        <w:ind w:left="-142" w:firstLine="426"/>
        <w:rPr>
          <w:rFonts w:ascii="Times New Roman" w:eastAsia="Times New Roman" w:hAnsi="Times New Roman"/>
          <w:sz w:val="27"/>
          <w:szCs w:val="27"/>
          <w:lang w:val="uk-UA"/>
        </w:rPr>
      </w:pPr>
    </w:p>
    <w:p w14:paraId="5B854CFB" w14:textId="77777777" w:rsidR="00A14F81" w:rsidRPr="00591C61" w:rsidRDefault="00A14F81" w:rsidP="00591C61">
      <w:pPr>
        <w:spacing w:after="0" w:line="240" w:lineRule="auto"/>
        <w:ind w:left="-142"/>
        <w:rPr>
          <w:rFonts w:ascii="Times New Roman" w:hAnsi="Times New Roman"/>
          <w:sz w:val="27"/>
          <w:szCs w:val="27"/>
          <w:lang w:val="uk-UA"/>
        </w:rPr>
      </w:pPr>
      <w:r w:rsidRPr="00591C61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14:paraId="23E72409" w14:textId="77777777" w:rsidR="00A14F81" w:rsidRPr="00591C61" w:rsidRDefault="00A14F81" w:rsidP="00591C61">
      <w:pPr>
        <w:spacing w:line="240" w:lineRule="auto"/>
        <w:ind w:left="-142"/>
        <w:rPr>
          <w:sz w:val="27"/>
          <w:szCs w:val="27"/>
        </w:rPr>
      </w:pPr>
      <w:r w:rsidRPr="00591C61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sectPr w:rsidR="00A14F81" w:rsidRPr="00591C6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3786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55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91C61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4F81"/>
    <w:rsid w:val="00A218AE"/>
    <w:rsid w:val="00AF39C6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68BE"/>
  <w15:docId w15:val="{F4C5B8CB-32D1-451E-A18C-02B03A9C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14F8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A14F8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2025-04-04T05:57:00Z</dcterms:modified>
</cp:coreProperties>
</file>