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78" w:rsidRPr="00017878" w:rsidRDefault="00017878" w:rsidP="00017878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7878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017878" w:rsidRPr="00017878" w:rsidRDefault="00017878" w:rsidP="00017878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17878" w:rsidRPr="00017878" w:rsidRDefault="00017878" w:rsidP="0001787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01787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017878" w:rsidRPr="00017878" w:rsidRDefault="00017878" w:rsidP="0001787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017878" w:rsidRPr="00017878" w:rsidRDefault="00017878" w:rsidP="00017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«Про проведення земельних торгів щодо</w:t>
      </w:r>
    </w:p>
    <w:p w:rsidR="00017878" w:rsidRPr="00017878" w:rsidRDefault="00017878" w:rsidP="00017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017878" w:rsidRPr="00017878" w:rsidRDefault="00017878" w:rsidP="00017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0,6300 га по Об</w:t>
      </w:r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їзній</w:t>
      </w:r>
      <w:proofErr w:type="spellEnd"/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дорозі</w:t>
      </w:r>
    </w:p>
    <w:p w:rsidR="00017878" w:rsidRPr="00017878" w:rsidRDefault="00017878" w:rsidP="0001787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1787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м. Бровари Броварського району  Київської області</w:t>
      </w:r>
      <w:r w:rsidRPr="000178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017878" w:rsidRPr="00017878" w:rsidRDefault="00017878" w:rsidP="0001787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bookmarkStart w:id="0" w:name="_GoBack"/>
      <w:bookmarkEnd w:id="0"/>
    </w:p>
    <w:p w:rsidR="00017878" w:rsidRPr="00017878" w:rsidRDefault="00017878" w:rsidP="0001787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7878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017878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017878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017878" w:rsidRPr="00017878" w:rsidRDefault="00017878" w:rsidP="00017878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17878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17878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17878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17878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017878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17878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017878">
        <w:rPr>
          <w:rFonts w:ascii="Times New Roman" w:hAnsi="Times New Roman" w:cs="Times New Roman"/>
          <w:sz w:val="28"/>
          <w:szCs w:val="28"/>
        </w:rPr>
        <w:t>.</w:t>
      </w: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017878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01787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017878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0178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01787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017878" w:rsidRPr="00017878" w:rsidRDefault="00017878" w:rsidP="00017878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017878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017878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017878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017878" w:rsidRPr="00017878" w:rsidRDefault="00017878" w:rsidP="00017878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017878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0178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 0,6300 га – інше обмеження,  </w:t>
      </w:r>
      <w:bookmarkStart w:id="2" w:name="_Hlk132354352"/>
      <w:r w:rsidRPr="000178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розміщення та експлуатації  об’єктів дорожнього сервісу </w:t>
      </w:r>
      <w:r w:rsidRPr="00017878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Pr="000178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землі промисловості, транспорту, електронних комунікацій, енергетики, оборони та іншого призначення,  по  Об’їзній дорозі в </w:t>
      </w:r>
      <w:proofErr w:type="spellStart"/>
      <w:r w:rsidRPr="00017878">
        <w:rPr>
          <w:rFonts w:ascii="Times New Roman" w:eastAsia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01787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17878" w:rsidRPr="00017878" w:rsidRDefault="00017878" w:rsidP="00017878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0178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17878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017878" w:rsidRPr="00017878" w:rsidRDefault="00017878" w:rsidP="00017878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017878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017878" w:rsidRPr="00017878" w:rsidRDefault="00017878" w:rsidP="00017878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01787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017878" w:rsidRPr="00017878" w:rsidRDefault="00017878" w:rsidP="00017878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017878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01787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017878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01787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01787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017878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017878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017878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017878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017878">
        <w:rPr>
          <w:rFonts w:ascii="Times New Roman" w:hAnsi="Times New Roman"/>
          <w:sz w:val="28"/>
          <w:szCs w:val="28"/>
          <w:lang w:eastAsia="zh-CN"/>
        </w:rPr>
        <w:t>.</w:t>
      </w: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017878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1787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17878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017878" w:rsidRPr="00017878" w:rsidRDefault="00017878" w:rsidP="00017878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17878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017878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017878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017878" w:rsidRPr="00017878" w:rsidRDefault="00017878" w:rsidP="0001787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17878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0178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017878" w:rsidRPr="00017878" w:rsidRDefault="00017878" w:rsidP="0001787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17878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01787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0178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01787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17878" w:rsidRPr="00017878" w:rsidRDefault="00017878" w:rsidP="000178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7878" w:rsidRPr="00017878" w:rsidRDefault="00017878" w:rsidP="000178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7878" w:rsidRPr="00017878" w:rsidRDefault="00017878" w:rsidP="00017878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017878" w:rsidRPr="00017878" w:rsidRDefault="00017878" w:rsidP="000178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7878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01787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B7D79" w:rsidRPr="00017878" w:rsidRDefault="00017878" w:rsidP="00017878">
      <w:r w:rsidRPr="00017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017878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sectPr w:rsidR="009B7D79" w:rsidRPr="00017878" w:rsidSect="00017878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1787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EB18-E2AC-4A62-910E-62D06C3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2025-04-08T10:58:00Z</dcterms:modified>
</cp:coreProperties>
</file>