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0104" w14:textId="09077015" w:rsidR="005B1C08" w:rsidRPr="007E509F" w:rsidRDefault="00B6524A" w:rsidP="007E509F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58BF514" w14:textId="3B9D066F" w:rsidR="007E509F" w:rsidRPr="00184B53" w:rsidRDefault="007E509F" w:rsidP="007E509F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 проекту рішення </w:t>
      </w:r>
      <w:r w:rsidR="001A7B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на 2025 рік</w:t>
      </w:r>
      <w:r w:rsidR="001A7B30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»</w:t>
      </w:r>
    </w:p>
    <w:p w14:paraId="0545CA26" w14:textId="77777777" w:rsidR="007E509F" w:rsidRPr="00184B53" w:rsidRDefault="007E509F" w:rsidP="007E509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6168CB06" w14:textId="77777777" w:rsidR="007E509F" w:rsidRPr="00184B53" w:rsidRDefault="007E509F" w:rsidP="007E509F">
      <w:pPr>
        <w:keepNext/>
        <w:keepLines/>
        <w:widowControl w:val="0"/>
        <w:spacing w:after="0" w:line="21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0C41A05E" w14:textId="77777777" w:rsidR="007E509F" w:rsidRPr="00184B53" w:rsidRDefault="007E509F" w:rsidP="007E509F">
      <w:pPr>
        <w:keepNext/>
        <w:keepLines/>
        <w:widowControl w:val="0"/>
        <w:spacing w:after="0" w:line="216" w:lineRule="auto"/>
        <w:ind w:left="6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</w:p>
    <w:p w14:paraId="4CB1DAF0" w14:textId="77777777" w:rsidR="007E509F" w:rsidRPr="00184B53" w:rsidRDefault="007E509F" w:rsidP="007E509F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  <w:t>Обґрунтування необхідності прийняття рішення.</w:t>
      </w:r>
    </w:p>
    <w:p w14:paraId="5E290A25" w14:textId="77777777" w:rsidR="007E509F" w:rsidRPr="00CF1875" w:rsidRDefault="007E509F" w:rsidP="007E509F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Основною метою змін до Програми є організація належних умов праці щодо ефективного забезпечення боротьби із суспільно небезпечними організованими групами і злочинними організаціями, знешкодження їх економічного підґрунтя та запобігання скоєнню ними тяжких, особливо тяжких і резонансних кримінальних правопорушень, тому є потреба внесення змін:</w:t>
      </w:r>
    </w:p>
    <w:p w14:paraId="677708ED" w14:textId="77777777" w:rsidR="007E509F" w:rsidRPr="00184B53" w:rsidRDefault="007E509F" w:rsidP="007E509F">
      <w:pPr>
        <w:spacing w:after="0" w:line="216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184B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Pr="0018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додатку </w:t>
      </w:r>
      <w:r w:rsidRPr="00184B53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до Програми «</w:t>
      </w:r>
      <w:r w:rsidRPr="00184B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Заходи та потреба у фінансуванні Програми»</w:t>
      </w:r>
      <w:r w:rsidRPr="00184B53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пункт </w:t>
      </w:r>
      <w:r w:rsidRPr="00CF1875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184B53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додати в новій редакції а саме: «Придба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ння</w:t>
      </w:r>
      <w:r w:rsidRPr="00184B53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БПЛА,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 w:eastAsia="uk-UA"/>
        </w:rPr>
        <w:t>FPV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запасних частин, комплектуючих та спеціального обладнання.</w:t>
      </w:r>
    </w:p>
    <w:p w14:paraId="5C9E63FB" w14:textId="77777777" w:rsidR="007E509F" w:rsidRPr="00184B53" w:rsidRDefault="007E509F" w:rsidP="007E509F">
      <w:pPr>
        <w:spacing w:after="0" w:line="216" w:lineRule="auto"/>
        <w:ind w:firstLine="709"/>
        <w:contextualSpacing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14:paraId="436E8600" w14:textId="77777777" w:rsidR="007E509F" w:rsidRPr="00184B53" w:rsidRDefault="007E509F" w:rsidP="007E509F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 і шляхи її досягнення.</w:t>
      </w:r>
    </w:p>
    <w:p w14:paraId="02178479" w14:textId="0410E857" w:rsidR="007E509F" w:rsidRPr="00E31619" w:rsidRDefault="007E509F" w:rsidP="007E509F">
      <w:pPr>
        <w:spacing w:after="0" w:line="216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Метою є покращення та модернізація матеріально-технічно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ї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бази полку поліції особливого призначення Головного управління Національної поліції</w:t>
      </w:r>
      <w:r w:rsidR="00FA1C5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Київської області, з метою забезпечення виконання повноважень підрозділу, у тому числі з відсічі та стримування збройної агресії російської федерації проти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5B41BA98" w14:textId="77777777" w:rsidR="007E509F" w:rsidRPr="00184B53" w:rsidRDefault="007E509F" w:rsidP="007E509F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03A0529C" w14:textId="77777777" w:rsidR="007E509F" w:rsidRPr="00184B53" w:rsidRDefault="007E509F" w:rsidP="007E509F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Правові аспекти.</w:t>
      </w:r>
    </w:p>
    <w:p w14:paraId="388DD8AE" w14:textId="77777777" w:rsidR="007E509F" w:rsidRPr="00184B53" w:rsidRDefault="007E509F" w:rsidP="007E509F">
      <w:pPr>
        <w:shd w:val="clear" w:color="auto" w:fill="FFFFFF"/>
        <w:spacing w:after="0" w:line="21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Закони України «Про Національну поліцію», «Про місцеве самоврядування в Україні».</w:t>
      </w:r>
    </w:p>
    <w:p w14:paraId="34BE52EB" w14:textId="77777777" w:rsidR="007E509F" w:rsidRPr="00184B53" w:rsidRDefault="007E509F" w:rsidP="007E509F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047FD4B2" w14:textId="77777777" w:rsidR="007E509F" w:rsidRPr="00184B53" w:rsidRDefault="007E509F" w:rsidP="007E509F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Фінансово-економічне обґрунтування.</w:t>
      </w:r>
    </w:p>
    <w:p w14:paraId="370F638B" w14:textId="77777777" w:rsidR="007E509F" w:rsidRPr="00184B53" w:rsidRDefault="007E509F" w:rsidP="007E509F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Даним проектом рішення збільшується фінансування на </w:t>
      </w:r>
      <w:r w:rsidRPr="00CF187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CF187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5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00,0 тис. грн. </w:t>
      </w:r>
      <w:r w:rsidRPr="00184B5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en-US"/>
        </w:rPr>
        <w:t>по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заходу «Матеріальне технічне забезпечення,</w:t>
      </w: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84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 зв’язку з чим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</w:t>
      </w:r>
      <w:r w:rsidRPr="00184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агальний обсяг фінансових ресурсів для реалізації Програми в 2025 році буде становити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Pr="00CF18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184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CF18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85</w:t>
      </w:r>
      <w:r w:rsidRPr="00184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Pr="00184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тис. грн.,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</w:p>
    <w:p w14:paraId="646A8BC8" w14:textId="77777777" w:rsidR="007E509F" w:rsidRPr="00184B53" w:rsidRDefault="007E509F" w:rsidP="007E509F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66817203" w14:textId="77777777" w:rsidR="007E509F" w:rsidRPr="00184B53" w:rsidRDefault="007E509F" w:rsidP="007E509F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Прогноз результатів.</w:t>
      </w:r>
    </w:p>
    <w:p w14:paraId="0EFFCEAF" w14:textId="77777777" w:rsidR="007E509F" w:rsidRPr="00184B53" w:rsidRDefault="007E509F" w:rsidP="007E509F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Покращення якості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регіонального безпекового середовища на території Броварської громади шляхом забезпечення Броварське РУП ГУНП службовими автомобілями, паливно-мастильними матеріалами та запчастинами, розхідними та іншими матеріалами, технікою необхідною для забезпечення функціонування управління.</w:t>
      </w:r>
    </w:p>
    <w:p w14:paraId="06A8D124" w14:textId="77777777" w:rsidR="007E509F" w:rsidRPr="00184B53" w:rsidRDefault="007E509F" w:rsidP="007E509F">
      <w:pPr>
        <w:spacing w:after="0" w:line="216" w:lineRule="auto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Придбання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Департаменту поліції особливого призначення «Об’єднана штурмова бригада Національної поліції України «Лють»</w:t>
      </w:r>
      <w:r w:rsidRPr="00184B53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БПЛА,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 w:eastAsia="uk-UA"/>
        </w:rPr>
        <w:t>FPV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запасних частин комплектуючих та спеціального обладнання для успішного виконання бойових завдань.</w:t>
      </w:r>
    </w:p>
    <w:p w14:paraId="156C0316" w14:textId="77777777" w:rsidR="007E509F" w:rsidRPr="00184B53" w:rsidRDefault="007E509F" w:rsidP="007E509F">
      <w:pPr>
        <w:shd w:val="clear" w:color="auto" w:fill="FFFFFF"/>
        <w:spacing w:after="0" w:line="21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6BBF0E86" w14:textId="77777777" w:rsidR="007E509F" w:rsidRPr="00184B53" w:rsidRDefault="007E509F" w:rsidP="007E509F">
      <w:pPr>
        <w:keepNext/>
        <w:keepLines/>
        <w:widowControl w:val="0"/>
        <w:spacing w:after="0" w:line="216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6. Суб’єкт подання проекту рішення.</w:t>
      </w:r>
    </w:p>
    <w:p w14:paraId="1B9D18FA" w14:textId="77777777" w:rsidR="007E509F" w:rsidRPr="00184B53" w:rsidRDefault="007E509F" w:rsidP="007E509F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74D3F0AE" w14:textId="77777777" w:rsidR="007E509F" w:rsidRPr="00184B53" w:rsidRDefault="007E509F" w:rsidP="007E509F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01C53674" w14:textId="77777777" w:rsidR="007E509F" w:rsidRPr="00184B53" w:rsidRDefault="007E509F" w:rsidP="007E509F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Підпокровний</w:t>
      </w:r>
      <w:proofErr w:type="spellEnd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05C6C1B5" w14:textId="77777777" w:rsidR="007E509F" w:rsidRPr="00B34F7F" w:rsidRDefault="007E509F" w:rsidP="007E509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3501EDC3" w14:textId="77777777" w:rsidR="007E509F" w:rsidRPr="00946C85" w:rsidRDefault="007E509F" w:rsidP="007E5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tbl>
      <w:tblPr>
        <w:tblW w:w="126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031"/>
        <w:gridCol w:w="1662"/>
        <w:gridCol w:w="1095"/>
        <w:gridCol w:w="513"/>
        <w:gridCol w:w="1416"/>
        <w:gridCol w:w="1682"/>
        <w:gridCol w:w="1222"/>
        <w:gridCol w:w="993"/>
        <w:gridCol w:w="931"/>
        <w:gridCol w:w="21"/>
        <w:gridCol w:w="840"/>
        <w:gridCol w:w="861"/>
      </w:tblGrid>
      <w:tr w:rsidR="007E509F" w:rsidRPr="00946C85" w14:paraId="6B98A7AE" w14:textId="77777777" w:rsidTr="008F311A">
        <w:trPr>
          <w:gridAfter w:val="2"/>
          <w:wAfter w:w="1701" w:type="dxa"/>
          <w:trHeight w:val="723"/>
        </w:trPr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145E" w14:textId="77777777" w:rsidR="007E509F" w:rsidRPr="00946C85" w:rsidRDefault="007E509F" w:rsidP="008F311A">
            <w:pPr>
              <w:tabs>
                <w:tab w:val="righ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редакція:</w:t>
            </w:r>
          </w:p>
          <w:p w14:paraId="12193022" w14:textId="77777777" w:rsidR="007E509F" w:rsidRPr="00946C85" w:rsidRDefault="007E509F" w:rsidP="008F311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393D" w14:textId="77777777" w:rsidR="007E509F" w:rsidRPr="00946C85" w:rsidRDefault="007E509F" w:rsidP="008F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Нова редакція: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DA26" w14:textId="77777777" w:rsidR="007E509F" w:rsidRPr="00946C85" w:rsidRDefault="007E509F" w:rsidP="008F311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C523" w14:textId="77777777" w:rsidR="007E509F" w:rsidRPr="00946C85" w:rsidRDefault="007E509F" w:rsidP="008F31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7E509F" w:rsidRPr="00946C85" w14:paraId="46065645" w14:textId="77777777" w:rsidTr="008F311A">
        <w:trPr>
          <w:gridAfter w:val="3"/>
          <w:wAfter w:w="1722" w:type="dxa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A17D" w14:textId="77777777" w:rsidR="007E509F" w:rsidRPr="00946C85" w:rsidRDefault="007E509F" w:rsidP="008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07F12C2E" w14:textId="77777777" w:rsidR="007E509F" w:rsidRPr="00B30DD7" w:rsidRDefault="007E509F" w:rsidP="008F31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862D" w14:textId="77777777" w:rsidR="007E509F" w:rsidRDefault="007E509F" w:rsidP="008F31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75803F4A" w14:textId="77777777" w:rsidR="007E509F" w:rsidRPr="00946C85" w:rsidRDefault="007E509F" w:rsidP="008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__________</w:t>
            </w:r>
          </w:p>
          <w:p w14:paraId="5408FD02" w14:textId="77777777" w:rsidR="007E509F" w:rsidRPr="00DE5DA7" w:rsidRDefault="007E509F" w:rsidP="008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0AC4" w14:textId="77777777" w:rsidR="007E509F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Перелік заходів програми</w:t>
            </w:r>
          </w:p>
          <w:p w14:paraId="42AD07A0" w14:textId="77777777" w:rsidR="007E509F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030A59DF" w14:textId="77777777" w:rsidR="007E509F" w:rsidRDefault="007E509F" w:rsidP="008F311A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__________________</w:t>
            </w:r>
          </w:p>
          <w:p w14:paraId="3F268432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1.Придбання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43AA573F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78E1D7A3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0B1A7A8F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11DC7A9F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5258E1DA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36DD5BF6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651DB831" w14:textId="77777777" w:rsidR="007E509F" w:rsidRPr="002C2268" w:rsidRDefault="007E509F" w:rsidP="008F311A">
            <w:pPr>
              <w:spacing w:after="0" w:line="228" w:lineRule="auto"/>
              <w:ind w:firstLine="402"/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розхідних матеріалів, сейф та крафт пакети 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lastRenderedPageBreak/>
              <w:t>різних розмірів для упакування речових доказів, засоби індивідуального захисту;</w:t>
            </w:r>
          </w:p>
          <w:p w14:paraId="4030291C" w14:textId="77777777" w:rsidR="007E509F" w:rsidRPr="00946C85" w:rsidRDefault="007E509F" w:rsidP="008F311A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облаштування приміщень для проведення допитів неповнолітніх</w:t>
            </w:r>
          </w:p>
          <w:p w14:paraId="12A5F3F0" w14:textId="77777777" w:rsidR="007E509F" w:rsidRPr="00946C85" w:rsidRDefault="007E509F" w:rsidP="008F311A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ECB9" w14:textId="77777777" w:rsidR="007E509F" w:rsidRPr="00946C85" w:rsidRDefault="007E509F" w:rsidP="008F311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lastRenderedPageBreak/>
              <w:t>Потреба у фінансуванні</w:t>
            </w:r>
          </w:p>
          <w:p w14:paraId="2A0520F8" w14:textId="77777777" w:rsidR="007E509F" w:rsidRDefault="007E509F" w:rsidP="008F31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  <w:p w14:paraId="21CE8092" w14:textId="77777777" w:rsidR="007E509F" w:rsidRPr="00DE5DA7" w:rsidRDefault="007E509F" w:rsidP="008F31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A27168B" w14:textId="77777777" w:rsidR="007E509F" w:rsidRPr="00DE5DA7" w:rsidRDefault="007E509F" w:rsidP="008F31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8987A23" w14:textId="77777777" w:rsidR="007E509F" w:rsidRPr="00DE5DA7" w:rsidRDefault="007E509F" w:rsidP="008F31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C924790" w14:textId="77777777" w:rsidR="007E509F" w:rsidRPr="00DE5DA7" w:rsidRDefault="007E509F" w:rsidP="008F31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2D037A8" w14:textId="77777777" w:rsidR="007E509F" w:rsidRPr="00DE5DA7" w:rsidRDefault="007E509F" w:rsidP="008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08F3E16E" w14:textId="77777777" w:rsidR="007E509F" w:rsidRPr="00DE5DA7" w:rsidRDefault="007E509F" w:rsidP="008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0F1BF1B0" w14:textId="77777777" w:rsidR="007E509F" w:rsidRPr="00DE5DA7" w:rsidRDefault="007E509F" w:rsidP="008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3E13A44D" w14:textId="77777777" w:rsidR="007E509F" w:rsidRPr="00DE5DA7" w:rsidRDefault="007E509F" w:rsidP="008F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11686,4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17C" w14:textId="77777777" w:rsidR="007E509F" w:rsidRPr="00946C85" w:rsidRDefault="007E509F" w:rsidP="008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2A46D334" w14:textId="77777777" w:rsidR="007E509F" w:rsidRPr="00946C85" w:rsidRDefault="007E509F" w:rsidP="008F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2B5B" w14:textId="77777777" w:rsidR="007E509F" w:rsidRPr="00AA3E12" w:rsidRDefault="007E509F" w:rsidP="008F31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65894E79" w14:textId="77777777" w:rsidR="007E509F" w:rsidRPr="00AA3E12" w:rsidRDefault="007E509F" w:rsidP="008F31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5F946114" w14:textId="77777777" w:rsidR="007E509F" w:rsidRPr="00AA3E12" w:rsidRDefault="007E509F" w:rsidP="008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_______________</w:t>
            </w:r>
          </w:p>
          <w:p w14:paraId="5A5D3666" w14:textId="77777777" w:rsidR="007E509F" w:rsidRPr="00DE5DA7" w:rsidRDefault="007E509F" w:rsidP="008F311A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C3BE" w14:textId="77777777" w:rsidR="007E509F" w:rsidRPr="00946C85" w:rsidRDefault="007E509F" w:rsidP="008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1DF3" w14:textId="77777777" w:rsidR="007E509F" w:rsidRPr="00946C85" w:rsidRDefault="007E509F" w:rsidP="008F311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Джерела</w:t>
            </w:r>
          </w:p>
          <w:p w14:paraId="5CFFC985" w14:textId="77777777" w:rsidR="007E509F" w:rsidRPr="00946C85" w:rsidRDefault="007E509F" w:rsidP="008F311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фінансування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CFC7" w14:textId="77777777" w:rsidR="007E509F" w:rsidRPr="00946C85" w:rsidRDefault="007E509F" w:rsidP="008F311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2749E4AE" w14:textId="77777777" w:rsidR="007E509F" w:rsidRPr="00946C85" w:rsidRDefault="007E509F" w:rsidP="008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A374" w14:textId="77777777" w:rsidR="007E509F" w:rsidRPr="00946C85" w:rsidRDefault="007E509F" w:rsidP="008F311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3D49747B" w14:textId="77777777" w:rsidR="007E509F" w:rsidRPr="00946C85" w:rsidRDefault="007E509F" w:rsidP="008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</w:tr>
      <w:tr w:rsidR="007E509F" w:rsidRPr="00946C85" w14:paraId="75283828" w14:textId="77777777" w:rsidTr="008F311A">
        <w:trPr>
          <w:gridAfter w:val="3"/>
          <w:wAfter w:w="1722" w:type="dxa"/>
          <w:trHeight w:val="296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68C2" w14:textId="77777777" w:rsidR="007E509F" w:rsidRPr="00946C85" w:rsidRDefault="007E509F" w:rsidP="008F31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D68F" w14:textId="77777777" w:rsidR="007E509F" w:rsidRPr="00946C85" w:rsidRDefault="007E509F" w:rsidP="008F31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FDFF" w14:textId="77777777" w:rsidR="007E509F" w:rsidRPr="00946C85" w:rsidRDefault="007E509F" w:rsidP="008F311A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F582" w14:textId="77777777" w:rsidR="007E509F" w:rsidRPr="00946C85" w:rsidRDefault="007E509F" w:rsidP="008F31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35D9" w14:textId="77777777" w:rsidR="007E509F" w:rsidRPr="00946C85" w:rsidRDefault="007E509F" w:rsidP="008F31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9376" w14:textId="77777777" w:rsidR="007E509F" w:rsidRPr="00946C85" w:rsidRDefault="007E509F" w:rsidP="008F31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D03D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1.Придбання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14757ABF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79F2A8E8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6D46BCF9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4DCC7D7D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38F706F1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77D21FEB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531F6871" w14:textId="77777777" w:rsidR="007E509F" w:rsidRPr="002C2268" w:rsidRDefault="007E509F" w:rsidP="008F311A">
            <w:pPr>
              <w:spacing w:after="0" w:line="228" w:lineRule="auto"/>
              <w:ind w:firstLine="402"/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розхідних матеріалів, сейф та крафт пакети 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lastRenderedPageBreak/>
              <w:t>різних розмірів для упакування речових доказів, засоби індивідуального захисту;</w:t>
            </w:r>
          </w:p>
          <w:p w14:paraId="76F68A71" w14:textId="77777777" w:rsidR="007E509F" w:rsidRPr="00946C85" w:rsidRDefault="007E509F" w:rsidP="008F311A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облаштування приміщень для проведення допитів неповнолітніх</w:t>
            </w:r>
          </w:p>
          <w:p w14:paraId="6B2A179F" w14:textId="77777777" w:rsidR="007E509F" w:rsidRPr="00946C85" w:rsidRDefault="007E509F" w:rsidP="008F311A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114B" w14:textId="77777777" w:rsidR="007E509F" w:rsidRPr="00946C85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Місцевий бюджет</w:t>
            </w:r>
          </w:p>
          <w:p w14:paraId="4A793EB1" w14:textId="77777777" w:rsidR="007E509F" w:rsidRPr="00946C85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866DAFA" w14:textId="77777777" w:rsidR="007E509F" w:rsidRPr="00946C85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CEB7806" w14:textId="77777777" w:rsidR="007E509F" w:rsidRPr="00946C85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068316E" w14:textId="77777777" w:rsidR="007E509F" w:rsidRPr="00946C85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83D2C17" w14:textId="77777777" w:rsidR="007E509F" w:rsidRPr="00946C85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5DD1541B" w14:textId="77777777" w:rsidR="007E509F" w:rsidRPr="00946C85" w:rsidRDefault="007E509F" w:rsidP="008F311A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836C" w14:textId="77777777" w:rsidR="007E509F" w:rsidRPr="00DE5DA7" w:rsidRDefault="007E509F" w:rsidP="008F311A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5682AA7D" w14:textId="77777777" w:rsidR="007E509F" w:rsidRPr="00DE5DA7" w:rsidRDefault="007E509F" w:rsidP="008F311A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6DD35898" w14:textId="77777777" w:rsidR="007E509F" w:rsidRPr="00DE5DA7" w:rsidRDefault="007E509F" w:rsidP="008F311A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5FFAC198" w14:textId="77777777" w:rsidR="007E509F" w:rsidRPr="00DE5DA7" w:rsidRDefault="007E509F" w:rsidP="008F311A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31E1C028" w14:textId="77777777" w:rsidR="007E509F" w:rsidRPr="00DE5DA7" w:rsidRDefault="007E509F" w:rsidP="008F311A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3C959380" w14:textId="77777777" w:rsidR="007E509F" w:rsidRPr="00DE5DA7" w:rsidRDefault="007E509F" w:rsidP="008F311A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DE5DA7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+2 000,0</w:t>
            </w:r>
          </w:p>
          <w:p w14:paraId="51486E97" w14:textId="77777777" w:rsidR="007E509F" w:rsidRPr="00DE5DA7" w:rsidRDefault="007E509F" w:rsidP="008F311A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6F92" w14:textId="77777777" w:rsidR="007E509F" w:rsidRPr="00DE5DA7" w:rsidRDefault="007E509F" w:rsidP="008F311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18101047" w14:textId="77777777" w:rsidR="007E509F" w:rsidRPr="00DE5DA7" w:rsidRDefault="007E509F" w:rsidP="008F311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3B4D3E46" w14:textId="77777777" w:rsidR="007E509F" w:rsidRPr="00DE5DA7" w:rsidRDefault="007E509F" w:rsidP="008F311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1D5ACC0A" w14:textId="77777777" w:rsidR="007E509F" w:rsidRPr="00DE5DA7" w:rsidRDefault="007E509F" w:rsidP="008F311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3F524F7C" w14:textId="77777777" w:rsidR="007E509F" w:rsidRPr="00DE5DA7" w:rsidRDefault="007E509F" w:rsidP="008F311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53C01632" w14:textId="77777777" w:rsidR="007E509F" w:rsidRPr="00DE5DA7" w:rsidRDefault="007E509F" w:rsidP="008F311A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DE5DA7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13 686,4</w:t>
            </w:r>
          </w:p>
          <w:p w14:paraId="0B206751" w14:textId="77777777" w:rsidR="007E509F" w:rsidRPr="00DE5DA7" w:rsidRDefault="007E509F" w:rsidP="008F311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7E509F" w:rsidRPr="00946C85" w14:paraId="79993A8A" w14:textId="77777777" w:rsidTr="008F311A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5D67" w14:textId="77777777" w:rsidR="007E509F" w:rsidRPr="00946C85" w:rsidRDefault="007E509F" w:rsidP="008F31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1076" w14:textId="77777777" w:rsidR="007E509F" w:rsidRPr="00DE5DA7" w:rsidRDefault="007E509F" w:rsidP="008F311A">
            <w:pPr>
              <w:spacing w:line="228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роботи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поліцейських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офіцерів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громади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Броварського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РУП ГУНП</w:t>
            </w:r>
          </w:p>
          <w:p w14:paraId="0C1742C1" w14:textId="77777777" w:rsidR="007E509F" w:rsidRPr="00B30DD7" w:rsidRDefault="007E509F" w:rsidP="008F31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AF51" w14:textId="77777777" w:rsidR="007E509F" w:rsidRPr="002C2268" w:rsidRDefault="007E509F" w:rsidP="008F311A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2. 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121AA207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22C693BA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371E0E5A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17196CFD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4576D4AA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7AC964C8" w14:textId="77777777" w:rsidR="007E509F" w:rsidRPr="00B30DD7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1B2C437F" w14:textId="77777777" w:rsidR="007E509F" w:rsidRPr="00946C85" w:rsidRDefault="007E509F" w:rsidP="008F311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5EA" w14:textId="77777777" w:rsidR="007E509F" w:rsidRPr="00DE5DA7" w:rsidRDefault="007E509F" w:rsidP="008F311A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  <w:r w:rsidRPr="00DE5DA7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5D05" w14:textId="77777777" w:rsidR="007E509F" w:rsidRPr="00946C85" w:rsidRDefault="007E509F" w:rsidP="008F31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4655" w14:textId="77777777" w:rsidR="007E509F" w:rsidRPr="00DE5DA7" w:rsidRDefault="007E509F" w:rsidP="008F311A">
            <w:pPr>
              <w:spacing w:line="228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роботи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поліцейських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офіцерів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громади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Броварського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РУП ГУНП</w:t>
            </w:r>
          </w:p>
          <w:p w14:paraId="15FB0997" w14:textId="77777777" w:rsidR="007E509F" w:rsidRPr="00B30DD7" w:rsidRDefault="007E509F" w:rsidP="008F31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B01C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2. 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078FFC3D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39CC7060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72FFDFE6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5D3D7044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1908C855" w14:textId="77777777" w:rsidR="007E509F" w:rsidRPr="002C2268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00FA2060" w14:textId="77777777" w:rsidR="007E509F" w:rsidRPr="00B30DD7" w:rsidRDefault="007E509F" w:rsidP="008F311A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16B8BEE5" w14:textId="77777777" w:rsidR="007E509F" w:rsidRPr="00946C85" w:rsidRDefault="007E509F" w:rsidP="008F311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1DA0" w14:textId="77777777" w:rsidR="007E509F" w:rsidRPr="00946C85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proofErr w:type="spellStart"/>
            <w:r w:rsidRPr="002E23C0">
              <w:rPr>
                <w:rFonts w:ascii="Times New Roman" w:hAnsi="Times New Roman"/>
                <w:sz w:val="20"/>
                <w:szCs w:val="20"/>
              </w:rPr>
              <w:t>Субвенція</w:t>
            </w:r>
            <w:proofErr w:type="spellEnd"/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2E23C0">
              <w:rPr>
                <w:rFonts w:ascii="Times New Roman" w:hAnsi="Times New Roman"/>
                <w:sz w:val="20"/>
                <w:szCs w:val="20"/>
              </w:rPr>
              <w:t>місцевого</w:t>
            </w:r>
            <w:proofErr w:type="spellEnd"/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бюджету.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5E92" w14:textId="77777777" w:rsidR="007E509F" w:rsidRPr="002A0D21" w:rsidRDefault="007E509F" w:rsidP="008F311A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val="uk-UA"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0EAA" w14:textId="77777777" w:rsidR="007E509F" w:rsidRPr="00DE5DA7" w:rsidRDefault="007E509F" w:rsidP="008F311A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</w:rPr>
              <w:t>2 600,0</w:t>
            </w:r>
          </w:p>
        </w:tc>
      </w:tr>
      <w:tr w:rsidR="007E509F" w:rsidRPr="00946C85" w14:paraId="586E04F0" w14:textId="77777777" w:rsidTr="008F311A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B579" w14:textId="77777777" w:rsidR="007E509F" w:rsidRPr="00DE5DA7" w:rsidRDefault="007E509F" w:rsidP="008F311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3.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A7D1" w14:textId="77777777" w:rsidR="007E509F" w:rsidRPr="00DE5DA7" w:rsidRDefault="007E509F" w:rsidP="008F311A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Охорона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порядку та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безпеки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D3FE" w14:textId="77777777" w:rsidR="007E509F" w:rsidRPr="002A0D21" w:rsidRDefault="007E509F" w:rsidP="008F311A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bookmarkStart w:id="0" w:name="_Hlk183090471"/>
            <w:r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3. </w:t>
            </w:r>
            <w:r w:rsidRPr="002A0D21"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 </w:t>
            </w:r>
            <w:r w:rsidRPr="002A0D21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Національної поліції України</w:t>
            </w:r>
            <w:bookmarkEnd w:id="0"/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93AA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99,0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92D0" w14:textId="77777777" w:rsidR="007E509F" w:rsidRPr="00946C85" w:rsidRDefault="007E509F" w:rsidP="008F311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F5EE" w14:textId="77777777" w:rsidR="007E509F" w:rsidRPr="00DE5DA7" w:rsidRDefault="007E509F" w:rsidP="008F311A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Охорона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порядку та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безпеки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600F" w14:textId="77777777" w:rsidR="007E509F" w:rsidRPr="002A0D21" w:rsidRDefault="007E509F" w:rsidP="008F311A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3. </w:t>
            </w:r>
            <w:r w:rsidRPr="002A0D21"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 </w:t>
            </w:r>
            <w:r w:rsidRPr="002A0D21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Національної поліції України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0CEB" w14:textId="77777777" w:rsidR="007E509F" w:rsidRPr="002A0D21" w:rsidRDefault="007E509F" w:rsidP="008F311A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A0D21">
              <w:rPr>
                <w:rFonts w:ascii="Times New Roman" w:hAnsi="Times New Roman"/>
                <w:sz w:val="16"/>
                <w:szCs w:val="16"/>
              </w:rPr>
              <w:t>Місцевий</w:t>
            </w:r>
            <w:proofErr w:type="spellEnd"/>
            <w:r w:rsidRPr="002A0D21">
              <w:rPr>
                <w:rFonts w:ascii="Times New Roman" w:hAnsi="Times New Roman"/>
                <w:sz w:val="16"/>
                <w:szCs w:val="16"/>
              </w:rPr>
              <w:t xml:space="preserve"> бюджет</w:t>
            </w:r>
          </w:p>
          <w:p w14:paraId="10FA7BAD" w14:textId="77777777" w:rsidR="007E509F" w:rsidRPr="002A0D21" w:rsidRDefault="007E509F" w:rsidP="008F311A">
            <w:pPr>
              <w:spacing w:after="0"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4954" w14:textId="77777777" w:rsidR="007E509F" w:rsidRPr="002A0D21" w:rsidRDefault="007E509F" w:rsidP="008F311A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FF2C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99,0</w:t>
            </w:r>
          </w:p>
        </w:tc>
      </w:tr>
      <w:tr w:rsidR="007E509F" w:rsidRPr="00946C85" w14:paraId="75C5697A" w14:textId="77777777" w:rsidTr="008F311A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4FBF" w14:textId="77777777" w:rsidR="007E509F" w:rsidRPr="00DE5DA7" w:rsidRDefault="007E509F" w:rsidP="008F311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4.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FCB8" w14:textId="77777777" w:rsidR="007E509F" w:rsidRPr="00DE5DA7" w:rsidRDefault="007E509F" w:rsidP="008F311A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Київського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Науково-</w:t>
            </w:r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Дослідного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Експертно-Криміналістичного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Центру МВС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10BC" w14:textId="77777777" w:rsidR="007E509F" w:rsidRPr="00DE5DA7" w:rsidRDefault="007E509F" w:rsidP="008F311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lastRenderedPageBreak/>
              <w:t xml:space="preserve"> 4. </w:t>
            </w:r>
            <w:r w:rsidRPr="00DE5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Придбання для</w:t>
            </w:r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Київського науково-дослідного експертно-криміналістичного </w:t>
            </w:r>
            <w:proofErr w:type="spellStart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цетру</w:t>
            </w:r>
            <w:proofErr w:type="spellEnd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МВС України:</w:t>
            </w:r>
          </w:p>
          <w:p w14:paraId="6B41D9BB" w14:textId="77777777" w:rsidR="007E509F" w:rsidRPr="00DE5DA7" w:rsidRDefault="007E509F" w:rsidP="008F311A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Комплекта</w:t>
            </w:r>
            <w:proofErr w:type="spellEnd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двоканального газового хроматографа</w:t>
            </w:r>
          </w:p>
          <w:p w14:paraId="584AC82E" w14:textId="77777777" w:rsidR="007E509F" w:rsidRPr="00DE5DA7" w:rsidRDefault="007E509F" w:rsidP="008F311A">
            <w:pPr>
              <w:spacing w:after="0" w:line="228" w:lineRule="auto"/>
              <w:jc w:val="both"/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6041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EEF8BC3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66D16BC3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B201353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689217D0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lastRenderedPageBreak/>
              <w:t>4 500,0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7D66" w14:textId="77777777" w:rsidR="007E509F" w:rsidRPr="00DE5DA7" w:rsidRDefault="007E509F" w:rsidP="008F311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lastRenderedPageBreak/>
              <w:t>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8F0B" w14:textId="77777777" w:rsidR="007E509F" w:rsidRPr="00DE5DA7" w:rsidRDefault="007E509F" w:rsidP="008F311A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Київського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Науково-Дослідного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Експертно-Криміналістичного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Центру МВС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5C6F" w14:textId="77777777" w:rsidR="007E509F" w:rsidRPr="00DE5DA7" w:rsidRDefault="007E509F" w:rsidP="008F311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lastRenderedPageBreak/>
              <w:t xml:space="preserve"> 4. </w:t>
            </w:r>
            <w:r w:rsidRPr="00DE5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Придбання для</w:t>
            </w:r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Київського науково-дослідного експертно-криміналістичного </w:t>
            </w:r>
            <w:proofErr w:type="spellStart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цетру</w:t>
            </w:r>
            <w:proofErr w:type="spellEnd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МВС України:</w:t>
            </w:r>
          </w:p>
          <w:p w14:paraId="0D09D416" w14:textId="77777777" w:rsidR="007E509F" w:rsidRPr="00DE5DA7" w:rsidRDefault="007E509F" w:rsidP="008F311A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Комплекта</w:t>
            </w:r>
            <w:proofErr w:type="spellEnd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двоканального газового хроматографа</w:t>
            </w:r>
          </w:p>
          <w:p w14:paraId="4D1A0797" w14:textId="77777777" w:rsidR="007E509F" w:rsidRPr="00DE5DA7" w:rsidRDefault="007E509F" w:rsidP="008F311A">
            <w:pPr>
              <w:spacing w:after="0" w:line="228" w:lineRule="auto"/>
              <w:jc w:val="both"/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D26" w14:textId="77777777" w:rsidR="007E509F" w:rsidRPr="00946C85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Місцевий бюджет</w:t>
            </w:r>
          </w:p>
          <w:p w14:paraId="33799E15" w14:textId="77777777" w:rsidR="007E509F" w:rsidRPr="00946C85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BB24818" w14:textId="77777777" w:rsidR="007E509F" w:rsidRPr="00946C85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184B0F6" w14:textId="77777777" w:rsidR="007E509F" w:rsidRPr="00946C85" w:rsidRDefault="007E509F" w:rsidP="008F311A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A85AAF4" w14:textId="77777777" w:rsidR="007E509F" w:rsidRPr="00946C85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Субвенція з 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місцевого бюджету</w:t>
            </w:r>
          </w:p>
          <w:p w14:paraId="34FC2776" w14:textId="77777777" w:rsidR="007E509F" w:rsidRPr="00702E60" w:rsidRDefault="007E509F" w:rsidP="008F311A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A505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70191C6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7242346A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70E1BE64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F51F426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61005FC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6685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6FE3CB37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0F7E116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082D63F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661ECC8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lastRenderedPageBreak/>
              <w:t>4 500,0</w:t>
            </w:r>
          </w:p>
        </w:tc>
      </w:tr>
      <w:tr w:rsidR="007E509F" w:rsidRPr="00946C85" w14:paraId="38F11CA6" w14:textId="77777777" w:rsidTr="008F311A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6FB2" w14:textId="77777777" w:rsidR="007E509F" w:rsidRPr="00CF1875" w:rsidRDefault="007E509F" w:rsidP="008F311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DB9A" w14:textId="77777777" w:rsidR="007E509F" w:rsidRDefault="007E509F" w:rsidP="008F311A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7EB" w14:textId="77777777" w:rsidR="007E509F" w:rsidRPr="00702E60" w:rsidRDefault="007E509F" w:rsidP="008F311A">
            <w:pPr>
              <w:spacing w:after="0" w:line="228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518" w14:textId="77777777" w:rsidR="007E509F" w:rsidRDefault="007E509F" w:rsidP="008F311A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08CC" w14:textId="4C79C88A" w:rsidR="007E509F" w:rsidRPr="00DE5DA7" w:rsidRDefault="006C0F29" w:rsidP="008F311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5658" w14:textId="77777777" w:rsidR="007E509F" w:rsidRPr="00DE5DA7" w:rsidRDefault="007E509F" w:rsidP="008F311A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Департамент поліції особливого призначення «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Обєднана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штурмова бригада НПУ «Лють»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ED0" w14:textId="78E42296" w:rsidR="007E509F" w:rsidRPr="00FE2DFD" w:rsidRDefault="00EF32A5" w:rsidP="008F311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5</w:t>
            </w:r>
            <w:r w:rsidR="007E509F" w:rsidRPr="00FE2DFD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</w:t>
            </w:r>
            <w:r w:rsidR="007E509F" w:rsidRPr="00FE2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Придбання</w:t>
            </w:r>
          </w:p>
          <w:p w14:paraId="17681A2C" w14:textId="77777777" w:rsidR="007E509F" w:rsidRPr="00FE2DFD" w:rsidRDefault="007E509F" w:rsidP="008F311A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БПЛА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FPV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запасних частин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комплектуючих та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спеціального обладнання</w:t>
            </w:r>
          </w:p>
          <w:p w14:paraId="0FC0BDD7" w14:textId="77777777" w:rsidR="007E509F" w:rsidRPr="00FE2DFD" w:rsidRDefault="007E509F" w:rsidP="008F311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88E4" w14:textId="77777777" w:rsidR="007E509F" w:rsidRPr="00946C85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50737DFA" w14:textId="77777777" w:rsidR="007E509F" w:rsidRPr="00946C85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9B4B011" w14:textId="77777777" w:rsidR="007E509F" w:rsidRPr="00946C85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3D36A9F" w14:textId="77777777" w:rsidR="007E509F" w:rsidRPr="00946C85" w:rsidRDefault="007E509F" w:rsidP="008F311A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0AE25B7" w14:textId="77777777" w:rsidR="007E509F" w:rsidRPr="00946C85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33E989B0" w14:textId="77777777" w:rsidR="007E509F" w:rsidRPr="00946C85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0539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F592A58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ABA50DE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8BD1D25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7A13D105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+500,0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9454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FB54523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82A3BC3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7437ED6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36586CD" w14:textId="77777777" w:rsidR="007E509F" w:rsidRPr="00DE5DA7" w:rsidRDefault="007E509F" w:rsidP="008F311A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500,0</w:t>
            </w:r>
          </w:p>
        </w:tc>
      </w:tr>
      <w:tr w:rsidR="007E509F" w:rsidRPr="00946C85" w14:paraId="79BFDBE4" w14:textId="77777777" w:rsidTr="008F311A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CC4C" w14:textId="77777777" w:rsidR="007E509F" w:rsidRPr="00946C85" w:rsidRDefault="007E509F" w:rsidP="008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37BC" w14:textId="77777777" w:rsidR="007E509F" w:rsidRPr="00946C85" w:rsidRDefault="007E509F" w:rsidP="008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DCA6" w14:textId="77777777" w:rsidR="007E509F" w:rsidRPr="00946C85" w:rsidRDefault="007E509F" w:rsidP="008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18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885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8C5F" w14:textId="77777777" w:rsidR="007E509F" w:rsidRPr="00946C85" w:rsidRDefault="007E509F" w:rsidP="008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D79A" w14:textId="77777777" w:rsidR="007E509F" w:rsidRPr="00946C85" w:rsidRDefault="007E509F" w:rsidP="008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068A" w14:textId="77777777" w:rsidR="007E509F" w:rsidRPr="00946C85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9C92" w14:textId="77777777" w:rsidR="007E509F" w:rsidRPr="00702E60" w:rsidRDefault="007E509F" w:rsidP="008F311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702E6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+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 w:eastAsia="en-US"/>
              </w:rPr>
              <w:t>5</w:t>
            </w:r>
            <w:r w:rsidRPr="00702E6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6EF9" w14:textId="77777777" w:rsidR="007E509F" w:rsidRPr="00946C85" w:rsidRDefault="007E509F" w:rsidP="008F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 w:eastAsia="en-US"/>
              </w:rPr>
              <w:t>1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 w:eastAsia="en-U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85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0971" w14:textId="77777777" w:rsidR="007E509F" w:rsidRPr="00946C85" w:rsidRDefault="007E509F" w:rsidP="008F311A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1CBA" w14:textId="77777777" w:rsidR="007E509F" w:rsidRPr="00946C85" w:rsidRDefault="007E509F" w:rsidP="008F311A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063AF3D" w14:textId="77777777" w:rsidR="007E509F" w:rsidRDefault="007E509F" w:rsidP="007E509F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1B46A947" w14:textId="77777777" w:rsidR="007E509F" w:rsidRPr="00946C85" w:rsidRDefault="007E509F" w:rsidP="007E509F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00D8D4C6" w14:textId="77777777" w:rsidR="007E509F" w:rsidRDefault="007E509F" w:rsidP="007E509F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управління цивільного</w:t>
      </w:r>
    </w:p>
    <w:p w14:paraId="19676A74" w14:textId="77777777" w:rsidR="007E509F" w:rsidRDefault="007E509F" w:rsidP="007E509F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захисту, оборонної роботи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та </w:t>
      </w:r>
    </w:p>
    <w:p w14:paraId="2F6B924D" w14:textId="77777777" w:rsidR="007E509F" w:rsidRPr="00946C85" w:rsidRDefault="007E509F" w:rsidP="007E509F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взаємодії з правоохоронними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Василь ДОВГАНЬ</w:t>
      </w:r>
    </w:p>
    <w:p w14:paraId="4CD84EC1" w14:textId="77777777" w:rsidR="007E509F" w:rsidRPr="00946C85" w:rsidRDefault="007E509F" w:rsidP="007E50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E453EB" w14:textId="3EFA72ED" w:rsidR="009B7D79" w:rsidRPr="007E509F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7E509F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A7B30"/>
    <w:rsid w:val="00244FF9"/>
    <w:rsid w:val="003613A9"/>
    <w:rsid w:val="00361CD8"/>
    <w:rsid w:val="00525C68"/>
    <w:rsid w:val="005B1C08"/>
    <w:rsid w:val="005F334B"/>
    <w:rsid w:val="00696599"/>
    <w:rsid w:val="006C0F29"/>
    <w:rsid w:val="006C396C"/>
    <w:rsid w:val="0074644B"/>
    <w:rsid w:val="007E509F"/>
    <w:rsid w:val="007E7FBA"/>
    <w:rsid w:val="00827775"/>
    <w:rsid w:val="00881846"/>
    <w:rsid w:val="009B7D79"/>
    <w:rsid w:val="009C0EEF"/>
    <w:rsid w:val="00A218AE"/>
    <w:rsid w:val="00B35D4C"/>
    <w:rsid w:val="00B46089"/>
    <w:rsid w:val="00B6524A"/>
    <w:rsid w:val="00B80167"/>
    <w:rsid w:val="00BF6942"/>
    <w:rsid w:val="00D5049E"/>
    <w:rsid w:val="00D92C45"/>
    <w:rsid w:val="00DD7BFD"/>
    <w:rsid w:val="00EF32A5"/>
    <w:rsid w:val="00FA1C55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6062"/>
  <w15:docId w15:val="{80EAEE3D-9032-449A-BC9B-D5F8F0EB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5756</Words>
  <Characters>3282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19</cp:revision>
  <dcterms:created xsi:type="dcterms:W3CDTF">2021-03-03T14:03:00Z</dcterms:created>
  <dcterms:modified xsi:type="dcterms:W3CDTF">2025-03-06T07:01:00Z</dcterms:modified>
</cp:coreProperties>
</file>