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CF" w:rsidRDefault="007B32CF" w:rsidP="007B32C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7B32CF" w:rsidRDefault="007B32CF" w:rsidP="007B32CF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B32CF" w:rsidRDefault="007B32CF" w:rsidP="007B32C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2025-2029 роки»</w:t>
      </w:r>
    </w:p>
    <w:p w:rsidR="007B32CF" w:rsidRDefault="007B32CF" w:rsidP="007B32CF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B32CF" w:rsidRDefault="007B32CF" w:rsidP="007B32CF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7B32CF" w:rsidRDefault="007B32CF" w:rsidP="007B32CF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7B32CF" w:rsidRDefault="007B32CF" w:rsidP="007B32C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7B32CF" w:rsidRPr="00174E7E" w:rsidRDefault="007B32CF" w:rsidP="007B32CF">
      <w:pPr>
        <w:pStyle w:val="1"/>
        <w:ind w:firstLine="708"/>
        <w:jc w:val="both"/>
        <w:rPr>
          <w:sz w:val="28"/>
          <w:szCs w:val="28"/>
        </w:rPr>
      </w:pPr>
      <w:r w:rsidRPr="00174E7E">
        <w:rPr>
          <w:sz w:val="28"/>
          <w:szCs w:val="28"/>
        </w:rPr>
        <w:t>В зв’язку з обов’язковою необхідністю виконання повної поетапної реконструкції існуючих каналізаційних очисних споруд та покращенням системи біологічної очистки</w:t>
      </w:r>
      <w:r>
        <w:rPr>
          <w:sz w:val="28"/>
          <w:szCs w:val="28"/>
        </w:rPr>
        <w:t>,</w:t>
      </w:r>
      <w:r w:rsidRPr="00174E7E">
        <w:rPr>
          <w:sz w:val="28"/>
          <w:szCs w:val="28"/>
        </w:rPr>
        <w:t xml:space="preserve"> після завершення даної реконструкції використання </w:t>
      </w:r>
      <w:proofErr w:type="spellStart"/>
      <w:r w:rsidRPr="00174E7E">
        <w:rPr>
          <w:sz w:val="28"/>
          <w:szCs w:val="28"/>
        </w:rPr>
        <w:t>дороговартісних</w:t>
      </w:r>
      <w:proofErr w:type="spellEnd"/>
      <w:r w:rsidRPr="00174E7E">
        <w:rPr>
          <w:sz w:val="28"/>
          <w:szCs w:val="28"/>
        </w:rPr>
        <w:t xml:space="preserve"> стабілізованих бактеріальних сумішей та ферментів природного походження для очищення стічних вод</w:t>
      </w:r>
      <w:r>
        <w:rPr>
          <w:sz w:val="28"/>
          <w:szCs w:val="28"/>
        </w:rPr>
        <w:t xml:space="preserve"> зазначених в п. </w:t>
      </w:r>
      <w:r w:rsidRPr="0026019A">
        <w:rPr>
          <w:sz w:val="28"/>
          <w:szCs w:val="28"/>
        </w:rPr>
        <w:t>2.2.2. «Впровадження технології використання стабілізованих бактеріальних сумішей та ферментів природного походження для очищення стічних вод та зменшення осад» потребуватись</w:t>
      </w:r>
      <w:r w:rsidRPr="00174E7E">
        <w:rPr>
          <w:sz w:val="28"/>
          <w:szCs w:val="28"/>
        </w:rPr>
        <w:t xml:space="preserve"> не буде.</w:t>
      </w:r>
    </w:p>
    <w:p w:rsidR="007B32CF" w:rsidRPr="00174E7E" w:rsidRDefault="007B32CF" w:rsidP="007B32C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зв’язку з чим</w:t>
      </w:r>
      <w:r w:rsidRPr="00174E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виникає</w:t>
      </w:r>
      <w:r w:rsidRPr="00174E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необхідність у виконанні</w:t>
      </w:r>
      <w:r w:rsidRPr="00174E7E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 w:cs="Times New Roman"/>
          <w:sz w:val="28"/>
          <w:szCs w:val="28"/>
          <w:lang w:val="uk-UA"/>
        </w:rPr>
        <w:t>іт</w:t>
      </w:r>
      <w:r w:rsidRPr="00174E7E">
        <w:rPr>
          <w:rFonts w:ascii="Times New Roman" w:hAnsi="Times New Roman" w:cs="Times New Roman"/>
          <w:sz w:val="28"/>
          <w:szCs w:val="28"/>
          <w:lang w:val="uk-UA"/>
        </w:rPr>
        <w:t xml:space="preserve"> по розробленню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</w:t>
      </w:r>
      <w:r w:rsidR="000643A7"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174E7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643A7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74E7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643A7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74E7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643A7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74E7E">
        <w:rPr>
          <w:rFonts w:ascii="Times New Roman" w:hAnsi="Times New Roman" w:cs="Times New Roman"/>
          <w:sz w:val="28"/>
          <w:szCs w:val="28"/>
          <w:lang w:val="uk-UA"/>
        </w:rPr>
        <w:t xml:space="preserve"> в адміністративних межах </w:t>
      </w:r>
      <w:r w:rsidR="000643A7">
        <w:rPr>
          <w:rFonts w:ascii="Times New Roman" w:hAnsi="Times New Roman" w:cs="Times New Roman"/>
          <w:sz w:val="28"/>
          <w:szCs w:val="28"/>
          <w:lang w:val="uk-UA"/>
        </w:rPr>
        <w:t>**********</w:t>
      </w:r>
      <w:bookmarkStart w:id="0" w:name="_GoBack"/>
      <w:bookmarkEnd w:id="0"/>
      <w:r w:rsidRPr="00174E7E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Броварського району Київської області» з розбивкою на поетапне будівництво та введення в експлуатацію пусковими комплексами, що збільшить відсоток можливості отримання коштів для будівництва та пришвидшить реалізацію даного проекту.</w:t>
      </w:r>
    </w:p>
    <w:p w:rsidR="007B32CF" w:rsidRDefault="007B32CF" w:rsidP="007B32CF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16"/>
          <w:szCs w:val="16"/>
          <w:lang w:val="uk-UA" w:eastAsia="zh-CN"/>
        </w:rPr>
      </w:pPr>
    </w:p>
    <w:p w:rsidR="007B32CF" w:rsidRDefault="007B32CF" w:rsidP="007B32CF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7B32CF" w:rsidRDefault="007B32CF" w:rsidP="007B32C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коштів.</w:t>
      </w:r>
    </w:p>
    <w:p w:rsidR="007B32CF" w:rsidRDefault="007B32CF" w:rsidP="007B32C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7B32CF" w:rsidRDefault="007B32CF" w:rsidP="007B32C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7B32CF" w:rsidRDefault="007B32CF" w:rsidP="007B32C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7B32CF" w:rsidRDefault="007B32CF" w:rsidP="007B32C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7B32CF" w:rsidRDefault="007B32CF" w:rsidP="007B32C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7B32CF" w:rsidRDefault="007B32CF" w:rsidP="007B3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1" w:name="_Hlk151976974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2025 рік по Програмі</w:t>
      </w:r>
      <w:bookmarkEnd w:id="1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2025-2029 роки»</w:t>
      </w:r>
      <w:bookmarkStart w:id="2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                    </w:t>
      </w:r>
      <w:r w:rsidRPr="00C967ED">
        <w:rPr>
          <w:rFonts w:ascii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67ED">
        <w:rPr>
          <w:rFonts w:ascii="Times New Roman" w:hAnsi="Times New Roman" w:cs="Times New Roman"/>
          <w:sz w:val="28"/>
          <w:szCs w:val="28"/>
          <w:lang w:val="uk-UA"/>
        </w:rPr>
        <w:t>748,492</w:t>
      </w:r>
      <w:r w:rsidRPr="00C967ED">
        <w:rPr>
          <w:rFonts w:ascii="Times New Roman" w:hAnsi="Times New Roman"/>
          <w:sz w:val="28"/>
          <w:szCs w:val="28"/>
          <w:lang w:val="uk-UA" w:eastAsia="zh-CN"/>
        </w:rPr>
        <w:t xml:space="preserve"> тис. грн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bookmarkEnd w:id="2"/>
    <w:p w:rsidR="007B32CF" w:rsidRDefault="007B32CF" w:rsidP="007B32C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7B32CF" w:rsidRDefault="007B32CF" w:rsidP="007B32CF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7B32CF" w:rsidRPr="0026019A" w:rsidRDefault="007B32CF" w:rsidP="007B32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Розробка проектно-кошторисної документації.</w:t>
      </w:r>
    </w:p>
    <w:p w:rsidR="007B32CF" w:rsidRDefault="007B32CF" w:rsidP="007B32CF">
      <w:pPr>
        <w:spacing w:after="0" w:line="240" w:lineRule="auto"/>
        <w:ind w:firstLine="553"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</w:p>
    <w:p w:rsidR="007B32CF" w:rsidRDefault="007B32CF" w:rsidP="007B32CF">
      <w:pPr>
        <w:spacing w:after="0" w:line="240" w:lineRule="auto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:rsidR="007B32CF" w:rsidRDefault="007B32CF" w:rsidP="007B32CF">
      <w:pPr>
        <w:spacing w:after="0" w:line="240" w:lineRule="auto"/>
        <w:ind w:firstLine="553"/>
        <w:jc w:val="both"/>
        <w:rPr>
          <w:rFonts w:ascii="Times New Roman" w:hAnsi="Times New Roman" w:cstheme="minorHAnsi"/>
          <w:spacing w:val="-10"/>
          <w:sz w:val="28"/>
          <w:szCs w:val="28"/>
          <w:lang w:val="uk-UA"/>
        </w:rPr>
      </w:pPr>
      <w:bookmarkStart w:id="3" w:name="_Hlk151976952"/>
      <w:r>
        <w:rPr>
          <w:rFonts w:ascii="Times New Roman" w:hAnsi="Times New Roman" w:cstheme="minorHAnsi"/>
          <w:spacing w:val="-10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начальник Світлана РЕШЕТОВА, Лариса ФЕДОТЬЄВА 6-12-59.</w:t>
      </w:r>
    </w:p>
    <w:bookmarkEnd w:id="3"/>
    <w:p w:rsidR="007B32CF" w:rsidRDefault="007B32CF" w:rsidP="007B32CF">
      <w:pPr>
        <w:spacing w:after="0"/>
        <w:ind w:firstLine="55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B32CF" w:rsidRDefault="007B32CF" w:rsidP="007B32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B32CF" w:rsidRDefault="007B32CF" w:rsidP="007B32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B32CF" w:rsidRDefault="007B32CF" w:rsidP="007B32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p w:rsidR="007B32CF" w:rsidRPr="00C967ED" w:rsidRDefault="007B32CF" w:rsidP="007B32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5"/>
        <w:tblW w:w="9747" w:type="dxa"/>
        <w:tblInd w:w="0" w:type="dxa"/>
        <w:tblLook w:val="04A0" w:firstRow="1" w:lastRow="0" w:firstColumn="1" w:lastColumn="0" w:noHBand="0" w:noVBand="1"/>
      </w:tblPr>
      <w:tblGrid>
        <w:gridCol w:w="1475"/>
        <w:gridCol w:w="616"/>
        <w:gridCol w:w="1560"/>
        <w:gridCol w:w="2283"/>
        <w:gridCol w:w="616"/>
        <w:gridCol w:w="1560"/>
        <w:gridCol w:w="1637"/>
      </w:tblGrid>
      <w:tr w:rsidR="007B32CF" w:rsidRPr="00835636" w:rsidTr="00793546">
        <w:tc>
          <w:tcPr>
            <w:tcW w:w="3651" w:type="dxa"/>
            <w:gridSpan w:val="3"/>
          </w:tcPr>
          <w:p w:rsidR="007B32CF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</w:t>
            </w:r>
            <w:r w:rsidRPr="0083563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уло</w:t>
            </w:r>
          </w:p>
        </w:tc>
        <w:tc>
          <w:tcPr>
            <w:tcW w:w="4459" w:type="dxa"/>
            <w:gridSpan w:val="3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</w:t>
            </w:r>
            <w:r w:rsidRPr="0083563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тало</w:t>
            </w:r>
          </w:p>
        </w:tc>
        <w:tc>
          <w:tcPr>
            <w:tcW w:w="1637" w:type="dxa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3563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Зміни</w:t>
            </w:r>
          </w:p>
        </w:tc>
      </w:tr>
      <w:tr w:rsidR="007B32CF" w:rsidRPr="00835636" w:rsidTr="00793546">
        <w:tc>
          <w:tcPr>
            <w:tcW w:w="1475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3563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616" w:type="dxa"/>
            <w:vAlign w:val="center"/>
          </w:tcPr>
          <w:p w:rsidR="007B32CF" w:rsidRPr="00E53754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560" w:type="dxa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тис. грн.</w:t>
            </w:r>
          </w:p>
        </w:tc>
        <w:tc>
          <w:tcPr>
            <w:tcW w:w="2283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3563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Фінансування, тис. грн.</w:t>
            </w:r>
          </w:p>
        </w:tc>
        <w:tc>
          <w:tcPr>
            <w:tcW w:w="1637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Фінансування, тис. грн.</w:t>
            </w:r>
          </w:p>
        </w:tc>
      </w:tr>
      <w:tr w:rsidR="007B32CF" w:rsidRPr="00835636" w:rsidTr="00793546">
        <w:trPr>
          <w:trHeight w:val="728"/>
        </w:trPr>
        <w:tc>
          <w:tcPr>
            <w:tcW w:w="1475" w:type="dxa"/>
            <w:vMerge w:val="restart"/>
          </w:tcPr>
          <w:p w:rsidR="007B32CF" w:rsidRPr="00835636" w:rsidRDefault="007B32CF" w:rsidP="0079354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356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2.2.2</w:t>
            </w:r>
            <w:r w:rsidRPr="0083563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356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технології використання стабілізованих бактеріальних сумішей та ферментів природного походження для очищення стічних вод та зменшення осад</w:t>
            </w: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25 000,00</w:t>
            </w:r>
          </w:p>
        </w:tc>
        <w:tc>
          <w:tcPr>
            <w:tcW w:w="2283" w:type="dxa"/>
            <w:vMerge w:val="restart"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C4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2.2.2.</w:t>
            </w:r>
            <w:r w:rsidRPr="0083563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356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</w:t>
            </w:r>
            <w:r w:rsidR="00064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**********</w:t>
            </w:r>
            <w:r w:rsidRPr="008356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064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</w:t>
            </w:r>
            <w:r w:rsidRPr="008356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064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***</w:t>
            </w:r>
            <w:r w:rsidRPr="008356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064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****</w:t>
            </w:r>
            <w:r w:rsidRPr="008356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адміністративних межах </w:t>
            </w:r>
            <w:r w:rsidR="000643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**********</w:t>
            </w:r>
            <w:r w:rsidRPr="008356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територіальної громади Броварського району Київської області»</w:t>
            </w: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10 000,00</w:t>
            </w:r>
          </w:p>
        </w:tc>
        <w:tc>
          <w:tcPr>
            <w:tcW w:w="1637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lang w:val="uk-UA"/>
              </w:rPr>
              <w:sym w:font="Symbol" w:char="F02D"/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15 </w:t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000,00</w:t>
            </w:r>
          </w:p>
        </w:tc>
      </w:tr>
      <w:tr w:rsidR="007B32CF" w:rsidRPr="00835636" w:rsidTr="00793546">
        <w:trPr>
          <w:trHeight w:val="728"/>
        </w:trPr>
        <w:tc>
          <w:tcPr>
            <w:tcW w:w="1475" w:type="dxa"/>
            <w:vMerge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23 000,00</w:t>
            </w:r>
          </w:p>
        </w:tc>
        <w:tc>
          <w:tcPr>
            <w:tcW w:w="2283" w:type="dxa"/>
            <w:vMerge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1637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lang w:val="uk-UA"/>
              </w:rPr>
              <w:sym w:font="Symbol" w:char="F02D"/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000,00</w:t>
            </w:r>
          </w:p>
        </w:tc>
      </w:tr>
      <w:tr w:rsidR="007B32CF" w:rsidRPr="00835636" w:rsidTr="00793546">
        <w:trPr>
          <w:trHeight w:val="728"/>
        </w:trPr>
        <w:tc>
          <w:tcPr>
            <w:tcW w:w="1475" w:type="dxa"/>
            <w:vMerge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23 000,00</w:t>
            </w:r>
          </w:p>
        </w:tc>
        <w:tc>
          <w:tcPr>
            <w:tcW w:w="2283" w:type="dxa"/>
            <w:vMerge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1637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lang w:val="uk-UA"/>
              </w:rPr>
              <w:sym w:font="Symbol" w:char="F02D"/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000,00</w:t>
            </w:r>
          </w:p>
        </w:tc>
      </w:tr>
      <w:tr w:rsidR="007B32CF" w:rsidRPr="00835636" w:rsidTr="00793546">
        <w:trPr>
          <w:trHeight w:val="728"/>
        </w:trPr>
        <w:tc>
          <w:tcPr>
            <w:tcW w:w="1475" w:type="dxa"/>
            <w:vMerge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2028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23 000,00</w:t>
            </w:r>
          </w:p>
        </w:tc>
        <w:tc>
          <w:tcPr>
            <w:tcW w:w="2283" w:type="dxa"/>
            <w:vMerge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2028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1637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lang w:val="uk-UA"/>
              </w:rPr>
              <w:sym w:font="Symbol" w:char="F02D"/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000,00</w:t>
            </w:r>
          </w:p>
        </w:tc>
      </w:tr>
      <w:tr w:rsidR="007B32CF" w:rsidRPr="00835636" w:rsidTr="00793546">
        <w:trPr>
          <w:trHeight w:val="728"/>
        </w:trPr>
        <w:tc>
          <w:tcPr>
            <w:tcW w:w="1475" w:type="dxa"/>
            <w:vMerge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2029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23 000,00</w:t>
            </w:r>
          </w:p>
        </w:tc>
        <w:tc>
          <w:tcPr>
            <w:tcW w:w="2283" w:type="dxa"/>
            <w:vMerge/>
          </w:tcPr>
          <w:p w:rsidR="007B32CF" w:rsidRPr="00835636" w:rsidRDefault="007B32CF" w:rsidP="007935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2029</w:t>
            </w:r>
          </w:p>
        </w:tc>
        <w:tc>
          <w:tcPr>
            <w:tcW w:w="1560" w:type="dxa"/>
            <w:vAlign w:val="center"/>
          </w:tcPr>
          <w:p w:rsidR="007B32CF" w:rsidRPr="00835636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1637" w:type="dxa"/>
            <w:vAlign w:val="center"/>
          </w:tcPr>
          <w:p w:rsidR="007B32CF" w:rsidRPr="00E53754" w:rsidRDefault="007B32CF" w:rsidP="00793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lang w:val="uk-UA"/>
              </w:rPr>
              <w:sym w:font="Symbol" w:char="F02D"/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5375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000,00</w:t>
            </w:r>
          </w:p>
        </w:tc>
      </w:tr>
    </w:tbl>
    <w:p w:rsidR="007B32CF" w:rsidRDefault="007B32CF" w:rsidP="007B32C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B32CF" w:rsidRDefault="007B32CF" w:rsidP="007B32CF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32CF" w:rsidRDefault="007B32CF" w:rsidP="007B32CF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32CF" w:rsidRPr="00244FF9" w:rsidRDefault="007B32CF" w:rsidP="007B32C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Начальник управління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             Світлана РЕШЕТОВА</w:t>
      </w:r>
    </w:p>
    <w:p w:rsidR="009B7D79" w:rsidRPr="007B32CF" w:rsidRDefault="009B7D79" w:rsidP="007B32CF"/>
    <w:sectPr w:rsidR="009B7D79" w:rsidRPr="007B32C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643A7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B32CF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47BC"/>
  <w15:docId w15:val="{62F014D2-13BB-4025-8216-26B2AB80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B32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7B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15</cp:revision>
  <dcterms:created xsi:type="dcterms:W3CDTF">2021-03-03T14:03:00Z</dcterms:created>
  <dcterms:modified xsi:type="dcterms:W3CDTF">2025-03-07T08:35:00Z</dcterms:modified>
</cp:coreProperties>
</file>