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309C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ПС-94</w:t>
      </w: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730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spacing w:after="0"/>
        <w:rPr>
          <w:rFonts w:ascii="Times New Roman" w:hAnsi="Times New Roman"/>
          <w:sz w:val="28"/>
          <w:szCs w:val="28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1" w:name="_Hlk192110407"/>
      <w:r>
        <w:rPr>
          <w:rFonts w:ascii="Times New Roman" w:hAnsi="Times New Roman"/>
          <w:b/>
          <w:sz w:val="32"/>
          <w:szCs w:val="32"/>
          <w:lang w:eastAsia="ru-RU"/>
        </w:rPr>
        <w:t>ПРОГРАМА</w:t>
      </w:r>
      <w:bookmarkEnd w:id="1"/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bCs/>
          <w:sz w:val="32"/>
        </w:rPr>
        <w:t>забезпечення житлом деяких категорій громадян, які потребують поліпшення житлових умов на 2025 - 2030 роки</w:t>
      </w:r>
      <w:r>
        <w:rPr>
          <w:rFonts w:ascii="Times New Roman" w:hAnsi="Times New Roman"/>
          <w:sz w:val="32"/>
        </w:rPr>
        <w:t xml:space="preserve"> </w:t>
      </w: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м. Бровари </w:t>
      </w:r>
    </w:p>
    <w:p w:rsidR="007309C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2025 рік</w:t>
      </w:r>
    </w:p>
    <w:p w:rsidR="007309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numPr>
          <w:ilvl w:val="0"/>
          <w:numId w:val="2"/>
        </w:num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Паспорт Програми</w:t>
      </w:r>
    </w:p>
    <w:p w:rsidR="007309CD">
      <w:pPr>
        <w:spacing w:before="120"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320"/>
      </w:tblGrid>
      <w:tr>
        <w:tblPrEx>
          <w:tblW w:w="964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40"/>
        </w:trPr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0" w:type="dxa"/>
          </w:tcPr>
          <w:p w:rsidR="007309CD">
            <w:pPr>
              <w:tabs>
                <w:tab w:val="left" w:pos="-653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3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320" w:type="dxa"/>
          </w:tcPr>
          <w:p w:rsidR="007309CD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Управління з питань ветеранської політики Броварської міської ради Броварського району Київської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області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rPr>
          <w:trHeight w:val="936"/>
        </w:trPr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Учасники та виконавці Програми</w:t>
            </w:r>
          </w:p>
        </w:tc>
        <w:tc>
          <w:tcPr>
            <w:tcW w:w="5320" w:type="dxa"/>
          </w:tcPr>
          <w:p w:rsidR="007309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Управління з питань ветеранської політики Броварської міської ради Броварського району Київської області, управління з питань комунальної власності та житла Броварської міської ради Броварського району Київської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області,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rPr>
          <w:trHeight w:val="936"/>
        </w:trPr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Мета Програми </w:t>
            </w:r>
          </w:p>
        </w:tc>
        <w:tc>
          <w:tcPr>
            <w:tcW w:w="5320" w:type="dxa"/>
          </w:tcPr>
          <w:p w:rsidR="007309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Підвищення рівня забезпечення житлом деяких категорій громадян, які потребують поліпшення житлових умов 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Термін реалізац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ії Програми</w:t>
            </w:r>
          </w:p>
        </w:tc>
        <w:tc>
          <w:tcPr>
            <w:tcW w:w="53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 роки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rPr>
          <w:trHeight w:val="1139"/>
        </w:trPr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Фінансування Програми</w:t>
            </w:r>
          </w:p>
        </w:tc>
        <w:tc>
          <w:tcPr>
            <w:tcW w:w="53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Кошти місцевого бюджету, а також інші джерела, не заборонені чинним законодавством України.</w:t>
            </w:r>
          </w:p>
        </w:tc>
      </w:tr>
      <w:tr>
        <w:tblPrEx>
          <w:tblW w:w="9640" w:type="dxa"/>
          <w:tblInd w:w="-34" w:type="dxa"/>
          <w:tblLayout w:type="fixed"/>
          <w:tblLook w:val="01E0"/>
        </w:tblPrEx>
        <w:trPr>
          <w:trHeight w:val="1578"/>
        </w:trPr>
        <w:tc>
          <w:tcPr>
            <w:tcW w:w="72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00" w:type="dxa"/>
          </w:tcPr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Обсяг фінансування</w:t>
            </w:r>
          </w:p>
          <w:p w:rsidR="007309CD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320" w:type="dxa"/>
          </w:tcPr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Всього по Програмі – 97000,0 тис. грн., в тому числі :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рік – 10000,0 тис. </w:t>
            </w:r>
            <w:r>
              <w:rPr>
                <w:rFonts w:ascii="Times New Roman" w:hAnsi="Times New Roman"/>
                <w:sz w:val="28"/>
              </w:rPr>
              <w:t>грн.;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рік – 12000,0 тис. грн.;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рік – 15000,0 тис. грн.;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рік – 17000,0 тис. грн.;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рік – 20000,0 тис. грн.;</w:t>
            </w:r>
          </w:p>
          <w:p w:rsidR="007309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рік – 23000,0 тис. грн.</w:t>
            </w:r>
          </w:p>
        </w:tc>
      </w:tr>
    </w:tbl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7309C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2.Загальні положення</w:t>
      </w:r>
    </w:p>
    <w:p w:rsidR="007309CD">
      <w:pPr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28"/>
          <w:lang w:eastAsia="ru-RU"/>
        </w:rPr>
      </w:pPr>
    </w:p>
    <w:p w:rsidR="007309CD">
      <w:pPr>
        <w:spacing w:after="0" w:line="240" w:lineRule="auto"/>
        <w:ind w:firstLine="5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"/>
          <w:szCs w:val="2"/>
          <w:lang w:eastAsia="ru-RU"/>
        </w:rPr>
        <w:t>\\\\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Заходи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рограми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</w:rPr>
        <w:t xml:space="preserve">забезпечення житлом деяких категорій громадян, які потребують поліпшення житлових умов на 2025 - 2030 роки  </w:t>
      </w:r>
      <w:r>
        <w:rPr>
          <w:rFonts w:ascii="Times New Roman" w:hAnsi="Times New Roman"/>
          <w:sz w:val="28"/>
          <w:szCs w:val="28"/>
          <w:lang w:eastAsia="ru-RU"/>
        </w:rPr>
        <w:t>( далі –</w:t>
      </w:r>
      <w:r>
        <w:rPr>
          <w:rFonts w:ascii="Times New Roman" w:hAnsi="Times New Roman"/>
          <w:sz w:val="28"/>
          <w:lang w:eastAsia="ru-RU"/>
        </w:rPr>
        <w:t xml:space="preserve"> Програма</w:t>
      </w:r>
      <w:r>
        <w:rPr>
          <w:rFonts w:ascii="Times New Roman" w:hAnsi="Times New Roman"/>
          <w:sz w:val="28"/>
          <w:szCs w:val="28"/>
          <w:lang w:eastAsia="ru-RU"/>
        </w:rPr>
        <w:t>) спрямовані на забезпечення реалізації Законів України «Про статус ветеранів війни, гарантії їх соціального захисту», «Про місцеве</w:t>
      </w:r>
      <w:r>
        <w:rPr>
          <w:rFonts w:ascii="Times New Roman" w:hAnsi="Times New Roman"/>
          <w:sz w:val="28"/>
          <w:szCs w:val="28"/>
          <w:lang w:eastAsia="ru-RU"/>
        </w:rPr>
        <w:t xml:space="preserve"> самоврядування в Україні», Житлового кодексу України.</w:t>
      </w:r>
    </w:p>
    <w:p w:rsidR="007309CD">
      <w:pPr>
        <w:spacing w:after="0" w:line="240" w:lineRule="auto"/>
        <w:ind w:firstLine="5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Реалізація Програми здійснюватиметься шляхом виплати грошової компенсації придбання житла учасникам бойових дій та особам з інвалідністю ІІІ групи, яка настала внаслідок поранення, контузії, каліцтва а</w:t>
      </w:r>
      <w:r>
        <w:rPr>
          <w:rFonts w:ascii="Times New Roman" w:hAnsi="Times New Roman"/>
          <w:sz w:val="28"/>
          <w:lang w:eastAsia="ru-RU"/>
        </w:rPr>
        <w:t>бо захворювання, пов’язаних із захистом Батьківщини (далі - грошова компенсація).</w:t>
      </w:r>
    </w:p>
    <w:p w:rsidR="007309CD">
      <w:pPr>
        <w:spacing w:after="0" w:line="240" w:lineRule="auto"/>
        <w:ind w:firstLine="57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Розмір грошової компенсації розраховується за формулою визначеною </w:t>
      </w:r>
      <w:hyperlink r:id="rId4" w:anchor="n33">
        <w:r>
          <w:rPr>
            <w:rStyle w:val="Hyperlink"/>
            <w:rFonts w:ascii="Times New Roman" w:hAnsi="Times New Roman"/>
            <w:iCs/>
            <w:color w:val="auto"/>
            <w:sz w:val="28"/>
            <w:szCs w:val="28"/>
            <w:u w:val="none"/>
          </w:rPr>
          <w:t>Порядком </w:t>
        </w:r>
      </w:hyperlink>
      <w:hyperlink r:id="rId4" w:anchor="n33">
        <w:r>
          <w:rPr>
            <w:rStyle w:val="Hyperlink"/>
            <w:rFonts w:ascii="Times New Roman" w:hAnsi="Times New Roman"/>
            <w:iCs/>
            <w:color w:val="auto"/>
            <w:sz w:val="28"/>
            <w:szCs w:val="28"/>
            <w:u w:val="none"/>
          </w:rPr>
          <w:t>виплати грошової компенсації</w:t>
        </w:r>
      </w:hyperlink>
      <w:r>
        <w:rPr>
          <w:rFonts w:ascii="Times New Roman" w:hAnsi="Times New Roman"/>
          <w:iCs/>
          <w:sz w:val="28"/>
          <w:szCs w:val="28"/>
        </w:rPr>
        <w:t xml:space="preserve"> 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</w:t>
      </w:r>
      <w:r>
        <w:rPr>
          <w:rFonts w:ascii="Times New Roman" w:hAnsi="Times New Roman"/>
          <w:iCs/>
          <w:sz w:val="28"/>
          <w:szCs w:val="28"/>
        </w:rPr>
        <w:t>затвердженим постановою Кабінету Міністрів України від 19.10.2016 р. № 719</w:t>
      </w:r>
      <w:r>
        <w:rPr>
          <w:rFonts w:ascii="Times New Roman" w:hAnsi="Times New Roman"/>
          <w:sz w:val="28"/>
        </w:rPr>
        <w:t>.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Відповідно до ст. 47 Конституції України держава створює умови, за яких кожний громадянин матиме змогу побудувати житло, придбати його у власність або взяти в оренду. Громадянам, я</w:t>
      </w:r>
      <w:r>
        <w:rPr>
          <w:rFonts w:ascii="Times New Roman" w:hAnsi="Times New Roman"/>
          <w:sz w:val="28"/>
          <w:szCs w:val="28"/>
          <w:lang w:eastAsia="ru-RU"/>
        </w:rPr>
        <w:t>кі потребують соціального захисту, житло надається державою та органами місцевого самоврядування безоплатно або за доступну для них плату відповідно до закону.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Оскільки в умовах сьогодення держава не в змозі у повній мірі забезпечити громадян, які потребую</w:t>
      </w:r>
      <w:r>
        <w:rPr>
          <w:rFonts w:ascii="Times New Roman" w:hAnsi="Times New Roman"/>
          <w:sz w:val="28"/>
          <w:szCs w:val="28"/>
          <w:lang w:eastAsia="ru-RU"/>
        </w:rPr>
        <w:t>ть поліпшення житлових умов, безкоштовним житлом, існує необхідність в пошуку альтернативних джерел фінансування в тому числі залучення коштів з місцевого бюджету.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Крім того починаючи з 2014 року пріоритетним напрямком соціального спрямування є забезпеченн</w:t>
      </w:r>
      <w:r>
        <w:rPr>
          <w:rFonts w:ascii="Times New Roman" w:hAnsi="Times New Roman"/>
          <w:sz w:val="28"/>
          <w:szCs w:val="28"/>
          <w:lang w:eastAsia="ru-RU"/>
        </w:rPr>
        <w:t xml:space="preserve">я житлом черговиків з числа учасників бойових дій залучених до АТО/ООС та заходів по забезпеченню відсічі збройної агресії російської федерації (в тому числі тих, хто має інвалідність пов’язану із захистом Батьківщини). 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Станом на 01.03.2025 року на кварти</w:t>
      </w:r>
      <w:r>
        <w:rPr>
          <w:rFonts w:ascii="Times New Roman" w:hAnsi="Times New Roman"/>
          <w:sz w:val="28"/>
          <w:szCs w:val="28"/>
          <w:lang w:eastAsia="ru-RU"/>
        </w:rPr>
        <w:t xml:space="preserve">рному обліку в Броварській міській територіальній громаді Київської області перебуває 679 сімей з числа учасників бойових дій, визначених постановою Кабінету Міністрів України від 20.08.2014 № 413, з них: </w:t>
      </w:r>
    </w:p>
    <w:p w:rsidR="007309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учасники бойових дій – 539 сімей;</w:t>
      </w:r>
    </w:p>
    <w:p w:rsidR="007309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учасники бойових</w:t>
      </w:r>
      <w:r>
        <w:rPr>
          <w:rFonts w:ascii="Times New Roman" w:hAnsi="Times New Roman"/>
          <w:sz w:val="28"/>
          <w:szCs w:val="28"/>
          <w:lang w:eastAsia="ru-RU"/>
        </w:rPr>
        <w:t xml:space="preserve"> дій з числа внутрішньо переміщених осіб – 125 сімей;</w:t>
      </w:r>
    </w:p>
    <w:p w:rsidR="007309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особи з інвалідністю внаслідок війни ІІІ групи, </w:t>
      </w:r>
      <w:r>
        <w:rPr>
          <w:rFonts w:ascii="Times New Roman" w:hAnsi="Times New Roman"/>
          <w:sz w:val="28"/>
          <w:szCs w:val="28"/>
        </w:rPr>
        <w:t>яка настала внаслідок поранення, контузії, каліцтва або захворювання, пов’язаних із захистом Батьківщини</w:t>
      </w:r>
      <w:r>
        <w:rPr>
          <w:rFonts w:ascii="Times New Roman" w:hAnsi="Times New Roman"/>
          <w:sz w:val="28"/>
          <w:szCs w:val="28"/>
          <w:lang w:eastAsia="ru-RU"/>
        </w:rPr>
        <w:t xml:space="preserve"> – 13 сімей;</w:t>
      </w:r>
    </w:p>
    <w:p w:rsidR="007309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особи з інвалідністю внаслідок війни </w:t>
      </w:r>
      <w:r>
        <w:rPr>
          <w:rFonts w:ascii="Times New Roman" w:hAnsi="Times New Roman"/>
          <w:sz w:val="28"/>
          <w:szCs w:val="28"/>
          <w:lang w:eastAsia="ru-RU"/>
        </w:rPr>
        <w:t xml:space="preserve">3 групи, </w:t>
      </w:r>
      <w:r>
        <w:rPr>
          <w:rFonts w:ascii="Times New Roman" w:hAnsi="Times New Roman"/>
          <w:sz w:val="28"/>
          <w:szCs w:val="28"/>
        </w:rPr>
        <w:t xml:space="preserve">яка настала внаслідок поранення, контузії, каліцтва або захворювання, пов’язаних із захистом Батьківщини з </w:t>
      </w:r>
      <w:r>
        <w:rPr>
          <w:rFonts w:ascii="Times New Roman" w:hAnsi="Times New Roman"/>
          <w:sz w:val="28"/>
          <w:szCs w:val="28"/>
          <w:lang w:eastAsia="ru-RU"/>
        </w:rPr>
        <w:t>числа внутрішньо переміщених осіб – 2 сім’ї.</w:t>
      </w:r>
    </w:p>
    <w:p w:rsidR="007309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Програма спрямована на підтримку:</w:t>
      </w:r>
    </w:p>
    <w:p w:rsidR="007309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учасників бойових дій, які приймали безпосередню участь в </w:t>
      </w:r>
      <w:r>
        <w:rPr>
          <w:rFonts w:ascii="Times New Roman" w:hAnsi="Times New Roman"/>
          <w:sz w:val="28"/>
          <w:szCs w:val="28"/>
          <w:lang w:eastAsia="ru-RU"/>
        </w:rPr>
        <w:t>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</w:t>
      </w:r>
      <w:r>
        <w:rPr>
          <w:rFonts w:ascii="Times New Roman" w:hAnsi="Times New Roman"/>
          <w:sz w:val="28"/>
          <w:szCs w:val="28"/>
          <w:lang w:eastAsia="ru-RU"/>
        </w:rPr>
        <w:t>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</w:t>
      </w:r>
      <w:r>
        <w:rPr>
          <w:rFonts w:ascii="Times New Roman" w:hAnsi="Times New Roman"/>
          <w:sz w:val="28"/>
          <w:szCs w:val="28"/>
          <w:lang w:eastAsia="ru-RU"/>
        </w:rPr>
        <w:t>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роки;</w:t>
      </w:r>
    </w:p>
    <w:p w:rsidR="007309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осіб з інвалідністю внаслідок війни ІІІ групи, інвалідність яких настала внаслід</w:t>
      </w:r>
      <w:r>
        <w:rPr>
          <w:rFonts w:ascii="Times New Roman" w:hAnsi="Times New Roman"/>
          <w:sz w:val="28"/>
          <w:szCs w:val="28"/>
          <w:lang w:eastAsia="ru-RU"/>
        </w:rPr>
        <w:t>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</w:t>
      </w:r>
      <w:r>
        <w:rPr>
          <w:rFonts w:ascii="Times New Roman" w:hAnsi="Times New Roman"/>
          <w:sz w:val="28"/>
          <w:szCs w:val="28"/>
          <w:lang w:eastAsia="ru-RU"/>
        </w:rPr>
        <w:t>ітеті Броварської міської ради Броварського району Київської області не менше ніж три роки;</w:t>
      </w:r>
      <w:r>
        <w:rPr>
          <w:rFonts w:ascii="Times New Roman" w:hAnsi="Times New Roman"/>
          <w:sz w:val="28"/>
          <w:lang w:eastAsia="ru-RU"/>
        </w:rPr>
        <w:t xml:space="preserve"> </w:t>
      </w:r>
    </w:p>
    <w:p w:rsidR="007309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внутрішньо переміщених осіб, з числа учасників бойових дій або осіб з інвалідністю ІІІ групи, визначених постановою Кабінету Міністрів України від 20.08.2014 № 413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sz w:val="28"/>
          <w:shd w:val="clear" w:color="auto" w:fill="FFFFFF"/>
        </w:rPr>
        <w:t xml:space="preserve">які перебувають на квартирному обліку </w:t>
      </w:r>
      <w:r>
        <w:rPr>
          <w:rFonts w:ascii="Times New Roman" w:hAnsi="Times New Roman"/>
          <w:sz w:val="28"/>
        </w:rPr>
        <w:t>у виконавчому комітеті Броварської міської ради Броварського району Київської області не менше трьох років,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 і</w:t>
      </w:r>
      <w:r>
        <w:rPr>
          <w:rFonts w:ascii="Times New Roman" w:hAnsi="Times New Roman"/>
          <w:sz w:val="28"/>
          <w:shd w:val="clear" w:color="auto" w:fill="FFFFFF"/>
        </w:rPr>
        <w:t xml:space="preserve"> на час призначення грошової компенсації перебувають на обліку, як  внутрішньо переміщені особи громади не </w:t>
      </w:r>
      <w:r>
        <w:rPr>
          <w:rFonts w:ascii="Times New Roman" w:hAnsi="Times New Roman"/>
          <w:sz w:val="28"/>
          <w:shd w:val="clear" w:color="auto" w:fill="FFFFFF"/>
        </w:rPr>
        <w:t xml:space="preserve">менше трьох років та інформацію про яких включено до Єдиної інформаційної бази даних про внутрішньо переміщених осіб. </w:t>
      </w:r>
    </w:p>
    <w:p w:rsidR="007309CD">
      <w:pPr>
        <w:pStyle w:val="ListParagraph"/>
        <w:numPr>
          <w:ilvl w:val="0"/>
          <w:numId w:val="5"/>
        </w:num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 Програми</w:t>
      </w:r>
    </w:p>
    <w:p w:rsidR="007309CD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eastAsia="ru-RU"/>
        </w:rPr>
      </w:pP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Основною метою Програми є: створення належних умов для забезпечення деяких категорій громадян житлом, які зареєстровані 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проживають на території Броварської міської територіальної громади Київської області, та потребують поліпшення житлових умов відповідно до законодавства, шляхом надання їм грошової компенсації</w:t>
      </w:r>
      <w:r>
        <w:rPr>
          <w:rFonts w:ascii="Times New Roman" w:hAnsi="Times New Roman"/>
          <w:sz w:val="28"/>
          <w:lang w:eastAsia="ru-RU"/>
        </w:rPr>
        <w:t xml:space="preserve"> для придбання у власність житлового приміщення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09C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Завдання П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рограми</w:t>
      </w:r>
    </w:p>
    <w:p w:rsidR="007309CD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4"/>
          <w:szCs w:val="4"/>
          <w:lang w:eastAsia="ru-RU"/>
        </w:rPr>
      </w:pP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7309C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реалізація конституційного права та соціальних гарантій, установлених законодавством, щодо забезпечення житлом ветеранів війни, осіб з інвалідністю внаслідок війни ІІІ групи, внутрішньо переміщених осіб з числа уча</w:t>
      </w:r>
      <w:r>
        <w:rPr>
          <w:rFonts w:ascii="Times New Roman" w:hAnsi="Times New Roman"/>
          <w:sz w:val="28"/>
          <w:szCs w:val="28"/>
          <w:lang w:eastAsia="ru-RU"/>
        </w:rPr>
        <w:t>сників бойових дій та осіб з інвалідністю внаслідок війни;</w:t>
      </w:r>
    </w:p>
    <w:p w:rsidR="007309C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сприяння збереженню наявних робочих місць та створенню нових робочих місць за рахунок розв’язання соціально-побутової проблеми забезпечення житлом;</w:t>
      </w:r>
    </w:p>
    <w:p w:rsidR="007309C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Roboto" w:hAnsi="Roboto"/>
          <w:color w:val="333333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забезпечення</w:t>
      </w:r>
      <w:r>
        <w:rPr>
          <w:rFonts w:ascii="Roboto" w:hAnsi="Roboto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успішності реінтеграції у соціально</w:t>
      </w:r>
      <w:r>
        <w:rPr>
          <w:rFonts w:ascii="Times New Roman" w:hAnsi="Times New Roman"/>
          <w:sz w:val="28"/>
          <w:shd w:val="clear" w:color="auto" w:fill="FFFFFF"/>
        </w:rPr>
        <w:t xml:space="preserve">-економічне життя громади, до якої повертається ветеран, в частині законодавчого права на отримання житла; </w:t>
      </w:r>
    </w:p>
    <w:p w:rsidR="007309C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зменшення кількості осіб, які перебувають на квартирному обліку.</w:t>
      </w:r>
    </w:p>
    <w:p w:rsidR="007309C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09C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Очікувані результати</w:t>
      </w: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Реалізація заходів Програми забезпечить:</w:t>
      </w:r>
    </w:p>
    <w:p w:rsidR="007309C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посилення </w:t>
      </w:r>
      <w:r>
        <w:rPr>
          <w:rFonts w:ascii="Times New Roman" w:hAnsi="Times New Roman"/>
          <w:sz w:val="28"/>
          <w:szCs w:val="28"/>
        </w:rPr>
        <w:t>соціальної підтримки покращить добробут та якість життя, поєднає зусилля органів державної виконавчої влади та місцевого самоврядування в частині забезпечення певних категорій громадян власним житлом;</w:t>
      </w:r>
    </w:p>
    <w:p w:rsidR="007309C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створить умови щодо доступності придбання житла громадя</w:t>
      </w:r>
      <w:r>
        <w:rPr>
          <w:rFonts w:ascii="Times New Roman" w:hAnsi="Times New Roman"/>
          <w:sz w:val="28"/>
          <w:szCs w:val="28"/>
        </w:rPr>
        <w:t>нами, які його потребують та не мають фінансової спроможності забезпечити дану потребу;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309C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сприятиме зняттю соціальної напруги пов’язаної з недостатнім забезпеченням власним житлом;</w:t>
      </w:r>
    </w:p>
    <w:p w:rsidR="007309C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скоротить кількість громадян, які перебувають на квартирному обліку та збіль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шить частку громадян, які зможуть вирішити своє житлове питання.</w:t>
      </w:r>
    </w:p>
    <w:p w:rsidR="007309CD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09CD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Заходи Програми та їх фінансування</w:t>
      </w:r>
    </w:p>
    <w:p w:rsidR="007309CD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"/>
          <w:szCs w:val="2"/>
          <w:lang w:eastAsia="ru-RU"/>
        </w:rPr>
      </w:pPr>
    </w:p>
    <w:p w:rsidR="007309C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6.1. Першочергове визначення потреб сімей ветеранів війни, учасників бойових дій з числа осіб з інвалідністю внаслідок війни, в тому числі внутрішньо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переміщених осіб.</w:t>
      </w:r>
    </w:p>
    <w:p w:rsidR="007309C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КЗ «Броварський міський ветеранський центр «ВЕТЕРАН ПРО»</w:t>
      </w:r>
    </w:p>
    <w:p w:rsidR="007309CD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ru-RU" w:eastAsia="ru-RU"/>
        </w:rPr>
        <w:t>з питань ветерансько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політики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</w:p>
    <w:p w:rsidR="007309CD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Ведення обліку звернень заявників та інформації про використання ними </w:t>
      </w:r>
      <w:r>
        <w:rPr>
          <w:rFonts w:ascii="Times New Roman" w:hAnsi="Times New Roman"/>
          <w:sz w:val="28"/>
          <w:szCs w:val="28"/>
          <w:lang w:eastAsia="ru-RU"/>
        </w:rPr>
        <w:t>грошової компенсації.</w:t>
      </w:r>
    </w:p>
    <w:p w:rsidR="007309CD">
      <w:pPr>
        <w:spacing w:before="120"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Управління з питань ветеранської політики Броварської міської ради Броварського району Київської області</w:t>
      </w:r>
    </w:p>
    <w:p w:rsidR="007309CD">
      <w:pPr>
        <w:spacing w:before="120" w:after="0" w:line="240" w:lineRule="auto"/>
        <w:ind w:left="4502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</w:t>
      </w:r>
      <w:r w:rsidR="00BD2C2D">
        <w:rPr>
          <w:rFonts w:ascii="Times New Roman" w:hAnsi="Times New Roman"/>
          <w:sz w:val="28"/>
          <w:szCs w:val="28"/>
          <w:lang w:eastAsia="ru-RU"/>
        </w:rPr>
        <w:t xml:space="preserve">Взяття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на квартирний облік у виконавчому комітеті Броварської міської ради 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7309CD">
      <w:pPr>
        <w:spacing w:before="120"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Управління з питань комунальної власності та житла Броварської міської ради Броварського району Київської області</w:t>
      </w:r>
    </w:p>
    <w:p w:rsidR="007309CD">
      <w:pPr>
        <w:spacing w:before="120"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6.4. Зняття з квартирного обліку у виконавчому комітеті Броварської міської ради Броварського району Київської області.</w:t>
      </w:r>
    </w:p>
    <w:p w:rsidR="007309CD">
      <w:pPr>
        <w:spacing w:before="120"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</w:t>
      </w:r>
      <w:r>
        <w:rPr>
          <w:rFonts w:ascii="Times New Roman" w:hAnsi="Times New Roman"/>
          <w:sz w:val="28"/>
          <w:szCs w:val="28"/>
          <w:lang w:eastAsia="ru-RU"/>
        </w:rPr>
        <w:t>равління з питань комунальної власності та житла Броварської міської ради Броварського району Київської області</w:t>
      </w:r>
    </w:p>
    <w:p w:rsidR="007309CD">
      <w:pPr>
        <w:spacing w:before="120"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6.5. Надання інформації про термін перебування на обліку внутрішньо переміщеної особи в Єдиній інформаційні базі даних про внутрішньо переміщен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 осіб.</w:t>
      </w:r>
    </w:p>
    <w:p w:rsidR="007309CD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ru-RU" w:eastAsia="ru-RU"/>
        </w:rPr>
        <w:t>соціального захисту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населення Броварської міської ради Броварського району Київської області</w:t>
      </w:r>
    </w:p>
    <w:p w:rsidR="007309CD">
      <w:pPr>
        <w:spacing w:before="120" w:after="0" w:line="240" w:lineRule="auto"/>
        <w:ind w:left="4502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6.6. </w:t>
      </w:r>
      <w:r>
        <w:rPr>
          <w:rFonts w:ascii="Times New Roman" w:hAnsi="Times New Roman"/>
          <w:sz w:val="28"/>
          <w:szCs w:val="28"/>
        </w:rPr>
        <w:t>Щорічний перерахунок розміру призначеної грошової компенсації  з урахуванням показників опосередкованої вартості житла за регіонами України, визначених Мінінфраструктури станом на 1 січня поточного року, за умови що грошова компенсація не виплачена.</w:t>
      </w:r>
    </w:p>
    <w:p w:rsidR="007309CD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92108484"/>
      <w:r>
        <w:rPr>
          <w:rFonts w:ascii="Times New Roman" w:hAnsi="Times New Roman"/>
          <w:sz w:val="28"/>
          <w:szCs w:val="28"/>
          <w:lang w:eastAsia="ru-RU"/>
        </w:rPr>
        <w:t>Управл</w:t>
      </w:r>
      <w:r>
        <w:rPr>
          <w:rFonts w:ascii="Times New Roman" w:hAnsi="Times New Roman"/>
          <w:sz w:val="28"/>
          <w:szCs w:val="28"/>
          <w:lang w:eastAsia="ru-RU"/>
        </w:rPr>
        <w:t xml:space="preserve">іння </w:t>
      </w:r>
      <w:r>
        <w:rPr>
          <w:rFonts w:ascii="Times New Roman" w:hAnsi="Times New Roman"/>
          <w:sz w:val="28"/>
          <w:szCs w:val="28"/>
          <w:lang w:val="ru-RU" w:eastAsia="ru-RU"/>
        </w:rPr>
        <w:t>з питань ветерансько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політики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</w:p>
    <w:bookmarkEnd w:id="3"/>
    <w:p w:rsidR="007309C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 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</w:t>
      </w:r>
      <w:r>
        <w:rPr>
          <w:rFonts w:ascii="Times New Roman" w:hAnsi="Times New Roman"/>
          <w:sz w:val="28"/>
          <w:szCs w:val="28"/>
          <w:lang w:eastAsia="ru-RU"/>
        </w:rPr>
        <w:t>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</w:t>
      </w:r>
      <w:r>
        <w:rPr>
          <w:rFonts w:ascii="Times New Roman" w:hAnsi="Times New Roman"/>
          <w:sz w:val="28"/>
          <w:szCs w:val="28"/>
          <w:lang w:eastAsia="ru-RU"/>
        </w:rPr>
        <w:t>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</w:t>
      </w:r>
      <w:r>
        <w:rPr>
          <w:rFonts w:ascii="Times New Roman" w:hAnsi="Times New Roman"/>
          <w:sz w:val="28"/>
          <w:szCs w:val="28"/>
          <w:lang w:eastAsia="ru-RU"/>
        </w:rPr>
        <w:t>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</w:r>
    </w:p>
    <w:p w:rsidR="007309C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ru-RU" w:eastAsia="ru-RU"/>
        </w:rPr>
        <w:t>з питань ветерансько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політики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Броварської міської ради Броварського р</w:t>
      </w:r>
      <w:r>
        <w:rPr>
          <w:rFonts w:ascii="Times New Roman" w:hAnsi="Times New Roman"/>
          <w:sz w:val="28"/>
          <w:szCs w:val="28"/>
          <w:lang w:eastAsia="ru-RU"/>
        </w:rPr>
        <w:t>айону Київської області</w:t>
      </w:r>
    </w:p>
    <w:p w:rsidR="007309CD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6.8. 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</w:t>
      </w:r>
      <w:r>
        <w:rPr>
          <w:rFonts w:ascii="Times New Roman" w:hAnsi="Times New Roman"/>
          <w:sz w:val="28"/>
          <w:szCs w:val="28"/>
          <w:lang w:eastAsia="ru-RU"/>
        </w:rPr>
        <w:t xml:space="preserve">14 ч. 2 </w:t>
      </w:r>
      <w:r>
        <w:rPr>
          <w:rFonts w:ascii="Times New Roman" w:hAnsi="Times New Roman"/>
          <w:sz w:val="28"/>
          <w:szCs w:val="28"/>
          <w:lang w:eastAsia="ru-RU"/>
        </w:rPr>
        <w:t>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</w:t>
      </w:r>
      <w:r>
        <w:rPr>
          <w:rFonts w:ascii="Times New Roman" w:hAnsi="Times New Roman"/>
          <w:sz w:val="28"/>
          <w:szCs w:val="28"/>
          <w:lang w:eastAsia="ru-RU"/>
        </w:rPr>
        <w:t>тверджується в установленому порядку.</w:t>
      </w:r>
    </w:p>
    <w:p w:rsidR="007309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09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_Hlk192109146"/>
      <w:r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ru-RU" w:eastAsia="ru-RU"/>
        </w:rPr>
        <w:t>з питань ветерансько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політики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</w:p>
    <w:bookmarkEnd w:id="4"/>
    <w:p w:rsidR="007309C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309CD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6.9. Виплата грошової компенсації </w:t>
      </w:r>
      <w:r>
        <w:rPr>
          <w:iCs/>
          <w:sz w:val="28"/>
          <w:szCs w:val="28"/>
          <w:shd w:val="clear" w:color="auto" w:fill="FFFFFF"/>
          <w:lang w:val="uk-UA"/>
        </w:rPr>
        <w:t xml:space="preserve">внутрішньо переміщеним особам, з числа учасників бойових дій або осіб з </w:t>
      </w:r>
      <w:r>
        <w:rPr>
          <w:iCs/>
          <w:sz w:val="28"/>
          <w:szCs w:val="28"/>
          <w:shd w:val="clear" w:color="auto" w:fill="FFFFFF"/>
          <w:lang w:val="uk-UA"/>
        </w:rPr>
        <w:t>інвалідністю ІІІ групи,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визначених постановою Кабінету Міністрів України від 20.08.2014 № 413,  які перебувають на квартирному обліку </w:t>
      </w:r>
      <w:r>
        <w:rPr>
          <w:sz w:val="28"/>
          <w:szCs w:val="28"/>
          <w:lang w:val="uk-UA"/>
        </w:rPr>
        <w:t xml:space="preserve">у виконавчому комітеті Броварської міської ради Броварського району Київської області </w:t>
      </w:r>
      <w:r>
        <w:rPr>
          <w:iCs/>
          <w:sz w:val="28"/>
          <w:szCs w:val="28"/>
          <w:shd w:val="clear" w:color="auto" w:fill="FFFFFF"/>
          <w:lang w:val="uk-UA"/>
        </w:rPr>
        <w:t xml:space="preserve">не менше трьох років, </w:t>
      </w:r>
      <w:r>
        <w:rPr>
          <w:color w:val="333333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 на час при</w:t>
      </w:r>
      <w:r>
        <w:rPr>
          <w:sz w:val="28"/>
          <w:szCs w:val="28"/>
          <w:shd w:val="clear" w:color="auto" w:fill="FFFFFF"/>
          <w:lang w:val="uk-UA"/>
        </w:rPr>
        <w:t xml:space="preserve">значення грошової компенсації перебувають на обліку, як  внутрішньо переміщені особи громади не менше трьох років, </w:t>
      </w:r>
      <w:bookmarkStart w:id="5" w:name="_Hlk192109230"/>
      <w:r>
        <w:rPr>
          <w:sz w:val="28"/>
          <w:szCs w:val="28"/>
          <w:shd w:val="clear" w:color="auto" w:fill="FFFFFF"/>
          <w:lang w:val="uk-UA"/>
        </w:rPr>
        <w:t>інформація про яких включено до Єдиної інформаційної бази даних  внутрішньо переміщених осіб</w:t>
      </w:r>
      <w:bookmarkEnd w:id="5"/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згідно положення, що затверджується в установле</w:t>
      </w:r>
      <w:r>
        <w:rPr>
          <w:sz w:val="28"/>
          <w:szCs w:val="28"/>
          <w:lang w:val="uk-UA"/>
        </w:rPr>
        <w:t>ному порядку.</w:t>
      </w:r>
    </w:p>
    <w:p w:rsidR="007309CD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  <w:shd w:val="clear" w:color="auto" w:fill="FFFFFF"/>
          <w:lang w:val="uk-UA"/>
        </w:rPr>
      </w:pPr>
    </w:p>
    <w:p w:rsidR="007309C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ru-RU" w:eastAsia="ru-RU"/>
        </w:rPr>
        <w:t>з питань ветерансько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політики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</w:p>
    <w:p w:rsidR="007309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09C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309C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09C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Кошторис витрат заходів Програми на 2025 -2030 роки, додається.</w:t>
      </w:r>
    </w:p>
    <w:p w:rsidR="007309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09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09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09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0"/>
    <w:p w:rsidR="00730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9CD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BD2C2D" w:rsidR="00BD2C2D">
      <w:rPr>
        <w:rFonts w:ascii="Times New Roman" w:hAnsi="Times New Roman"/>
        <w:noProof/>
        <w:sz w:val="24"/>
        <w:szCs w:val="24"/>
        <w:lang w:val="ru-RU"/>
      </w:rPr>
      <w:t>6</w:t>
    </w:r>
    <w:r>
      <w:rPr>
        <w:rFonts w:ascii="Times New Roman" w:hAnsi="Times New Roman"/>
        <w:sz w:val="24"/>
        <w:szCs w:val="24"/>
      </w:rPr>
      <w:fldChar w:fldCharType="end"/>
    </w:r>
  </w:p>
  <w:p w:rsidR="007309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9CD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730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1E50C9"/>
    <w:multiLevelType w:val="multilevel"/>
    <w:tmpl w:val="19B0E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isLgl/>
      <w:lvlText w:val="%1.%2."/>
      <w:lvlJc w:val="left"/>
      <w:pPr>
        <w:ind w:left="735" w:hanging="735"/>
      </w:pPr>
    </w:lvl>
    <w:lvl w:ilvl="2">
      <w:start w:val="1"/>
      <w:numFmt w:val="decimal"/>
      <w:isLgl/>
      <w:lvlText w:val="%1.%2.%3."/>
      <w:lvlJc w:val="left"/>
      <w:pPr>
        <w:ind w:left="1095" w:hanging="735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0EC2C76"/>
    <w:multiLevelType w:val="hybridMultilevel"/>
    <w:tmpl w:val="EFFAF61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264751"/>
    <w:multiLevelType w:val="hybridMultilevel"/>
    <w:tmpl w:val="3D9A8A62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>
    <w:nsid w:val="6CA7098B"/>
    <w:multiLevelType w:val="hybridMultilevel"/>
    <w:tmpl w:val="72BE7608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/>
        <w:color w:val="auto"/>
        <w:sz w:val="28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4">
    <w:nsid w:val="77670143"/>
    <w:multiLevelType w:val="hybridMultilevel"/>
    <w:tmpl w:val="B18CBA4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CD"/>
    <w:rsid w:val="007309CD"/>
    <w:rsid w:val="00BD2C2D"/>
    <w:rsid w:val="00E13DA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rvps2">
    <w:name w:val="rvps2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719-2016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7532</Words>
  <Characters>4294</Characters>
  <Application>Microsoft Office Word</Application>
  <DocSecurity>8</DocSecurity>
  <Lines>35</Lines>
  <Paragraphs>23</Paragraphs>
  <ScaleCrop>false</ScaleCrop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2025-03-07T11:28:00Z</dcterms:modified>
</cp:coreProperties>
</file>