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widowControl w:val="1"/>
        <w:spacing w:lineRule="atLeast" w:line="20"/>
        <w:ind w:left="0" w:right="0"/>
        <w:bidi w:val="0"/>
        <w:jc w:val="left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 проекту рішення «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внесення змін до Програми</w:t>
      </w:r>
    </w:p>
    <w:p>
      <w:pPr>
        <w:widowControl w:val="1"/>
        <w:spacing w:lineRule="atLeast" w:line="2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Безпечна громада на 2025-2029 роки»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keepNext w:val="1"/>
        <w:widowControl w:val="1"/>
        <w:suppressAutoHyphens w:val="1"/>
        <w:ind w:firstLine="0" w:left="-276" w:right="0"/>
        <w:bidi w:val="0"/>
        <w:jc w:val="both"/>
        <w:outlineLvl w:val="1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1. Обґрунтування необхідності прийняття рішення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До Програми «Безпечна громада на 2025-2029 роки», затвердженої рішенням Броварської міської ради Броварського району Київської області від 20.12.2024 року №1899-84-08 необхідно внести відповідні зміни у зв’язку з перерозподілом видатків шляхом зменшення обсягів фінансування заходів з встановлення камер відеоспостереження у Броварській міській територіальній громаді. 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2.Мета і шляхи її досягнення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     Передбачити суму «2300,00» тис. грн для проведення робіт на об’єкті «Капітальний ремонт  нежитлового приміщення №5 по бульв. Незалежності, 3 в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м. Бровари Броварського району Київської області.»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3.Правові аспекти 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  <w:t>Бюджетний кодекс України, пункт 22 частини 1 статті 26 Закону України «Про місцеве самоврядування в Україні».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     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 Обсязі фінансування Програми на 2025-2029 рік зазначено суму «45 840,00» тис. грн. (з врахуванням прогнозованого рівня інфляції 10 %):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2025 – 6822,18 тис. грн.: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2026 – 10 060,0 тис. грн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2027 – 10 580,0 тис. грн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2028 – 11 150,0 тис. грн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2029 – 11 750,0 тис. грн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  <w:t xml:space="preserve"> 5. Прогноз результатів</w:t>
      </w:r>
    </w:p>
    <w:p>
      <w:pPr>
        <w:widowControl w:val="1"/>
        <w:suppressAutoHyphens w:val="1"/>
        <w:ind w:firstLine="9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Здійснення заходів, спрямованих на посилення безпеки громадян та захисту важливих об’єктів Броварської міської територіальної громади Броварського району Київської області.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6. Суб’єкт подання проекту рішення 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 проекту рішення: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-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особа за підготовку проекту рішення: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- Ліпська Яна Олександрівна –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9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7. Порівняльна таблиця</w:t>
      </w:r>
    </w:p>
    <w:tbl>
      <w:tblPr>
        <w:tblW w:w="9309" w:type="dxa"/>
        <w:tblInd w:w="12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945"/>
        </w:trPr>
        <w:tc>
          <w:tcPr>
            <w:tcW w:w="372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Напрям використання коштів</w:t>
            </w:r>
          </w:p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5581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Обсяг коштів на виконання Програми у  2024 році</w:t>
            </w:r>
          </w:p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>
        <w:trPr>
          <w:wBefore w:w="0" w:type="dxa"/>
          <w:trHeight w:hRule="atLeast" w:val="263"/>
        </w:trPr>
        <w:tc>
          <w:tcPr>
            <w:tcW w:w="372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Було</w:t>
            </w:r>
          </w:p>
        </w:tc>
        <w:tc>
          <w:tcPr>
            <w:tcW w:w="19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Зміни </w:t>
            </w:r>
          </w:p>
        </w:tc>
        <w:tc>
          <w:tcPr>
            <w:tcW w:w="21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Стало</w:t>
            </w:r>
          </w:p>
        </w:tc>
      </w:tr>
      <w:tr>
        <w:trPr>
          <w:wBefore w:w="0" w:type="dxa"/>
          <w:trHeight w:hRule="atLeast" w:val="2809"/>
        </w:trPr>
        <w:tc>
          <w:tcPr>
            <w:tcW w:w="3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Розробка проекту системи відеоспостереження, Реалізація (будівництво) проекту</w:t>
            </w:r>
          </w:p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firstLine="0"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4522,178</w:t>
            </w:r>
          </w:p>
        </w:tc>
        <w:tc>
          <w:tcPr>
            <w:tcW w:w="19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hanging="360" w:left="927" w:right="0"/>
              <w:contextualSpacing w:val="1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2300,00</w:t>
            </w:r>
          </w:p>
        </w:tc>
        <w:tc>
          <w:tcPr>
            <w:tcW w:w="21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ind w:firstLine="567"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2222,18</w:t>
            </w:r>
          </w:p>
        </w:tc>
      </w:tr>
    </w:tbl>
    <w:p>
      <w:pPr>
        <w:widowControl w:val="1"/>
        <w:ind w:firstLine="567" w:left="0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spacing w:after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</w:t>
      </w:r>
    </w:p>
    <w:p>
      <w:pPr>
        <w:widowControl w:val="1"/>
        <w:tabs>
          <w:tab w:val="left" w:pos="7797" w:leader="none"/>
        </w:tabs>
        <w:spacing w:after="0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будівництва, житлово-комунального </w:t>
      </w:r>
    </w:p>
    <w:p>
      <w:pPr>
        <w:widowControl w:val="1"/>
        <w:tabs>
          <w:tab w:val="left" w:pos="7797" w:leader="none"/>
        </w:tabs>
        <w:spacing w:after="0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господарства, інфраструктури та транспорту </w:t>
      </w:r>
    </w:p>
    <w:p>
      <w:pPr>
        <w:widowControl w:val="1"/>
        <w:tabs>
          <w:tab w:val="left" w:pos="7797" w:leader="none"/>
        </w:tabs>
        <w:spacing w:after="0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Броварської міської ради Броварського </w:t>
      </w:r>
    </w:p>
    <w:p>
      <w:pPr>
        <w:widowControl w:val="1"/>
        <w:tabs>
          <w:tab w:val="left" w:pos="7797" w:leader="none"/>
        </w:tabs>
        <w:spacing w:after="0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району Київської області                           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Світлана РЕШЕТОВА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1"/>
    <w:multiLevelType w:val="hybridMultilevel"/>
    <w:lvl w:ilvl="0" w:tplc="7AD487C2">
      <w:start w:val="7"/>
      <w:numFmt w:val="bullet"/>
      <w:suff w:val="tab"/>
      <w:lvlText w:val="-"/>
      <w:lvlJc w:val="left"/>
      <w:pPr>
        <w:spacing w:lineRule="auto" w:line="240"/>
        <w:ind w:hanging="360" w:left="92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spacing w:lineRule="auto" w:line="240"/>
        <w:ind w:hanging="360" w:left="164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spacing w:lineRule="auto" w:line="240"/>
        <w:ind w:hanging="360" w:left="2367"/>
      </w:pPr>
      <w:rPr>
        <w:rFonts w:ascii="Calibri" w:hAnsi="Calibri"/>
      </w:rPr>
    </w:lvl>
    <w:lvl w:ilvl="3" w:tplc="04220001">
      <w:start w:val="1"/>
      <w:numFmt w:val="bullet"/>
      <w:suff w:val="tab"/>
      <w:lvlText w:val=""/>
      <w:lvlJc w:val="left"/>
      <w:pPr>
        <w:spacing w:lineRule="auto" w:line="240"/>
        <w:ind w:hanging="360" w:left="3087"/>
      </w:pPr>
      <w:rPr>
        <w:rFonts w:ascii="Calibri" w:hAnsi="Calibri"/>
      </w:rPr>
    </w:lvl>
    <w:lvl w:ilvl="4" w:tplc="04220003">
      <w:start w:val="1"/>
      <w:numFmt w:val="bullet"/>
      <w:suff w:val="tab"/>
      <w:lvlText w:val="o"/>
      <w:lvlJc w:val="left"/>
      <w:pPr>
        <w:spacing w:lineRule="auto" w:line="240"/>
        <w:ind w:hanging="360" w:left="380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spacing w:lineRule="auto" w:line="240"/>
        <w:ind w:hanging="360" w:left="4527"/>
      </w:pPr>
      <w:rPr>
        <w:rFonts w:ascii="Calibri" w:hAnsi="Calibri"/>
      </w:rPr>
    </w:lvl>
    <w:lvl w:ilvl="6" w:tplc="04220001">
      <w:start w:val="1"/>
      <w:numFmt w:val="bullet"/>
      <w:suff w:val="tab"/>
      <w:lvlText w:val=""/>
      <w:lvlJc w:val="left"/>
      <w:pPr>
        <w:spacing w:lineRule="auto" w:line="240"/>
        <w:ind w:hanging="360" w:left="5247"/>
      </w:pPr>
      <w:rPr>
        <w:rFonts w:ascii="Calibri" w:hAnsi="Calibri"/>
      </w:rPr>
    </w:lvl>
    <w:lvl w:ilvl="7" w:tplc="04220003">
      <w:start w:val="1"/>
      <w:numFmt w:val="bullet"/>
      <w:suff w:val="tab"/>
      <w:lvlText w:val="o"/>
      <w:lvlJc w:val="left"/>
      <w:pPr>
        <w:spacing w:lineRule="auto" w:line="240"/>
        <w:ind w:hanging="360" w:left="596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spacing w:lineRule="auto" w:line="240"/>
        <w:ind w:hanging="360" w:left="6687"/>
      </w:pPr>
      <w:rPr>
        <w:rFonts w:ascii="Calibri" w:hAnsi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2025-02-12T07:19:39Z</dcterms:modified>
  <cp:revision>15</cp:revision>
</cp:coreProperties>
</file>