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2F93" w14:textId="77777777" w:rsidR="005B1C08" w:rsidRDefault="00D3681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F4CCB67" w14:textId="77777777" w:rsidR="005B1C08" w:rsidRPr="005B1C08" w:rsidRDefault="005B1C08" w:rsidP="00141ACE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5ECA938" w14:textId="3AA288E2" w:rsidR="0074644B" w:rsidRPr="00141ACE" w:rsidRDefault="00141ACE" w:rsidP="00141ACE">
      <w:pPr>
        <w:pStyle w:val="10"/>
        <w:keepNext/>
        <w:keepLines/>
        <w:spacing w:after="360" w:line="276" w:lineRule="auto"/>
        <w:ind w:firstLine="0"/>
        <w:jc w:val="center"/>
      </w:pPr>
      <w:bookmarkStart w:id="0" w:name="bookmark0"/>
      <w:bookmarkStart w:id="1" w:name="bookmark1"/>
      <w:bookmarkStart w:id="2" w:name="bookmark2"/>
      <w:r>
        <w:rPr>
          <w:b w:val="0"/>
          <w:bCs w:val="0"/>
        </w:rPr>
        <w:t xml:space="preserve">до проекту рішення </w:t>
      </w:r>
      <w:r>
        <w:t>«Про внесення змін до Програми розвитку культури</w:t>
      </w:r>
      <w:r>
        <w:rPr>
          <w:lang w:val="uk-UA"/>
        </w:rPr>
        <w:t xml:space="preserve"> </w:t>
      </w:r>
      <w:r>
        <w:t>Броварської міської територіальної громади на 2022-2026 рр. (зі змінами)»</w:t>
      </w:r>
      <w:bookmarkEnd w:id="0"/>
      <w:bookmarkEnd w:id="1"/>
      <w:bookmarkEnd w:id="2"/>
    </w:p>
    <w:p w14:paraId="53249240" w14:textId="77777777" w:rsidR="0074644B" w:rsidRDefault="00D36811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D0B70F9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7AF9E47C" w14:textId="3DCBCAD9" w:rsidR="0074644B" w:rsidRDefault="00D36811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4E31CCBC" w14:textId="0E8AA249" w:rsidR="00141ACE" w:rsidRPr="00141ACE" w:rsidRDefault="00141ACE" w:rsidP="00141ACE">
      <w:pPr>
        <w:keepNext/>
        <w:numPr>
          <w:ilvl w:val="1"/>
          <w:numId w:val="1"/>
        </w:numPr>
        <w:suppressAutoHyphens/>
        <w:spacing w:after="0" w:line="240" w:lineRule="auto"/>
        <w:ind w:left="14" w:hanging="14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41ACE">
        <w:rPr>
          <w:rFonts w:ascii="Times New Roman" w:hAnsi="Times New Roman" w:cs="Times New Roman"/>
          <w:sz w:val="28"/>
          <w:szCs w:val="28"/>
        </w:rPr>
        <w:t>Проект рішення щодо внесення змін до Програми розвитку культури Броварської міської територіальної громади на 2022-2026 роки обумовлений потребою дофінансування на 2025 рік</w:t>
      </w:r>
      <w:r w:rsidR="00F64098">
        <w:rPr>
          <w:rFonts w:ascii="Times New Roman" w:hAnsi="Times New Roman" w:cs="Times New Roman"/>
          <w:sz w:val="28"/>
          <w:szCs w:val="28"/>
          <w:lang w:val="uk-UA"/>
        </w:rPr>
        <w:t xml:space="preserve"> шляхом перерозподілу коштів.</w:t>
      </w:r>
      <w:r w:rsidRPr="00141ACE">
        <w:rPr>
          <w:rFonts w:ascii="Times New Roman" w:hAnsi="Times New Roman" w:cs="Times New Roman"/>
          <w:sz w:val="28"/>
          <w:szCs w:val="28"/>
        </w:rPr>
        <w:t xml:space="preserve"> Програма спрямована на забезпечення культурно-мистецької діяльності, зокрема, у рамках національних культурних проектів. Фінансування дозволить забезпечити реалізацію основних заходів, передбачених Програмою, підтримуючи розвиток культурного середовища громади</w:t>
      </w:r>
    </w:p>
    <w:p w14:paraId="5FBF55B1" w14:textId="77777777" w:rsidR="009B7D79" w:rsidRPr="00141ACE" w:rsidRDefault="009B7D79" w:rsidP="00141ACE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4A474FD3" w14:textId="6EF9B8AE" w:rsidR="0074644B" w:rsidRPr="007A45E2" w:rsidRDefault="00D36811" w:rsidP="00141A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A45E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1AD6E19B" w14:textId="77777777" w:rsidR="00141ACE" w:rsidRPr="007A45E2" w:rsidRDefault="00141ACE" w:rsidP="007A45E2">
      <w:pPr>
        <w:pStyle w:val="11"/>
        <w:spacing w:after="0" w:line="276" w:lineRule="auto"/>
        <w:jc w:val="both"/>
        <w:rPr>
          <w:lang w:val="uk-UA"/>
        </w:rPr>
      </w:pPr>
      <w:r w:rsidRPr="007A45E2">
        <w:rPr>
          <w:lang w:val="uk-UA"/>
        </w:rPr>
        <w:t>Метою проекту рішення є розвиток культурної сфери громади шляхом забезпечення стабільного фінансування Програми, що дозволить:</w:t>
      </w:r>
    </w:p>
    <w:p w14:paraId="4099A491" w14:textId="77777777" w:rsidR="00141ACE" w:rsidRPr="00F64098" w:rsidRDefault="00141ACE" w:rsidP="00141ACE">
      <w:pPr>
        <w:pStyle w:val="11"/>
        <w:numPr>
          <w:ilvl w:val="0"/>
          <w:numId w:val="2"/>
        </w:numPr>
        <w:tabs>
          <w:tab w:val="left" w:pos="882"/>
        </w:tabs>
        <w:spacing w:after="0"/>
        <w:ind w:firstLine="580"/>
        <w:jc w:val="both"/>
        <w:rPr>
          <w:lang w:val="uk-UA"/>
        </w:rPr>
      </w:pPr>
      <w:bookmarkStart w:id="3" w:name="bookmark11"/>
      <w:bookmarkEnd w:id="3"/>
      <w:r w:rsidRPr="00F64098">
        <w:rPr>
          <w:lang w:val="uk-UA"/>
        </w:rPr>
        <w:t>Відзначати: державні свята, які засвідчують державотворчі та демократичні традиції України; дні жалоби та скорботні днів. Дні, що оголошуються у зв’язку з трагічними подіями в Україні або світі, дні пам’яті про трагічні події в історії України та вшанування їх жертв; пам’ятні дати, річниці історичних подій, заснування населених пунктів або першої писемної згадки про них; святкові дні.</w:t>
      </w:r>
    </w:p>
    <w:p w14:paraId="614B1D6C" w14:textId="77777777" w:rsidR="00141ACE" w:rsidRDefault="00141ACE" w:rsidP="00141ACE">
      <w:pPr>
        <w:pStyle w:val="11"/>
        <w:numPr>
          <w:ilvl w:val="0"/>
          <w:numId w:val="2"/>
        </w:numPr>
        <w:tabs>
          <w:tab w:val="left" w:pos="877"/>
        </w:tabs>
        <w:spacing w:after="0"/>
        <w:ind w:firstLine="580"/>
        <w:jc w:val="both"/>
      </w:pPr>
      <w:bookmarkStart w:id="4" w:name="bookmark12"/>
      <w:bookmarkEnd w:id="4"/>
      <w:r>
        <w:t>Реалізувати проекти відділу культури управління культури, сім’ї та молоді. Підтримати проведення культурно-мистецьких заходів та фестивалів, популяризуючи національні та місцеві культурні традиції.</w:t>
      </w:r>
    </w:p>
    <w:p w14:paraId="19B4B4C5" w14:textId="77777777" w:rsidR="00141ACE" w:rsidRDefault="00141ACE" w:rsidP="00141ACE">
      <w:pPr>
        <w:pStyle w:val="11"/>
        <w:numPr>
          <w:ilvl w:val="0"/>
          <w:numId w:val="2"/>
        </w:numPr>
        <w:tabs>
          <w:tab w:val="left" w:pos="877"/>
        </w:tabs>
        <w:spacing w:after="260"/>
        <w:ind w:firstLine="580"/>
        <w:jc w:val="both"/>
      </w:pPr>
      <w:bookmarkStart w:id="5" w:name="bookmark13"/>
      <w:bookmarkEnd w:id="5"/>
      <w:r>
        <w:t>Залучити молодь до культурно-мистецьких проектів, сприяючи їхній інтеграції в культурне середовище громади.</w:t>
      </w:r>
    </w:p>
    <w:p w14:paraId="2CCE3A67" w14:textId="07E2831C" w:rsidR="009B7D79" w:rsidRPr="00141ACE" w:rsidRDefault="00141ACE" w:rsidP="00141ACE">
      <w:pPr>
        <w:pStyle w:val="11"/>
        <w:spacing w:after="260" w:line="276" w:lineRule="auto"/>
        <w:ind w:firstLine="580"/>
        <w:jc w:val="both"/>
      </w:pPr>
      <w:r>
        <w:t>Шляхи досягнення мети передбачають виділення фінансових ресурсів на конкретні напрямки, визначені Програмою, для ефективного освоєння бюджетних коштів.</w:t>
      </w:r>
    </w:p>
    <w:p w14:paraId="3D6B39F6" w14:textId="77777777" w:rsidR="007A45E2" w:rsidRDefault="00D36811" w:rsidP="007A45E2">
      <w:pPr>
        <w:pStyle w:val="11"/>
        <w:spacing w:after="0"/>
        <w:ind w:firstLine="567"/>
        <w:rPr>
          <w:b/>
          <w:color w:val="000000"/>
          <w:lang w:val="uk-UA" w:eastAsia="zh-CN"/>
        </w:rPr>
      </w:pPr>
      <w:r w:rsidRPr="00827775">
        <w:rPr>
          <w:b/>
          <w:color w:val="000000"/>
          <w:lang w:val="uk-UA" w:eastAsia="zh-CN"/>
        </w:rPr>
        <w:t xml:space="preserve">3.Правові аспекти </w:t>
      </w:r>
    </w:p>
    <w:p w14:paraId="08DA3254" w14:textId="01BFFD76" w:rsidR="00141ACE" w:rsidRDefault="00141ACE" w:rsidP="00141ACE">
      <w:pPr>
        <w:pStyle w:val="11"/>
        <w:spacing w:after="260"/>
        <w:ind w:firstLine="567"/>
      </w:pPr>
      <w:r>
        <w:t>Пункт 22 частини 1 статті 26 Закону України «Про місцеве самоврядування в Україні».</w:t>
      </w:r>
    </w:p>
    <w:p w14:paraId="66DA4913" w14:textId="49079652" w:rsidR="00141ACE" w:rsidRDefault="00D36811" w:rsidP="00141ACE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F32538A" w14:textId="77777777" w:rsidR="00141ACE" w:rsidRDefault="00141ACE" w:rsidP="007A45E2">
      <w:pPr>
        <w:pStyle w:val="11"/>
        <w:spacing w:after="0" w:line="276" w:lineRule="auto"/>
        <w:jc w:val="both"/>
      </w:pPr>
      <w:r>
        <w:t>Для реалізації Програми розвитку культури на 2025 рік необхідне фінансування, яке буде спрямоване на:</w:t>
      </w:r>
    </w:p>
    <w:p w14:paraId="28BBB5B8" w14:textId="77777777" w:rsidR="00141ACE" w:rsidRDefault="00141ACE" w:rsidP="00141ACE">
      <w:pPr>
        <w:pStyle w:val="11"/>
        <w:numPr>
          <w:ilvl w:val="0"/>
          <w:numId w:val="2"/>
        </w:numPr>
        <w:tabs>
          <w:tab w:val="left" w:pos="872"/>
        </w:tabs>
        <w:spacing w:after="0"/>
        <w:ind w:firstLine="500"/>
      </w:pPr>
      <w:bookmarkStart w:id="6" w:name="bookmark22"/>
      <w:bookmarkEnd w:id="6"/>
      <w:r>
        <w:t>Вшанування загиблих захисників України.</w:t>
      </w:r>
    </w:p>
    <w:p w14:paraId="44370C7D" w14:textId="77777777" w:rsidR="00141ACE" w:rsidRDefault="00141ACE" w:rsidP="00141ACE">
      <w:pPr>
        <w:pStyle w:val="11"/>
        <w:numPr>
          <w:ilvl w:val="0"/>
          <w:numId w:val="2"/>
        </w:numPr>
        <w:tabs>
          <w:tab w:val="left" w:pos="872"/>
        </w:tabs>
        <w:spacing w:after="0"/>
        <w:ind w:left="860" w:hanging="360"/>
        <w:jc w:val="both"/>
      </w:pPr>
      <w:bookmarkStart w:id="7" w:name="bookmark23"/>
      <w:bookmarkEnd w:id="7"/>
      <w:r>
        <w:t xml:space="preserve">Відзначення державних свят, пам’ятних дат, святкових днів, днів </w:t>
      </w:r>
      <w:r>
        <w:lastRenderedPageBreak/>
        <w:t>жалоби та скорботних днів.</w:t>
      </w:r>
    </w:p>
    <w:p w14:paraId="0EE6FD8A" w14:textId="77777777" w:rsidR="00141ACE" w:rsidRDefault="00141ACE" w:rsidP="007A45E2">
      <w:pPr>
        <w:pStyle w:val="11"/>
        <w:numPr>
          <w:ilvl w:val="0"/>
          <w:numId w:val="2"/>
        </w:numPr>
        <w:tabs>
          <w:tab w:val="left" w:pos="872"/>
        </w:tabs>
        <w:spacing w:after="0"/>
        <w:ind w:left="860" w:hanging="360"/>
        <w:jc w:val="both"/>
      </w:pPr>
      <w:bookmarkStart w:id="8" w:name="bookmark24"/>
      <w:bookmarkEnd w:id="8"/>
      <w:r>
        <w:t>Реалізація проектів відділу культури управління. Проведення культурно-мистецьких заходів та участь у фестивалях, що потребує витрат на організацію та проведення.</w:t>
      </w:r>
    </w:p>
    <w:p w14:paraId="4E9960B6" w14:textId="77777777" w:rsidR="00141ACE" w:rsidRDefault="00141ACE" w:rsidP="00141ACE">
      <w:pPr>
        <w:pStyle w:val="11"/>
        <w:spacing w:line="276" w:lineRule="auto"/>
        <w:ind w:left="140"/>
      </w:pPr>
      <w:r>
        <w:t>Забезпечення фінансування дозволить підвищити якість культурних послуг, що надаються мешканцям громади, та сприятиме активнішій участі громадськості у культурному житті.</w:t>
      </w:r>
    </w:p>
    <w:p w14:paraId="4DECECFF" w14:textId="20A16F55" w:rsidR="0074644B" w:rsidRDefault="00141ACE" w:rsidP="00141AC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141ACE">
        <w:rPr>
          <w:rFonts w:ascii="Times New Roman" w:hAnsi="Times New Roman" w:cs="Times New Roman"/>
          <w:sz w:val="28"/>
          <w:szCs w:val="28"/>
        </w:rPr>
        <w:t>Фінансування буде проведено за рахунок внутрішнього перерозподілу коштів управління та додаткових коштів не потребує.</w:t>
      </w:r>
      <w:r w:rsidR="00D36811" w:rsidRPr="00141AC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</w:p>
    <w:p w14:paraId="6C38E1FF" w14:textId="77777777" w:rsidR="00141ACE" w:rsidRPr="00141ACE" w:rsidRDefault="00141ACE" w:rsidP="00141A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154CC30A" w14:textId="649230F3" w:rsidR="0074644B" w:rsidRDefault="00D36811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5BA30C91" w14:textId="36992534" w:rsidR="00141ACE" w:rsidRDefault="00141ACE" w:rsidP="007A45E2">
      <w:pPr>
        <w:pStyle w:val="11"/>
        <w:spacing w:line="276" w:lineRule="auto"/>
        <w:ind w:left="140"/>
        <w:jc w:val="both"/>
      </w:pPr>
      <w:r>
        <w:t>Очікується, що реалізація Програми розвитку культури дозволить забезпечити виконання ключових завдань щодо збереження та розвитку культурної сфери громади.</w:t>
      </w:r>
      <w:r w:rsidR="007A45E2">
        <w:rPr>
          <w:lang w:val="uk-UA"/>
        </w:rPr>
        <w:t xml:space="preserve">  </w:t>
      </w:r>
      <w:r>
        <w:t>Прийняття даного рішення дозволить забезпечити комплексний розвиток культурного простору громади та сприятиме збереженню культурної ідентичності.</w:t>
      </w:r>
    </w:p>
    <w:p w14:paraId="0E03F767" w14:textId="77777777" w:rsidR="00141ACE" w:rsidRDefault="00141AC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F27F707" w14:textId="77777777" w:rsidR="00141ACE" w:rsidRPr="00141ACE" w:rsidRDefault="00D36811" w:rsidP="00141ACE">
      <w:pPr>
        <w:pStyle w:val="11"/>
        <w:tabs>
          <w:tab w:val="left" w:pos="882"/>
        </w:tabs>
        <w:spacing w:after="0" w:line="276" w:lineRule="auto"/>
        <w:ind w:left="640"/>
      </w:pPr>
      <w:r w:rsidRPr="00827775">
        <w:rPr>
          <w:b/>
          <w:shd w:val="clear" w:color="auto" w:fill="FFFFFF"/>
          <w:lang w:val="uk-UA"/>
        </w:rPr>
        <w:t>6</w:t>
      </w:r>
      <w:r w:rsidR="00525C68" w:rsidRPr="00827775">
        <w:rPr>
          <w:b/>
          <w:shd w:val="clear" w:color="auto" w:fill="FFFFFF"/>
          <w:lang w:val="uk-UA"/>
        </w:rPr>
        <w:t xml:space="preserve">. Суб’єкт подання проекту рішення </w:t>
      </w:r>
    </w:p>
    <w:p w14:paraId="7A46D03F" w14:textId="23D6B69A" w:rsidR="00141ACE" w:rsidRDefault="00141ACE" w:rsidP="00141ACE">
      <w:pPr>
        <w:pStyle w:val="11"/>
        <w:numPr>
          <w:ilvl w:val="0"/>
          <w:numId w:val="3"/>
        </w:numPr>
        <w:tabs>
          <w:tab w:val="left" w:pos="882"/>
        </w:tabs>
        <w:spacing w:after="0" w:line="276" w:lineRule="auto"/>
        <w:ind w:left="140" w:firstLine="500"/>
      </w:pPr>
      <w:r>
        <w:t>Управління культури, сім’ї та молоді Броварської міської ради Броварського району Київської області.</w:t>
      </w:r>
    </w:p>
    <w:p w14:paraId="09AFF33B" w14:textId="1E5662E3" w:rsidR="00141ACE" w:rsidRDefault="007A45E2" w:rsidP="007A45E2">
      <w:pPr>
        <w:pStyle w:val="11"/>
        <w:numPr>
          <w:ilvl w:val="0"/>
          <w:numId w:val="3"/>
        </w:numPr>
        <w:tabs>
          <w:tab w:val="left" w:pos="872"/>
        </w:tabs>
        <w:spacing w:after="0" w:line="276" w:lineRule="auto"/>
        <w:ind w:firstLine="600"/>
        <w:jc w:val="both"/>
      </w:pPr>
      <w:bookmarkStart w:id="9" w:name="bookmark34"/>
      <w:bookmarkEnd w:id="9"/>
      <w:r>
        <w:rPr>
          <w:lang w:val="uk-UA"/>
        </w:rPr>
        <w:t>д</w:t>
      </w:r>
      <w:r>
        <w:t xml:space="preserve">оповідач </w:t>
      </w:r>
      <w:r>
        <w:rPr>
          <w:lang w:val="uk-UA"/>
        </w:rPr>
        <w:t xml:space="preserve">начальник </w:t>
      </w:r>
      <w:r>
        <w:t xml:space="preserve">управління </w:t>
      </w:r>
      <w:r w:rsidR="00141ACE">
        <w:t>культури</w:t>
      </w:r>
      <w:r>
        <w:rPr>
          <w:lang w:val="uk-UA"/>
        </w:rPr>
        <w:t xml:space="preserve">, сім’ї та молоді </w:t>
      </w:r>
      <w:r w:rsidR="00141ACE">
        <w:t xml:space="preserve">– </w:t>
      </w:r>
      <w:r>
        <w:rPr>
          <w:lang w:val="uk-UA"/>
        </w:rPr>
        <w:t>Ярмоленко Аліна Анатоліївна.</w:t>
      </w:r>
    </w:p>
    <w:p w14:paraId="616B106F" w14:textId="7A2C8E4E" w:rsidR="009B7D79" w:rsidRPr="00141ACE" w:rsidRDefault="00141ACE" w:rsidP="007A45E2">
      <w:pPr>
        <w:pStyle w:val="11"/>
        <w:numPr>
          <w:ilvl w:val="0"/>
          <w:numId w:val="3"/>
        </w:numPr>
        <w:tabs>
          <w:tab w:val="left" w:pos="878"/>
        </w:tabs>
        <w:spacing w:after="320" w:line="276" w:lineRule="auto"/>
        <w:ind w:left="140" w:firstLine="500"/>
        <w:jc w:val="both"/>
      </w:pPr>
      <w:bookmarkStart w:id="10" w:name="bookmark35"/>
      <w:bookmarkEnd w:id="10"/>
      <w:r>
        <w:t xml:space="preserve">відповідальна особа за підготовку даного проекту – Метьолкіна Лариса Олексіївна, </w:t>
      </w:r>
    </w:p>
    <w:p w14:paraId="00267F8C" w14:textId="2EBB946A" w:rsidR="00141ACE" w:rsidRDefault="00D36811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</w:p>
    <w:tbl>
      <w:tblPr>
        <w:tblStyle w:val="a6"/>
        <w:tblW w:w="4995" w:type="pct"/>
        <w:tblLayout w:type="fixed"/>
        <w:tblLook w:val="04A0" w:firstRow="1" w:lastRow="0" w:firstColumn="1" w:lastColumn="0" w:noHBand="0" w:noVBand="1"/>
      </w:tblPr>
      <w:tblGrid>
        <w:gridCol w:w="4957"/>
        <w:gridCol w:w="1187"/>
        <w:gridCol w:w="1143"/>
        <w:gridCol w:w="1140"/>
        <w:gridCol w:w="1134"/>
      </w:tblGrid>
      <w:tr w:rsidR="00141ACE" w:rsidRPr="003A5E91" w14:paraId="69B1D8F5" w14:textId="77777777" w:rsidTr="007A45E2">
        <w:tc>
          <w:tcPr>
            <w:tcW w:w="2592" w:type="pct"/>
          </w:tcPr>
          <w:p w14:paraId="3FE79045" w14:textId="3B61903C" w:rsidR="00141ACE" w:rsidRPr="00D36811" w:rsidRDefault="00141ACE" w:rsidP="00691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sz w:val="28"/>
                <w:szCs w:val="28"/>
              </w:rPr>
              <w:t>Назва пункту, підпункту, в який вноситься зміна</w:t>
            </w:r>
          </w:p>
        </w:tc>
        <w:tc>
          <w:tcPr>
            <w:tcW w:w="1218" w:type="pct"/>
            <w:gridSpan w:val="2"/>
          </w:tcPr>
          <w:p w14:paraId="31968BEC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sz w:val="28"/>
                <w:szCs w:val="28"/>
              </w:rPr>
              <w:t>Було</w:t>
            </w:r>
          </w:p>
        </w:tc>
        <w:tc>
          <w:tcPr>
            <w:tcW w:w="1189" w:type="pct"/>
            <w:gridSpan w:val="2"/>
          </w:tcPr>
          <w:p w14:paraId="7782A2F0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sz w:val="28"/>
                <w:szCs w:val="28"/>
              </w:rPr>
              <w:t>Стало</w:t>
            </w:r>
          </w:p>
        </w:tc>
      </w:tr>
      <w:tr w:rsidR="00141ACE" w:rsidRPr="003A5E91" w14:paraId="3483B488" w14:textId="77777777" w:rsidTr="00691C32">
        <w:tc>
          <w:tcPr>
            <w:tcW w:w="2592" w:type="pct"/>
          </w:tcPr>
          <w:p w14:paraId="5248A9FC" w14:textId="77777777" w:rsidR="00141ACE" w:rsidRPr="00D36811" w:rsidRDefault="00141ACE" w:rsidP="00691C3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Пункт 1 підпункт 1.2</w:t>
            </w:r>
          </w:p>
          <w:p w14:paraId="56A9E11E" w14:textId="20833C18" w:rsidR="00141ACE" w:rsidRPr="007A45E2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sz w:val="28"/>
                <w:szCs w:val="28"/>
              </w:rPr>
              <w:t>Покладання квітів до пам’ятних знаків, пам’ятників, місць поховань захисників України</w:t>
            </w:r>
          </w:p>
        </w:tc>
        <w:tc>
          <w:tcPr>
            <w:tcW w:w="621" w:type="pct"/>
          </w:tcPr>
          <w:p w14:paraId="4E2E2B2B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8" w:type="pct"/>
          </w:tcPr>
          <w:p w14:paraId="5C3AE058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80,0</w:t>
            </w:r>
          </w:p>
        </w:tc>
        <w:tc>
          <w:tcPr>
            <w:tcW w:w="596" w:type="pct"/>
          </w:tcPr>
          <w:p w14:paraId="59BD73FF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5417EA48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100,0</w:t>
            </w:r>
          </w:p>
        </w:tc>
      </w:tr>
      <w:tr w:rsidR="00141ACE" w:rsidRPr="003A5E91" w14:paraId="2FA20EC5" w14:textId="77777777" w:rsidTr="00691C32">
        <w:tc>
          <w:tcPr>
            <w:tcW w:w="2592" w:type="pct"/>
          </w:tcPr>
          <w:p w14:paraId="7D56FC29" w14:textId="77777777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Пункт 2 підпункт 2.2</w:t>
            </w:r>
          </w:p>
          <w:p w14:paraId="6E33F9E4" w14:textId="500EDDD8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sz w:val="28"/>
                <w:szCs w:val="28"/>
              </w:rPr>
              <w:t>Покладання квітів до памʼятних знаків, памʼятників, місць поховання захисників України, постраждалих на Чорнобильській АЕС, жертв голодоморів та політичних репресій</w:t>
            </w:r>
          </w:p>
        </w:tc>
        <w:tc>
          <w:tcPr>
            <w:tcW w:w="621" w:type="pct"/>
          </w:tcPr>
          <w:p w14:paraId="5B06A0DA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8" w:type="pct"/>
          </w:tcPr>
          <w:p w14:paraId="2855C34F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42,0</w:t>
            </w:r>
          </w:p>
        </w:tc>
        <w:tc>
          <w:tcPr>
            <w:tcW w:w="596" w:type="pct"/>
          </w:tcPr>
          <w:p w14:paraId="7D3267B1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11C0E1C5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150,0</w:t>
            </w:r>
          </w:p>
        </w:tc>
      </w:tr>
      <w:tr w:rsidR="00141ACE" w:rsidRPr="003A5E91" w14:paraId="3B59FE69" w14:textId="77777777" w:rsidTr="00691C32">
        <w:tc>
          <w:tcPr>
            <w:tcW w:w="2592" w:type="pct"/>
          </w:tcPr>
          <w:p w14:paraId="57CABB51" w14:textId="77777777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Пункт 3 підпункт 3.3</w:t>
            </w:r>
          </w:p>
          <w:p w14:paraId="4A89E0A1" w14:textId="08615829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sz w:val="28"/>
                <w:szCs w:val="28"/>
              </w:rPr>
              <w:t>Проведення майстер-класів образотворчого та ужитково-прикладного мистецтва</w:t>
            </w:r>
          </w:p>
        </w:tc>
        <w:tc>
          <w:tcPr>
            <w:tcW w:w="621" w:type="pct"/>
          </w:tcPr>
          <w:p w14:paraId="267B651E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8" w:type="pct"/>
          </w:tcPr>
          <w:p w14:paraId="66E30790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10,0</w:t>
            </w:r>
          </w:p>
        </w:tc>
        <w:tc>
          <w:tcPr>
            <w:tcW w:w="596" w:type="pct"/>
          </w:tcPr>
          <w:p w14:paraId="2EA60D15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3350BC71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20,0</w:t>
            </w:r>
          </w:p>
        </w:tc>
      </w:tr>
      <w:tr w:rsidR="00141ACE" w:rsidRPr="003A5E91" w14:paraId="23AEA309" w14:textId="77777777" w:rsidTr="00691C32">
        <w:tc>
          <w:tcPr>
            <w:tcW w:w="2592" w:type="pct"/>
          </w:tcPr>
          <w:p w14:paraId="0069FB4D" w14:textId="77777777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Пункт 4 підпункт 4.2</w:t>
            </w:r>
          </w:p>
          <w:p w14:paraId="61B8F25F" w14:textId="7BFEA943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матеріалів та продукції призначених для відзначення та </w:t>
            </w:r>
            <w:r w:rsidRPr="00D36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нагородження соціально-активних, видатних діячів громади</w:t>
            </w:r>
          </w:p>
        </w:tc>
        <w:tc>
          <w:tcPr>
            <w:tcW w:w="621" w:type="pct"/>
          </w:tcPr>
          <w:p w14:paraId="0F371E2D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тис. грн</w:t>
            </w:r>
          </w:p>
        </w:tc>
        <w:tc>
          <w:tcPr>
            <w:tcW w:w="598" w:type="pct"/>
          </w:tcPr>
          <w:p w14:paraId="508D5AE5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3,0</w:t>
            </w:r>
          </w:p>
        </w:tc>
        <w:tc>
          <w:tcPr>
            <w:tcW w:w="596" w:type="pct"/>
          </w:tcPr>
          <w:p w14:paraId="59E4E605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3D593E0F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5,0</w:t>
            </w:r>
          </w:p>
        </w:tc>
      </w:tr>
      <w:tr w:rsidR="00141ACE" w:rsidRPr="003A5E91" w14:paraId="168886C4" w14:textId="77777777" w:rsidTr="00691C32">
        <w:tc>
          <w:tcPr>
            <w:tcW w:w="2592" w:type="pct"/>
          </w:tcPr>
          <w:p w14:paraId="7DB16516" w14:textId="77777777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Пункт 5 підпункт 5.1</w:t>
            </w:r>
          </w:p>
          <w:p w14:paraId="5BEDD242" w14:textId="73B069C5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Дня студента</w:t>
            </w:r>
          </w:p>
        </w:tc>
        <w:tc>
          <w:tcPr>
            <w:tcW w:w="621" w:type="pct"/>
          </w:tcPr>
          <w:p w14:paraId="4DA8106F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8" w:type="pct"/>
          </w:tcPr>
          <w:p w14:paraId="438B3FBA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5,0</w:t>
            </w:r>
          </w:p>
        </w:tc>
        <w:tc>
          <w:tcPr>
            <w:tcW w:w="596" w:type="pct"/>
          </w:tcPr>
          <w:p w14:paraId="50188E66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591BB200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10,0</w:t>
            </w:r>
          </w:p>
        </w:tc>
      </w:tr>
      <w:tr w:rsidR="00141ACE" w:rsidRPr="003A5E91" w14:paraId="0EF53564" w14:textId="77777777" w:rsidTr="00691C32">
        <w:tc>
          <w:tcPr>
            <w:tcW w:w="2592" w:type="pct"/>
          </w:tcPr>
          <w:p w14:paraId="258E00EE" w14:textId="77777777" w:rsidR="00141ACE" w:rsidRPr="00D36811" w:rsidRDefault="00141ACE" w:rsidP="00691C3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Пункт 5 підпункт 5.4</w:t>
            </w:r>
          </w:p>
          <w:p w14:paraId="7F95293F" w14:textId="41F0955B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sz w:val="28"/>
                <w:szCs w:val="28"/>
              </w:rPr>
              <w:t>Забезпечення щорічного вручення подарунків до святкових днів та продукції, призначеної для відзначення та нагородження</w:t>
            </w:r>
          </w:p>
        </w:tc>
        <w:tc>
          <w:tcPr>
            <w:tcW w:w="621" w:type="pct"/>
          </w:tcPr>
          <w:p w14:paraId="185C5FFB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8" w:type="pct"/>
          </w:tcPr>
          <w:p w14:paraId="2ADAF108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14:paraId="2C5D995F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1DD1A6B5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60,0</w:t>
            </w:r>
          </w:p>
        </w:tc>
      </w:tr>
      <w:tr w:rsidR="00141ACE" w:rsidRPr="003A5E91" w14:paraId="4D7B3AA4" w14:textId="77777777" w:rsidTr="00691C32">
        <w:tc>
          <w:tcPr>
            <w:tcW w:w="2592" w:type="pct"/>
          </w:tcPr>
          <w:p w14:paraId="2875D28D" w14:textId="77777777" w:rsidR="00141ACE" w:rsidRPr="00D36811" w:rsidRDefault="00141ACE" w:rsidP="00691C3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Пункт 6 підпункт 6.2</w:t>
            </w:r>
          </w:p>
          <w:p w14:paraId="6E2A2005" w14:textId="6EE32BD5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sz w:val="28"/>
                <w:szCs w:val="28"/>
              </w:rPr>
              <w:t>Придбання подяк, квітів та продукції призначеної для відзначення та нагородження кращих працівників культури Броварської міської територіальної громади</w:t>
            </w:r>
          </w:p>
        </w:tc>
        <w:tc>
          <w:tcPr>
            <w:tcW w:w="621" w:type="pct"/>
          </w:tcPr>
          <w:p w14:paraId="611B4E55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8" w:type="pct"/>
          </w:tcPr>
          <w:p w14:paraId="6F991015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10,0</w:t>
            </w:r>
          </w:p>
        </w:tc>
        <w:tc>
          <w:tcPr>
            <w:tcW w:w="596" w:type="pct"/>
          </w:tcPr>
          <w:p w14:paraId="5E0AE379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62C57DE2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10,0</w:t>
            </w:r>
          </w:p>
        </w:tc>
      </w:tr>
      <w:tr w:rsidR="00141ACE" w:rsidRPr="003A5E91" w14:paraId="41CD2289" w14:textId="77777777" w:rsidTr="00691C32">
        <w:tc>
          <w:tcPr>
            <w:tcW w:w="2592" w:type="pct"/>
          </w:tcPr>
          <w:p w14:paraId="0B8582DE" w14:textId="77777777" w:rsidR="00141ACE" w:rsidRPr="00D36811" w:rsidRDefault="00141ACE" w:rsidP="00691C3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Пункт 6 підпункт 6.3</w:t>
            </w:r>
          </w:p>
          <w:p w14:paraId="69339DDB" w14:textId="1C156E1C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sz w:val="28"/>
                <w:szCs w:val="28"/>
              </w:rPr>
              <w:t>Підготовка та організація звітних концертів закладів культури Броварської міської територіальної громади, вручення грамот та цінних подарунків видатним працівникам закладів та їх учням</w:t>
            </w:r>
          </w:p>
        </w:tc>
        <w:tc>
          <w:tcPr>
            <w:tcW w:w="621" w:type="pct"/>
          </w:tcPr>
          <w:p w14:paraId="7C3BBA04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8" w:type="pct"/>
          </w:tcPr>
          <w:p w14:paraId="1A5C1508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5,0</w:t>
            </w:r>
          </w:p>
        </w:tc>
        <w:tc>
          <w:tcPr>
            <w:tcW w:w="596" w:type="pct"/>
          </w:tcPr>
          <w:p w14:paraId="599F84D5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57B7D0AB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5,0</w:t>
            </w:r>
          </w:p>
        </w:tc>
      </w:tr>
      <w:tr w:rsidR="00141ACE" w:rsidRPr="003A5E91" w14:paraId="105848BC" w14:textId="77777777" w:rsidTr="00691C32">
        <w:tc>
          <w:tcPr>
            <w:tcW w:w="2592" w:type="pct"/>
          </w:tcPr>
          <w:p w14:paraId="75B2C99E" w14:textId="77777777" w:rsidR="00141ACE" w:rsidRPr="00D36811" w:rsidRDefault="00141ACE" w:rsidP="00691C3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Пункт 6 підпункт 6.4</w:t>
            </w:r>
          </w:p>
          <w:p w14:paraId="467F5FFD" w14:textId="7D2DF904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проведення, фестивалів, творчих конкурсів та інших проектів Броварської міської територіальної громади</w:t>
            </w:r>
          </w:p>
        </w:tc>
        <w:tc>
          <w:tcPr>
            <w:tcW w:w="621" w:type="pct"/>
          </w:tcPr>
          <w:p w14:paraId="1F923B70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грн.</w:t>
            </w:r>
          </w:p>
        </w:tc>
        <w:tc>
          <w:tcPr>
            <w:tcW w:w="598" w:type="pct"/>
          </w:tcPr>
          <w:p w14:paraId="47FEF8F3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37,0</w:t>
            </w:r>
          </w:p>
        </w:tc>
        <w:tc>
          <w:tcPr>
            <w:tcW w:w="596" w:type="pct"/>
          </w:tcPr>
          <w:p w14:paraId="1BA16423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198B4EBC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110,0</w:t>
            </w:r>
          </w:p>
        </w:tc>
      </w:tr>
      <w:tr w:rsidR="00141ACE" w:rsidRPr="003A5E91" w14:paraId="4B810FA9" w14:textId="77777777" w:rsidTr="00691C32">
        <w:tc>
          <w:tcPr>
            <w:tcW w:w="2592" w:type="pct"/>
          </w:tcPr>
          <w:p w14:paraId="25EAFDE2" w14:textId="77777777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Всього по Програмі на 2025 рік</w:t>
            </w:r>
          </w:p>
        </w:tc>
        <w:tc>
          <w:tcPr>
            <w:tcW w:w="621" w:type="pct"/>
          </w:tcPr>
          <w:p w14:paraId="431A99AC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8" w:type="pct"/>
          </w:tcPr>
          <w:p w14:paraId="6E863BC4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250,0</w:t>
            </w:r>
          </w:p>
        </w:tc>
        <w:tc>
          <w:tcPr>
            <w:tcW w:w="596" w:type="pct"/>
          </w:tcPr>
          <w:p w14:paraId="2EAFB7B4" w14:textId="77777777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262744A4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500,0</w:t>
            </w:r>
          </w:p>
        </w:tc>
      </w:tr>
      <w:tr w:rsidR="00141ACE" w:rsidRPr="003A5E91" w14:paraId="24F75717" w14:textId="77777777" w:rsidTr="00691C32">
        <w:tc>
          <w:tcPr>
            <w:tcW w:w="2592" w:type="pct"/>
          </w:tcPr>
          <w:p w14:paraId="31429632" w14:textId="16FB767C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Всього по Програмі на 2022-202</w:t>
            </w:r>
            <w:r w:rsidR="00F640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D36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роки</w:t>
            </w:r>
          </w:p>
        </w:tc>
        <w:tc>
          <w:tcPr>
            <w:tcW w:w="621" w:type="pct"/>
          </w:tcPr>
          <w:p w14:paraId="6288C0CC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8" w:type="pct"/>
          </w:tcPr>
          <w:p w14:paraId="33593AA3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6154,0</w:t>
            </w:r>
          </w:p>
        </w:tc>
        <w:tc>
          <w:tcPr>
            <w:tcW w:w="596" w:type="pct"/>
          </w:tcPr>
          <w:p w14:paraId="012B419B" w14:textId="77777777" w:rsidR="00141ACE" w:rsidRPr="00D36811" w:rsidRDefault="00141ACE" w:rsidP="0069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тис. грн</w:t>
            </w:r>
          </w:p>
        </w:tc>
        <w:tc>
          <w:tcPr>
            <w:tcW w:w="593" w:type="pct"/>
          </w:tcPr>
          <w:p w14:paraId="7380883C" w14:textId="77777777" w:rsidR="00141ACE" w:rsidRPr="00D36811" w:rsidRDefault="00141ACE" w:rsidP="00691C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811">
              <w:rPr>
                <w:rFonts w:ascii="Times New Roman" w:hAnsi="Times New Roman" w:cs="Times New Roman"/>
                <w:i/>
                <w:sz w:val="28"/>
                <w:szCs w:val="28"/>
              </w:rPr>
              <w:t>6404,0</w:t>
            </w:r>
          </w:p>
        </w:tc>
      </w:tr>
    </w:tbl>
    <w:p w14:paraId="636253F4" w14:textId="1E781767" w:rsidR="005F334B" w:rsidRPr="00827775" w:rsidRDefault="00827775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E3BAB7B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22E607A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8381D83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D94FF74" w14:textId="77777777" w:rsidR="00D36811" w:rsidRPr="00D36811" w:rsidRDefault="00D36811" w:rsidP="00D36811">
      <w:pPr>
        <w:rPr>
          <w:rFonts w:ascii="Times New Roman" w:hAnsi="Times New Roman" w:cs="Times New Roman"/>
          <w:sz w:val="28"/>
          <w:szCs w:val="28"/>
        </w:rPr>
      </w:pPr>
      <w:r w:rsidRPr="00D36811">
        <w:rPr>
          <w:rFonts w:ascii="Times New Roman" w:hAnsi="Times New Roman" w:cs="Times New Roman"/>
          <w:sz w:val="28"/>
          <w:szCs w:val="28"/>
        </w:rPr>
        <w:t>В.о. начальника управління</w:t>
      </w:r>
      <w:r w:rsidRPr="00D36811">
        <w:rPr>
          <w:rFonts w:ascii="Times New Roman" w:hAnsi="Times New Roman" w:cs="Times New Roman"/>
          <w:sz w:val="28"/>
          <w:szCs w:val="28"/>
        </w:rPr>
        <w:tab/>
      </w:r>
      <w:r w:rsidRPr="00D36811">
        <w:rPr>
          <w:rFonts w:ascii="Times New Roman" w:hAnsi="Times New Roman" w:cs="Times New Roman"/>
          <w:sz w:val="28"/>
          <w:szCs w:val="28"/>
        </w:rPr>
        <w:tab/>
      </w:r>
      <w:r w:rsidRPr="00D36811">
        <w:rPr>
          <w:rFonts w:ascii="Times New Roman" w:hAnsi="Times New Roman" w:cs="Times New Roman"/>
          <w:sz w:val="28"/>
          <w:szCs w:val="28"/>
        </w:rPr>
        <w:tab/>
      </w:r>
      <w:r w:rsidRPr="00D36811">
        <w:rPr>
          <w:rFonts w:ascii="Times New Roman" w:hAnsi="Times New Roman" w:cs="Times New Roman"/>
          <w:sz w:val="28"/>
          <w:szCs w:val="28"/>
        </w:rPr>
        <w:tab/>
      </w:r>
      <w:r w:rsidRPr="00D36811">
        <w:rPr>
          <w:rFonts w:ascii="Times New Roman" w:hAnsi="Times New Roman" w:cs="Times New Roman"/>
          <w:sz w:val="28"/>
          <w:szCs w:val="28"/>
        </w:rPr>
        <w:tab/>
        <w:t>Лариса МЕТЬОЛКІНА</w:t>
      </w:r>
    </w:p>
    <w:p w14:paraId="0BD0E15E" w14:textId="708AF2E4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17054"/>
    <w:multiLevelType w:val="multilevel"/>
    <w:tmpl w:val="0FAECB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0D21DA"/>
    <w:multiLevelType w:val="multilevel"/>
    <w:tmpl w:val="E166A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6886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705068">
    <w:abstractNumId w:val="1"/>
  </w:num>
  <w:num w:numId="3" w16cid:durableId="67137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41ACE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A45E2"/>
    <w:rsid w:val="007E7FBA"/>
    <w:rsid w:val="00827775"/>
    <w:rsid w:val="00881846"/>
    <w:rsid w:val="0093042B"/>
    <w:rsid w:val="009B7D79"/>
    <w:rsid w:val="009C0EEF"/>
    <w:rsid w:val="00A218AE"/>
    <w:rsid w:val="00B35D4C"/>
    <w:rsid w:val="00B46089"/>
    <w:rsid w:val="00B80167"/>
    <w:rsid w:val="00BF6942"/>
    <w:rsid w:val="00C21ACF"/>
    <w:rsid w:val="00D36811"/>
    <w:rsid w:val="00D5049E"/>
    <w:rsid w:val="00D92C45"/>
    <w:rsid w:val="00DD7BFD"/>
    <w:rsid w:val="00F64098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A869"/>
  <w15:docId w15:val="{F45B1716-2BC8-4B6B-85A4-AF372C81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">
    <w:name w:val="Заголовок №1_"/>
    <w:basedOn w:val="a0"/>
    <w:link w:val="10"/>
    <w:rsid w:val="00141AC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141ACE"/>
    <w:pPr>
      <w:widowControl w:val="0"/>
      <w:spacing w:after="230" w:line="257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_"/>
    <w:basedOn w:val="a0"/>
    <w:link w:val="11"/>
    <w:rsid w:val="00141AC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141ACE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141ACE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3313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2025-02-07T09:22:00Z</dcterms:modified>
</cp:coreProperties>
</file>