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         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***, *** р.н., ***, *** р.н., ***, *** р.н., ***, *** 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 КАРЯКІНА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закладу дошкільної освіти (ясла-садок) комбінованого типу «Червоні вітрила» Броварської міської ради Броварського району Київської області (за згодою); 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області.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>
        <w:tblPrEx>
          <w:tblW w:w="9923" w:type="dxa"/>
          <w:tblInd w:w="108" w:type="dxa"/>
          <w:tblLook w:val="04A0"/>
        </w:tblPrEx>
        <w:trPr>
          <w:trHeight w:val="721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РОМАНОВИЧ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>
            <w:pPr>
              <w:tabs>
                <w:tab w:val="left" w:pos="567"/>
                <w:tab w:val="left" w:pos="340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загальної практики – сімейної медицини №7 КНП БМР БР КО «Броварський міський центр первинної медико-санітарної допомоги» (за згодою);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БО «Київське обласне відділення «Благодійний Фонд «СОС Дитяче Містечко»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BalloonText">
    <w:name w:val="Balloon Text"/>
    <w:basedOn w:val="Normal"/>
    <w:link w:val="a1"/>
    <w:semiHidden/>
    <w:pPr>
      <w:spacing w:beforeAutospacing="0" w:after="0" w:afterAutospacing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2023-09-13T10:16:03Z</dcterms:modified>
</cp:coreProperties>
</file>