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E7" w:rsidRPr="00CF02D7" w:rsidRDefault="00D572E7" w:rsidP="00D572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D572E7" w:rsidRDefault="00D572E7" w:rsidP="00D572E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D572E7" w:rsidRDefault="00D572E7" w:rsidP="00D57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внесення змін до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Програми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будівництва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капітального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ремонту,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у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тримання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об</w:t>
      </w:r>
      <w:r w:rsidRPr="00C70730">
        <w:rPr>
          <w:rFonts w:ascii="Times New Roman" w:hAnsi="Times New Roman" w:cs="Times New Roman"/>
          <w:b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uk-UA"/>
        </w:rPr>
        <w:t>єктів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благоустрою та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соціально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– культурного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призначення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громади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>на 20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25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роки</w:t>
      </w:r>
      <w:r w:rsidRPr="00A11EB5">
        <w:rPr>
          <w:rFonts w:ascii="Times New Roman" w:hAnsi="Times New Roman" w:cs="Times New Roman"/>
          <w:b/>
          <w:sz w:val="28"/>
          <w:szCs w:val="28"/>
        </w:rPr>
        <w:t>»</w:t>
      </w:r>
    </w:p>
    <w:p w:rsidR="00D572E7" w:rsidRDefault="00D572E7" w:rsidP="00D57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572E7" w:rsidRDefault="00D572E7" w:rsidP="00D572E7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572E7" w:rsidRDefault="00D572E7" w:rsidP="00D572E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За рахунок перерозподілу збільшуємо видатки на реалізацію проекту нового будівництва об</w:t>
      </w:r>
      <w:r w:rsidRPr="00E8356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«Нове будівництво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Івана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області».</w:t>
      </w:r>
    </w:p>
    <w:p w:rsidR="00D572E7" w:rsidRPr="0010613C" w:rsidRDefault="00D572E7" w:rsidP="00D572E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введення в експлуатацію об</w:t>
      </w:r>
      <w:r w:rsidRPr="00F8593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85937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"Зірочка" по вул. Ярослава Мудрого (Кірова),3 в </w:t>
      </w:r>
      <w:proofErr w:type="spellStart"/>
      <w:r w:rsidRPr="00F85937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F8593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є обов</w:t>
      </w:r>
      <w:r w:rsidRPr="00F8593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язковим наявність укриття, тому в поточному році прийнято рішення про початок будівництва на об</w:t>
      </w:r>
      <w:r w:rsidRPr="00F8593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F85937">
        <w:rPr>
          <w:rFonts w:ascii="Times New Roman" w:hAnsi="Times New Roman" w:cs="Times New Roman"/>
          <w:sz w:val="28"/>
          <w:szCs w:val="28"/>
          <w:lang w:val="uk-UA"/>
        </w:rPr>
        <w:t>Нове будівництво захисної споруди цивільного захисту на території закладу дошкільної освіти (ясел 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для цього з бюджету виділено фінансування у розмірі «5000,00»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Всього вартість проектно кошторисної документації з нового будівництва складає «67 904,421»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2E7" w:rsidRDefault="00D572E7" w:rsidP="00D572E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D572E7" w:rsidRDefault="00D572E7" w:rsidP="00D572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Покращення благоустрою території міста Бровари, шляхом будівництва провулку Івана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рахунок перерозподілу видатків в межах  «Програми</w:t>
      </w:r>
      <w:r w:rsidRPr="00A24E5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A24E51">
        <w:rPr>
          <w:rFonts w:ascii="Times New Roman" w:hAnsi="Times New Roman" w:cs="Times New Roman"/>
          <w:sz w:val="27"/>
          <w:szCs w:val="27"/>
          <w:lang w:val="uk-UA"/>
        </w:rPr>
        <w:t>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7"/>
          <w:szCs w:val="27"/>
          <w:lang w:val="uk-UA"/>
        </w:rPr>
        <w:t>», зміна КЕКВ та внесення в Додаток №6 бюджетного рішення.</w:t>
      </w:r>
      <w:r w:rsidRPr="00A24E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72E7" w:rsidRPr="00A24E51" w:rsidRDefault="00D572E7" w:rsidP="00D572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Розпочати роботи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507A8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85937">
        <w:rPr>
          <w:rFonts w:ascii="Times New Roman" w:hAnsi="Times New Roman" w:cs="Times New Roman"/>
          <w:sz w:val="28"/>
          <w:szCs w:val="28"/>
          <w:lang w:val="uk-UA"/>
        </w:rPr>
        <w:t>Нове будівництво захисної споруди цивільного захисту на території закладу дошкільної освіти (ясел 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572E7" w:rsidRPr="00B52D9C" w:rsidRDefault="00D572E7" w:rsidP="00D572E7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D572E7" w:rsidRDefault="00D572E7" w:rsidP="00D572E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5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5"/>
    <w:p w:rsidR="00D572E7" w:rsidRDefault="00D572E7" w:rsidP="00D572E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D572E7" w:rsidRDefault="00D572E7" w:rsidP="00D572E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«289 320,57»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6"/>
    <w:p w:rsidR="00D572E7" w:rsidRDefault="00D572E7" w:rsidP="00D572E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D572E7" w:rsidRDefault="00D572E7" w:rsidP="00D572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Нове будівництво провулку Івана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Сокура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572E7" w:rsidRDefault="00D572E7" w:rsidP="00D57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937">
        <w:rPr>
          <w:rFonts w:ascii="Times New Roman" w:hAnsi="Times New Roman" w:cs="Times New Roman"/>
          <w:sz w:val="28"/>
          <w:szCs w:val="28"/>
          <w:lang w:val="uk-UA"/>
        </w:rPr>
        <w:t>Нове будівництво захисної споруди цивільного захисту на території закладу дошкільної освіти (ясел 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572E7" w:rsidRDefault="00D572E7" w:rsidP="00D57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2E7" w:rsidRPr="00CC4628" w:rsidRDefault="00D572E7" w:rsidP="00D572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2E7" w:rsidRPr="00420FB9" w:rsidRDefault="00D572E7" w:rsidP="00D572E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lastRenderedPageBreak/>
        <w:t>Суб’єкт подання проекту рішення.</w:t>
      </w:r>
    </w:p>
    <w:p w:rsidR="00D572E7" w:rsidRDefault="00D572E7" w:rsidP="00D572E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7"/>
    <w:p w:rsidR="00D572E7" w:rsidRPr="00066C5D" w:rsidRDefault="00D572E7" w:rsidP="00D572E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8" w:name="_Hlk139880230"/>
      <w:bookmarkStart w:id="9" w:name="_Hlk141947714"/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276"/>
        <w:gridCol w:w="992"/>
        <w:gridCol w:w="1276"/>
      </w:tblGrid>
      <w:tr w:rsidR="00D572E7" w:rsidRPr="008703F2" w:rsidTr="00F74C35">
        <w:trPr>
          <w:trHeight w:val="21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E7" w:rsidRPr="0046353E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E7" w:rsidRPr="0046353E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E7" w:rsidRPr="0046353E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</w:tr>
      <w:tr w:rsidR="00D572E7" w:rsidRPr="008703F2" w:rsidTr="00F74C35">
        <w:trPr>
          <w:trHeight w:val="142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E7" w:rsidRPr="00CB70B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284 320,57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E7" w:rsidRPr="00CB70B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2E7" w:rsidRPr="00CB70B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289 320,57</w:t>
            </w:r>
          </w:p>
        </w:tc>
      </w:tr>
      <w:tr w:rsidR="00D572E7" w:rsidRPr="008703F2" w:rsidTr="00F74C35">
        <w:trPr>
          <w:trHeight w:val="250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шляхова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інфраструктура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благоустрій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E7" w:rsidRPr="00066C5D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173 171,25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E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D572E7" w:rsidRPr="00CB70B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2E7" w:rsidRPr="00066C5D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173 171,25</w:t>
            </w:r>
          </w:p>
        </w:tc>
      </w:tr>
      <w:tr w:rsidR="00D572E7" w:rsidRPr="008703F2" w:rsidTr="00F74C35">
        <w:trPr>
          <w:trHeight w:val="4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E7" w:rsidRPr="00066C5D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доріг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вулиць</w:t>
            </w:r>
            <w:proofErr w:type="spellEnd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шляхопроводів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2E7" w:rsidRPr="00066C5D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E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D572E7" w:rsidRPr="00CB70B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2E7" w:rsidRPr="00066C5D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D572E7" w:rsidRPr="00507A80" w:rsidTr="00F74C35">
        <w:trPr>
          <w:trHeight w:val="4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111 149,32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116 149,32</w:t>
            </w:r>
          </w:p>
        </w:tc>
      </w:tr>
      <w:tr w:rsidR="00D572E7" w:rsidRPr="008703F2" w:rsidTr="00F74C35">
        <w:trPr>
          <w:trHeight w:val="442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507A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109 649,32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2E7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2E7" w:rsidRPr="00507A80" w:rsidRDefault="00D572E7" w:rsidP="00F74C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114 649,32</w:t>
            </w:r>
          </w:p>
        </w:tc>
      </w:tr>
    </w:tbl>
    <w:p w:rsidR="00D572E7" w:rsidRPr="000227BB" w:rsidRDefault="00D572E7" w:rsidP="00D572E7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uk-UA"/>
        </w:rPr>
      </w:pPr>
    </w:p>
    <w:p w:rsidR="00D572E7" w:rsidRDefault="00D572E7" w:rsidP="00D572E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bookmarkStart w:id="10" w:name="_Hlk158369166"/>
    </w:p>
    <w:p w:rsidR="00D572E7" w:rsidRPr="00E56120" w:rsidRDefault="00D572E7" w:rsidP="00D572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1" w:name="_Hlk158369183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D572E7" w:rsidRPr="00E56120" w:rsidRDefault="00D572E7" w:rsidP="00D572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D572E7" w:rsidRPr="00A54102" w:rsidRDefault="00D572E7" w:rsidP="00D572E7">
      <w:pPr>
        <w:spacing w:after="0" w:line="240" w:lineRule="auto"/>
        <w:contextualSpacing/>
        <w:jc w:val="both"/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Світлана РЕШЕТОВА</w:t>
      </w:r>
      <w:bookmarkEnd w:id="11"/>
    </w:p>
    <w:p w:rsidR="009B7D79" w:rsidRPr="00D572E7" w:rsidRDefault="009B7D79" w:rsidP="00D572E7"/>
    <w:sectPr w:rsidR="009B7D79" w:rsidRPr="00D572E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572E7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657D"/>
  <w15:docId w15:val="{C9AF42FA-F2A0-4C2B-B679-846DFC8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D57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2025-01-21T11:03:00Z</dcterms:modified>
</cp:coreProperties>
</file>