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ПВ-789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2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***, *** р.н.,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***, *** р.н.,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р.н.,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***, ***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ГОЛУБНИЧА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РОМАНОВИЧ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загальної  практики сімейної медицини №7 КНП БМР БР КО «Броварський міський центр первинної медико-санітарної допомоги» (за згодою); </w:t>
            </w: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СЕМЧУК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(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за згодою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</w:tc>
      </w:tr>
      <w:tr>
        <w:tblPrEx>
          <w:tblW w:w="9923" w:type="dxa"/>
          <w:tblInd w:w="108" w:type="dxa"/>
          <w:tblLook w:val="04A0"/>
        </w:tblPrEx>
        <w:trPr>
          <w:trHeight w:val="721"/>
        </w:trPr>
        <w:tc>
          <w:tcPr>
            <w:tcW w:w="4503" w:type="dxa"/>
          </w:tcPr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basedOn w:val="Normal"/>
    <w:qFormat/>
    <w:pPr>
      <w:spacing w:beforeAutospacing="0" w:after="0" w:afterAutospacing="0" w:line="240" w:lineRule="auto"/>
    </w:pPr>
    <w:rPr>
      <w:rFonts w:ascii="Calibri" w:hAnsi="Calibri"/>
      <w:sz w:val="24"/>
      <w:szCs w:val="32"/>
      <w:lang w:val="ru-RU"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2023-09-20T13:46:38Z</dcterms:modified>
</cp:coreProperties>
</file>