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59E4" w14:textId="711C83C0" w:rsidR="005B1C08" w:rsidRPr="005251DF" w:rsidRDefault="005251DF" w:rsidP="005251DF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38396A8" w14:textId="77777777" w:rsidR="005251DF" w:rsidRPr="00184B53" w:rsidRDefault="005251DF" w:rsidP="005251DF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 проекту рішення «Про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на 2025 рік»</w:t>
      </w:r>
    </w:p>
    <w:p w14:paraId="4A378E89" w14:textId="77777777" w:rsidR="005251DF" w:rsidRPr="00184B53" w:rsidRDefault="005251DF" w:rsidP="005251D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50640000" w14:textId="77777777" w:rsidR="005251DF" w:rsidRPr="00184B53" w:rsidRDefault="005251DF" w:rsidP="005251DF">
      <w:pPr>
        <w:keepNext/>
        <w:keepLines/>
        <w:widowControl w:val="0"/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2760DEDC" w14:textId="77777777" w:rsidR="005251DF" w:rsidRPr="00184B53" w:rsidRDefault="005251DF" w:rsidP="005251DF">
      <w:pPr>
        <w:keepNext/>
        <w:keepLines/>
        <w:widowControl w:val="0"/>
        <w:spacing w:after="0" w:line="216" w:lineRule="auto"/>
        <w:ind w:left="6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</w:p>
    <w:p w14:paraId="4A52761D" w14:textId="77777777" w:rsidR="005251DF" w:rsidRPr="00184B53" w:rsidRDefault="005251DF" w:rsidP="005251DF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  <w:t>Обґрунтування необхідності прийняття рішення.</w:t>
      </w:r>
    </w:p>
    <w:p w14:paraId="588A085B" w14:textId="77777777" w:rsidR="005251DF" w:rsidRPr="00184B53" w:rsidRDefault="005251DF" w:rsidP="005251DF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Основною метою змін до Програми є організація належних умов праці щодо ефективного забезпечення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правопорушень, тому є потреба внесення змін:</w:t>
      </w:r>
    </w:p>
    <w:p w14:paraId="426F7263" w14:textId="77777777" w:rsidR="005251DF" w:rsidRPr="00184B53" w:rsidRDefault="005251DF" w:rsidP="005251DF">
      <w:pPr>
        <w:spacing w:after="0" w:line="216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184B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Pr="0018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додатку </w:t>
      </w:r>
      <w:r w:rsidRPr="00184B53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до Програми «</w:t>
      </w:r>
      <w:r w:rsidRPr="00184B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Заходи та потреба у фінансуванні Програми»</w:t>
      </w:r>
      <w:r w:rsidRPr="00184B53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пункт 4 додати в новій редакції а саме: «Придбання для Київського Науково-Дослідного Експертно-Криміналістичного Центру МВС України </w:t>
      </w:r>
      <w:proofErr w:type="spellStart"/>
      <w:r w:rsidRPr="00184B53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комплекта</w:t>
      </w:r>
      <w:proofErr w:type="spellEnd"/>
      <w:r w:rsidRPr="00184B53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двоканального газового хроматографа».</w:t>
      </w:r>
    </w:p>
    <w:p w14:paraId="488405F3" w14:textId="77777777" w:rsidR="005251DF" w:rsidRPr="00184B53" w:rsidRDefault="005251DF" w:rsidP="005251DF">
      <w:pPr>
        <w:spacing w:after="0" w:line="216" w:lineRule="auto"/>
        <w:ind w:firstLine="709"/>
        <w:contextualSpacing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14:paraId="0BE507C8" w14:textId="77777777" w:rsidR="005251DF" w:rsidRPr="00184B53" w:rsidRDefault="005251DF" w:rsidP="005251DF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 і шляхи її досягнення.</w:t>
      </w:r>
    </w:p>
    <w:p w14:paraId="6C684897" w14:textId="77777777" w:rsidR="005251DF" w:rsidRPr="00184B53" w:rsidRDefault="005251DF" w:rsidP="005251DF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Метою є покращення та модернізація матеріально-технічного забезпечення, що, як наслідок, сприяє підвищенню якості та швидкості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 регіонального безпекового середовища на території Броварської громади.</w:t>
      </w:r>
    </w:p>
    <w:p w14:paraId="77B5A6E3" w14:textId="77777777" w:rsidR="005251DF" w:rsidRPr="00184B53" w:rsidRDefault="005251DF" w:rsidP="005251DF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Розкриття кримінальних правопорушень за фактами воєнних злочинів шляхом проведення судових експертиз, пов’язаних з дослідженням та ідентифікацією невпізнаних трупів та їх останків, металевих уламків від ракет і безпілотників.</w:t>
      </w:r>
    </w:p>
    <w:p w14:paraId="0ED0512C" w14:textId="77777777" w:rsidR="005251DF" w:rsidRPr="00184B53" w:rsidRDefault="005251DF" w:rsidP="005251DF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68C6BE74" w14:textId="77777777" w:rsidR="005251DF" w:rsidRPr="00184B53" w:rsidRDefault="005251DF" w:rsidP="005251DF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Правові аспекти.</w:t>
      </w:r>
    </w:p>
    <w:p w14:paraId="2B854E32" w14:textId="77777777" w:rsidR="005251DF" w:rsidRPr="00184B53" w:rsidRDefault="005251DF" w:rsidP="005251DF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Закони України «Про Національну поліцію», «Про місцеве самоврядування в Україні».</w:t>
      </w:r>
    </w:p>
    <w:p w14:paraId="341596C7" w14:textId="77777777" w:rsidR="005251DF" w:rsidRPr="00184B53" w:rsidRDefault="005251DF" w:rsidP="005251DF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3B461620" w14:textId="77777777" w:rsidR="005251DF" w:rsidRPr="00184B53" w:rsidRDefault="005251DF" w:rsidP="005251DF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Фінансово-економічне обґрунтування.</w:t>
      </w:r>
    </w:p>
    <w:p w14:paraId="0ACBAE8F" w14:textId="77777777" w:rsidR="005251DF" w:rsidRPr="00184B53" w:rsidRDefault="005251DF" w:rsidP="005251DF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Даним проектом рішення збільшується фінансування на 12 500,0 тис. грн. </w:t>
      </w:r>
      <w:r w:rsidRPr="00184B5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>по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заходу «Матеріальне технічне забезпечення,</w:t>
      </w: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84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 зв’язку з чим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</w:t>
      </w:r>
      <w:r w:rsidRPr="00184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агальний обсяг фінансових ресурсів для реалізації Програми в 2025 році буде становити 16 199,0 тис. грн.,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</w:p>
    <w:p w14:paraId="42F44AC3" w14:textId="77777777" w:rsidR="005251DF" w:rsidRPr="00184B53" w:rsidRDefault="005251DF" w:rsidP="005251DF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30E4F820" w14:textId="77777777" w:rsidR="005251DF" w:rsidRPr="00184B53" w:rsidRDefault="005251DF" w:rsidP="005251DF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Прогноз результатів.</w:t>
      </w:r>
    </w:p>
    <w:p w14:paraId="5B0FC2EF" w14:textId="77777777" w:rsidR="005251DF" w:rsidRPr="00184B53" w:rsidRDefault="005251DF" w:rsidP="005251DF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регіонального безпекового середовища на території Броварської громади шляхом забезпечення Броварське РУП ГУНП службовими автомобілями, паливно-мастильними матеріалами та запчастинами, розхідними та іншими матеріалами, технікою необхідною для забезпечення функціонування управління.</w:t>
      </w:r>
    </w:p>
    <w:p w14:paraId="06B62677" w14:textId="77777777" w:rsidR="005251DF" w:rsidRPr="00184B53" w:rsidRDefault="005251DF" w:rsidP="005251DF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lastRenderedPageBreak/>
        <w:t>Реалізації Київським НДУКЦ МВС першочергових завдань, що стосуються проведення судових експертиз, розвитку і підтримки науково-експертної діяльності у суспільних інтересах, залучення судових експертів до заходів пов’язаних з дослідженням та ідентифікацією невпізнаних трупів та їх останків, металевих уламків від ракет і безпілотників.</w:t>
      </w:r>
    </w:p>
    <w:p w14:paraId="14EE5C54" w14:textId="77777777" w:rsidR="005251DF" w:rsidRPr="00184B53" w:rsidRDefault="005251DF" w:rsidP="005251DF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1758C5BB" w14:textId="77777777" w:rsidR="005251DF" w:rsidRPr="00184B53" w:rsidRDefault="005251DF" w:rsidP="005251DF">
      <w:pPr>
        <w:keepNext/>
        <w:keepLines/>
        <w:widowControl w:val="0"/>
        <w:spacing w:after="0" w:line="216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Суб’єкт подання проекту рішення.</w:t>
      </w:r>
    </w:p>
    <w:p w14:paraId="43A647C9" w14:textId="77777777" w:rsidR="005251DF" w:rsidRPr="00184B53" w:rsidRDefault="005251DF" w:rsidP="005251DF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5D1CD457" w14:textId="77777777" w:rsidR="005251DF" w:rsidRPr="00184B53" w:rsidRDefault="005251DF" w:rsidP="005251DF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360B0425" w14:textId="77777777" w:rsidR="005251DF" w:rsidRPr="00184B53" w:rsidRDefault="005251DF" w:rsidP="005251DF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Підпокровний</w:t>
      </w:r>
      <w:proofErr w:type="spellEnd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5FAAC08D" w14:textId="77777777" w:rsidR="005251DF" w:rsidRPr="00B34F7F" w:rsidRDefault="005251DF" w:rsidP="005251D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34A9DB82" w14:textId="77777777" w:rsidR="005251DF" w:rsidRPr="00946C85" w:rsidRDefault="005251DF" w:rsidP="005251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tbl>
      <w:tblPr>
        <w:tblW w:w="126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031"/>
        <w:gridCol w:w="1662"/>
        <w:gridCol w:w="1095"/>
        <w:gridCol w:w="513"/>
        <w:gridCol w:w="1416"/>
        <w:gridCol w:w="1682"/>
        <w:gridCol w:w="1222"/>
        <w:gridCol w:w="993"/>
        <w:gridCol w:w="931"/>
        <w:gridCol w:w="21"/>
        <w:gridCol w:w="840"/>
        <w:gridCol w:w="861"/>
      </w:tblGrid>
      <w:tr w:rsidR="005251DF" w:rsidRPr="00946C85" w14:paraId="5C6AAFD5" w14:textId="77777777" w:rsidTr="00F63645">
        <w:trPr>
          <w:gridAfter w:val="2"/>
          <w:wAfter w:w="1701" w:type="dxa"/>
          <w:trHeight w:val="723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CE7C" w14:textId="77777777" w:rsidR="005251DF" w:rsidRPr="00946C85" w:rsidRDefault="005251DF" w:rsidP="00F63645">
            <w:pPr>
              <w:tabs>
                <w:tab w:val="righ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редакція:</w:t>
            </w:r>
          </w:p>
          <w:p w14:paraId="643C5717" w14:textId="77777777" w:rsidR="005251DF" w:rsidRPr="00946C85" w:rsidRDefault="005251DF" w:rsidP="00F6364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0ADB" w14:textId="77777777" w:rsidR="005251DF" w:rsidRPr="00946C85" w:rsidRDefault="005251DF" w:rsidP="00F6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Нова редакція: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7D48" w14:textId="77777777" w:rsidR="005251DF" w:rsidRPr="00946C85" w:rsidRDefault="005251DF" w:rsidP="00F6364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E13D" w14:textId="77777777" w:rsidR="005251DF" w:rsidRPr="00946C85" w:rsidRDefault="005251DF" w:rsidP="00F63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5251DF" w:rsidRPr="00946C85" w14:paraId="7E70DBC7" w14:textId="77777777" w:rsidTr="00F63645">
        <w:trPr>
          <w:gridAfter w:val="3"/>
          <w:wAfter w:w="1722" w:type="dxa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73F2" w14:textId="77777777" w:rsidR="005251DF" w:rsidRPr="00946C85" w:rsidRDefault="005251DF" w:rsidP="00F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1C39A3B5" w14:textId="77777777" w:rsidR="005251DF" w:rsidRDefault="005251DF" w:rsidP="00F63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</w:p>
          <w:p w14:paraId="37CA5056" w14:textId="77777777" w:rsidR="005251DF" w:rsidRDefault="005251DF" w:rsidP="00F63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</w:p>
          <w:p w14:paraId="1EF360BA" w14:textId="77777777" w:rsidR="005251DF" w:rsidRDefault="005251DF" w:rsidP="00F63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</w:p>
          <w:p w14:paraId="07B4BE2B" w14:textId="1D34DB43" w:rsidR="005251DF" w:rsidRPr="00B30DD7" w:rsidRDefault="005251DF" w:rsidP="00F636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1.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3463" w14:textId="77777777" w:rsidR="005251DF" w:rsidRDefault="005251DF" w:rsidP="00F63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09169FB9" w14:textId="77777777" w:rsidR="005251DF" w:rsidRPr="00946C85" w:rsidRDefault="005251DF" w:rsidP="00F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__________</w:t>
            </w:r>
          </w:p>
          <w:p w14:paraId="43FA22F2" w14:textId="77777777" w:rsidR="005251DF" w:rsidRPr="00BA18C9" w:rsidRDefault="005251DF" w:rsidP="00F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A18C9">
              <w:rPr>
                <w:rFonts w:ascii="Times New Roman" w:eastAsia="Calibri" w:hAnsi="Times New Roman" w:cs="Times New Roman"/>
                <w:b/>
                <w:bCs/>
                <w:spacing w:val="2"/>
                <w:sz w:val="16"/>
                <w:szCs w:val="16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743B" w14:textId="77777777" w:rsidR="005251DF" w:rsidRPr="00BA18C9" w:rsidRDefault="005251DF" w:rsidP="00F63645">
            <w:pPr>
              <w:spacing w:after="0" w:line="22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BA18C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Перелік заходів</w:t>
            </w:r>
          </w:p>
          <w:p w14:paraId="2E46DEDD" w14:textId="77777777" w:rsidR="005251DF" w:rsidRPr="00BA18C9" w:rsidRDefault="005251DF" w:rsidP="00F63645">
            <w:pPr>
              <w:spacing w:after="0" w:line="22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BA18C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програми</w:t>
            </w:r>
          </w:p>
          <w:p w14:paraId="6FE09F9F" w14:textId="77777777" w:rsidR="005251DF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175880B7" w14:textId="77777777" w:rsidR="005251DF" w:rsidRDefault="005251DF" w:rsidP="00F63645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__________________</w:t>
            </w:r>
          </w:p>
          <w:p w14:paraId="394E99F6" w14:textId="14243593" w:rsidR="005251DF" w:rsidRPr="002C2268" w:rsidRDefault="005251DF" w:rsidP="005251DF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17755606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0B71EDFD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2CC3B32A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6ABD2B32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762F0E4E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 xml:space="preserve">паливно-мастильних матеріалів, гуми, запасних частин та послуг з технічного обслуговування і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lastRenderedPageBreak/>
              <w:t>ремонту службових автомобілів;</w:t>
            </w:r>
          </w:p>
          <w:p w14:paraId="0644AAD2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1359DDBC" w14:textId="77777777" w:rsidR="005251DF" w:rsidRPr="002C2268" w:rsidRDefault="005251DF" w:rsidP="00F63645">
            <w:pPr>
              <w:spacing w:after="0" w:line="228" w:lineRule="auto"/>
              <w:ind w:firstLine="402"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розхідних матеріалів, сейф та крафт пакети різних розмірів для упакування речових доказів, засоби індивідуального захисту;</w:t>
            </w:r>
          </w:p>
          <w:p w14:paraId="799C258C" w14:textId="77777777" w:rsidR="005251DF" w:rsidRPr="00946C85" w:rsidRDefault="005251DF" w:rsidP="00F6364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облаштування приміщень для проведення допитів неповнолітніх</w:t>
            </w:r>
          </w:p>
          <w:p w14:paraId="76596B29" w14:textId="77777777" w:rsidR="005251DF" w:rsidRPr="00946C85" w:rsidRDefault="005251DF" w:rsidP="00F6364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51C" w14:textId="77777777" w:rsidR="005251DF" w:rsidRPr="00946C85" w:rsidRDefault="005251DF" w:rsidP="00F6364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lastRenderedPageBreak/>
              <w:t>Потреба у фінансуванні</w:t>
            </w:r>
          </w:p>
          <w:p w14:paraId="0B781EB3" w14:textId="77777777" w:rsidR="005251DF" w:rsidRDefault="005251DF" w:rsidP="00F63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  <w:p w14:paraId="1A3E5F3E" w14:textId="77777777" w:rsidR="005251DF" w:rsidRDefault="005251DF" w:rsidP="00F63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65D8996C" w14:textId="77777777" w:rsidR="005251DF" w:rsidRDefault="005251DF" w:rsidP="00F63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4182C483" w14:textId="77777777" w:rsidR="005251DF" w:rsidRDefault="005251DF" w:rsidP="00F63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50B9AE3B" w14:textId="77777777" w:rsidR="005251DF" w:rsidRDefault="005251DF" w:rsidP="00F63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7E5DE2B3" w14:textId="77777777" w:rsidR="005251DF" w:rsidRDefault="005251DF" w:rsidP="00F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72CEE1FD" w14:textId="77777777" w:rsidR="005251DF" w:rsidRPr="00E40354" w:rsidRDefault="005251DF" w:rsidP="00F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5C09595" w14:textId="77777777" w:rsidR="005251DF" w:rsidRPr="00946C85" w:rsidRDefault="005251DF" w:rsidP="00F63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3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000,0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338B" w14:textId="77777777" w:rsidR="005251DF" w:rsidRPr="00946C85" w:rsidRDefault="005251DF" w:rsidP="00F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42BBA811" w14:textId="77777777" w:rsidR="005251DF" w:rsidRDefault="005251DF" w:rsidP="00F63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</w:pPr>
          </w:p>
          <w:p w14:paraId="02D1CDFD" w14:textId="77777777" w:rsidR="0064583D" w:rsidRDefault="0064583D" w:rsidP="00F63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</w:pPr>
          </w:p>
          <w:p w14:paraId="0E63DFB2" w14:textId="77777777" w:rsidR="0064583D" w:rsidRDefault="0064583D" w:rsidP="00F63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</w:pPr>
          </w:p>
          <w:p w14:paraId="37A4E529" w14:textId="77777777" w:rsidR="0064583D" w:rsidRDefault="0064583D" w:rsidP="00F63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</w:pPr>
          </w:p>
          <w:p w14:paraId="08C1411A" w14:textId="0807969B" w:rsidR="0064583D" w:rsidRPr="00946C85" w:rsidRDefault="0064583D" w:rsidP="00F63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  <w:t>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419B" w14:textId="45FE6A7E" w:rsidR="005251DF" w:rsidRDefault="005251DF" w:rsidP="00F63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4C48466B" w14:textId="0BC2428D" w:rsidR="006B2CFD" w:rsidRDefault="006B2CFD" w:rsidP="00F63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367FE03C" w14:textId="77777777" w:rsidR="006B2CFD" w:rsidRPr="00AA3E12" w:rsidRDefault="006B2CFD" w:rsidP="00F63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5D7DFB34" w14:textId="261B7C0A" w:rsidR="005251DF" w:rsidRPr="005251DF" w:rsidRDefault="005251DF" w:rsidP="00F63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____________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___</w:t>
            </w:r>
          </w:p>
          <w:p w14:paraId="78F048A7" w14:textId="77777777" w:rsidR="005251DF" w:rsidRPr="00AA3E12" w:rsidRDefault="005251DF" w:rsidP="00F63645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pacing w:val="2"/>
                <w:sz w:val="16"/>
                <w:szCs w:val="16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39A9" w14:textId="77777777" w:rsidR="005251DF" w:rsidRPr="00946C85" w:rsidRDefault="005251DF" w:rsidP="00F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E023" w14:textId="77777777" w:rsidR="005251DF" w:rsidRPr="00946C85" w:rsidRDefault="005251DF" w:rsidP="00F6364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29B36D17" w14:textId="77777777" w:rsidR="005251DF" w:rsidRPr="00946C85" w:rsidRDefault="005251DF" w:rsidP="00F6364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E50B" w14:textId="77777777" w:rsidR="005251DF" w:rsidRPr="00946C85" w:rsidRDefault="005251DF" w:rsidP="00F6364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639BC118" w14:textId="77777777" w:rsidR="005251DF" w:rsidRPr="00946C85" w:rsidRDefault="005251DF" w:rsidP="00F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9759" w14:textId="77777777" w:rsidR="005251DF" w:rsidRPr="00946C85" w:rsidRDefault="005251DF" w:rsidP="00F6364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13FA252D" w14:textId="77777777" w:rsidR="005251DF" w:rsidRPr="00946C85" w:rsidRDefault="005251DF" w:rsidP="00F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</w:tr>
      <w:tr w:rsidR="005251DF" w:rsidRPr="00946C85" w14:paraId="1F900CB0" w14:textId="77777777" w:rsidTr="00F63645">
        <w:trPr>
          <w:gridAfter w:val="3"/>
          <w:wAfter w:w="1722" w:type="dxa"/>
          <w:trHeight w:val="296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567B" w14:textId="77777777" w:rsidR="005251DF" w:rsidRPr="00946C85" w:rsidRDefault="005251DF" w:rsidP="00F636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89D2" w14:textId="77777777" w:rsidR="005251DF" w:rsidRPr="00946C85" w:rsidRDefault="005251DF" w:rsidP="00F636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0EAA" w14:textId="77777777" w:rsidR="005251DF" w:rsidRPr="00946C85" w:rsidRDefault="005251DF" w:rsidP="00F6364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4D46" w14:textId="77777777" w:rsidR="005251DF" w:rsidRPr="00946C85" w:rsidRDefault="005251DF" w:rsidP="00F636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5523" w14:textId="77777777" w:rsidR="005251DF" w:rsidRPr="00946C85" w:rsidRDefault="005251DF" w:rsidP="00F636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1056" w14:textId="77777777" w:rsidR="005251DF" w:rsidRPr="00946C85" w:rsidRDefault="005251DF" w:rsidP="00F636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6705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1.Придбання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28ACF200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0DCCB2E9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00F83E02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4E6F9064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290338FA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 xml:space="preserve">паливно-мастильних матеріалів, гуми, запасних частин та послуг з технічного обслуговування і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lastRenderedPageBreak/>
              <w:t>ремонту службових автомобілів;</w:t>
            </w:r>
          </w:p>
          <w:p w14:paraId="7BAD9C4B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4E51E268" w14:textId="77777777" w:rsidR="005251DF" w:rsidRPr="002C2268" w:rsidRDefault="005251DF" w:rsidP="00F63645">
            <w:pPr>
              <w:spacing w:after="0" w:line="228" w:lineRule="auto"/>
              <w:ind w:firstLine="402"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розхідних матеріалів, сейф та крафт пакети різних розмірів для упакування речових доказів, засоби індивідуального захисту;</w:t>
            </w:r>
          </w:p>
          <w:p w14:paraId="36677EAF" w14:textId="77777777" w:rsidR="005251DF" w:rsidRPr="00946C85" w:rsidRDefault="005251DF" w:rsidP="00F6364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облаштування приміщень для проведення допитів неповнолітніх</w:t>
            </w:r>
          </w:p>
          <w:p w14:paraId="3B73BD51" w14:textId="77777777" w:rsidR="005251DF" w:rsidRPr="00946C85" w:rsidRDefault="005251DF" w:rsidP="00F6364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99AD" w14:textId="77777777" w:rsidR="005251DF" w:rsidRPr="00946C85" w:rsidRDefault="005251DF" w:rsidP="00F6364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Місцевий бюджет</w:t>
            </w:r>
          </w:p>
          <w:p w14:paraId="4A3E661A" w14:textId="77777777" w:rsidR="005251DF" w:rsidRPr="00946C85" w:rsidRDefault="005251DF" w:rsidP="00F6364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6DFCEA2" w14:textId="77777777" w:rsidR="005251DF" w:rsidRPr="00946C85" w:rsidRDefault="005251DF" w:rsidP="00F6364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306F8DD" w14:textId="77777777" w:rsidR="005251DF" w:rsidRPr="00946C85" w:rsidRDefault="005251DF" w:rsidP="00F6364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D861239" w14:textId="77777777" w:rsidR="005251DF" w:rsidRPr="00946C85" w:rsidRDefault="005251DF" w:rsidP="00F6364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B75E9AD" w14:textId="77777777" w:rsidR="005251DF" w:rsidRPr="00946C85" w:rsidRDefault="005251DF" w:rsidP="00F6364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35926AF0" w14:textId="77777777" w:rsidR="005251DF" w:rsidRPr="00946C85" w:rsidRDefault="005251DF" w:rsidP="00F6364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51E7" w14:textId="77777777" w:rsidR="005251DF" w:rsidRDefault="005251DF" w:rsidP="00F6364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78DBE727" w14:textId="77777777" w:rsidR="005251DF" w:rsidRDefault="005251DF" w:rsidP="00F6364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273FB403" w14:textId="77777777" w:rsidR="005251DF" w:rsidRDefault="005251DF" w:rsidP="00F6364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1E99FD8" w14:textId="77777777" w:rsidR="005251DF" w:rsidRDefault="005251DF" w:rsidP="00F6364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AA6099F" w14:textId="77777777" w:rsidR="005251DF" w:rsidRDefault="005251DF" w:rsidP="00F6364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ECBDEAC" w14:textId="77777777" w:rsidR="005251DF" w:rsidRPr="00946C85" w:rsidRDefault="005251DF" w:rsidP="00F6364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+6 000,0</w:t>
            </w:r>
          </w:p>
          <w:p w14:paraId="0E2A3205" w14:textId="77777777" w:rsidR="005251DF" w:rsidRPr="00946C85" w:rsidRDefault="005251DF" w:rsidP="00F6364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B2E0" w14:textId="77777777" w:rsidR="005251DF" w:rsidRPr="00946C85" w:rsidRDefault="005251DF" w:rsidP="00F6364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0553F2AD" w14:textId="77777777" w:rsidR="005251DF" w:rsidRPr="00946C85" w:rsidRDefault="005251DF" w:rsidP="00F6364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00918C47" w14:textId="77777777" w:rsidR="005251DF" w:rsidRPr="00946C85" w:rsidRDefault="005251DF" w:rsidP="00F6364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6ABF2076" w14:textId="77777777" w:rsidR="005251DF" w:rsidRPr="00946C85" w:rsidRDefault="005251DF" w:rsidP="00F6364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414D3033" w14:textId="77777777" w:rsidR="005251DF" w:rsidRPr="00946C85" w:rsidRDefault="005251DF" w:rsidP="00F6364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493EF7F5" w14:textId="77777777" w:rsidR="005251DF" w:rsidRPr="00946C85" w:rsidRDefault="005251DF" w:rsidP="00F6364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9 000,0</w:t>
            </w:r>
          </w:p>
          <w:p w14:paraId="0FBB4D45" w14:textId="77777777" w:rsidR="005251DF" w:rsidRPr="00946C85" w:rsidRDefault="005251DF" w:rsidP="00F6364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5251DF" w:rsidRPr="00946C85" w14:paraId="07E5771A" w14:textId="77777777" w:rsidTr="00F63645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6D63" w14:textId="77777777" w:rsidR="005251DF" w:rsidRPr="00946C85" w:rsidRDefault="005251DF" w:rsidP="00F636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6AAC" w14:textId="77777777" w:rsidR="005251DF" w:rsidRPr="00B30DD7" w:rsidRDefault="005251DF" w:rsidP="00F63645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Матеріальне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технічне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забезпечення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для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роботи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поліцейських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офіцерів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громади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Броварського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РУП ГУНП</w:t>
            </w:r>
          </w:p>
          <w:p w14:paraId="78B11E20" w14:textId="77777777" w:rsidR="005251DF" w:rsidRPr="00B30DD7" w:rsidRDefault="005251DF" w:rsidP="00F636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A311" w14:textId="38E1C276" w:rsidR="005251DF" w:rsidRPr="002C2268" w:rsidRDefault="005251DF" w:rsidP="00F63645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7AC59D50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0A30F39C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12FE70BB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46376D3B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57664C38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0A86EDBE" w14:textId="77777777" w:rsidR="005251DF" w:rsidRPr="00B30DD7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755B4CFD" w14:textId="77777777" w:rsidR="005251DF" w:rsidRPr="00946C85" w:rsidRDefault="005251DF" w:rsidP="00F63645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843D" w14:textId="77777777" w:rsidR="005251DF" w:rsidRPr="002A0D21" w:rsidRDefault="005251DF" w:rsidP="00F6364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2A0D21">
              <w:rPr>
                <w:rFonts w:ascii="Times New Roman" w:hAnsi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FB97" w14:textId="77777777" w:rsidR="005251DF" w:rsidRPr="00946C85" w:rsidRDefault="005251DF" w:rsidP="00F636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AB1F" w14:textId="77777777" w:rsidR="005251DF" w:rsidRPr="00B30DD7" w:rsidRDefault="005251DF" w:rsidP="00F63645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Матеріальне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технічне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забезпечення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для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роботи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поліцейських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офіцерів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громади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Броварського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РУП ГУНП</w:t>
            </w:r>
          </w:p>
          <w:p w14:paraId="0C2F80E2" w14:textId="77777777" w:rsidR="005251DF" w:rsidRPr="00B30DD7" w:rsidRDefault="005251DF" w:rsidP="00F636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0F8F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2. 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07119B6F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4984AF2D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02413C3D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1BB094BA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60466FA0" w14:textId="77777777" w:rsidR="005251DF" w:rsidRPr="002C2268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0935259E" w14:textId="77777777" w:rsidR="005251DF" w:rsidRPr="00B30DD7" w:rsidRDefault="005251DF" w:rsidP="00F6364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56F0E5BB" w14:textId="77777777" w:rsidR="005251DF" w:rsidRPr="00946C85" w:rsidRDefault="005251DF" w:rsidP="00F63645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0DC6" w14:textId="77777777" w:rsidR="005251DF" w:rsidRPr="00946C85" w:rsidRDefault="005251DF" w:rsidP="00F6364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proofErr w:type="spellStart"/>
            <w:r w:rsidRPr="002E23C0">
              <w:rPr>
                <w:rFonts w:ascii="Times New Roman" w:hAnsi="Times New Roman"/>
                <w:sz w:val="20"/>
                <w:szCs w:val="20"/>
              </w:rPr>
              <w:t>Субвенція</w:t>
            </w:r>
            <w:proofErr w:type="spellEnd"/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2E23C0">
              <w:rPr>
                <w:rFonts w:ascii="Times New Roman" w:hAnsi="Times New Roman"/>
                <w:sz w:val="20"/>
                <w:szCs w:val="20"/>
              </w:rPr>
              <w:t>місцевого</w:t>
            </w:r>
            <w:proofErr w:type="spellEnd"/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бюджету.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52C7" w14:textId="77777777" w:rsidR="005251DF" w:rsidRPr="002A0D21" w:rsidRDefault="005251DF" w:rsidP="00F6364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val="uk-UA" w:eastAsia="en-US"/>
              </w:rPr>
            </w:pPr>
            <w:r w:rsidRPr="002A0D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  <w:r w:rsidRPr="002A0D21"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r w:rsidRPr="002A0D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Pr="002A0D21"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5ADC" w14:textId="77777777" w:rsidR="005251DF" w:rsidRPr="002A0D21" w:rsidRDefault="005251DF" w:rsidP="00F6364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2A0D21">
              <w:rPr>
                <w:rFonts w:ascii="Times New Roman" w:hAnsi="Times New Roman"/>
                <w:b/>
                <w:sz w:val="20"/>
                <w:szCs w:val="20"/>
              </w:rPr>
              <w:t>2 600,0</w:t>
            </w:r>
          </w:p>
        </w:tc>
      </w:tr>
      <w:tr w:rsidR="005251DF" w:rsidRPr="00946C85" w14:paraId="482049D0" w14:textId="77777777" w:rsidTr="00F63645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E2DF" w14:textId="77777777" w:rsidR="005251DF" w:rsidRPr="00946C85" w:rsidRDefault="005251DF" w:rsidP="00F636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3.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4C9B" w14:textId="77777777" w:rsidR="005251DF" w:rsidRPr="002A0D21" w:rsidRDefault="005251DF" w:rsidP="00F6364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Охорона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порядку та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безпеки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25B" w14:textId="086F118B" w:rsidR="005251DF" w:rsidRPr="002A0D21" w:rsidRDefault="005251DF" w:rsidP="00F63645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bookmarkStart w:id="0" w:name="_Hlk183090471"/>
            <w:r w:rsidRPr="002A0D21"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 </w:t>
            </w:r>
            <w:r w:rsidRPr="002A0D2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Національної поліції України</w:t>
            </w:r>
            <w:bookmarkEnd w:id="0"/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3FB2" w14:textId="77777777" w:rsidR="005251DF" w:rsidRPr="002A0D21" w:rsidRDefault="005251DF" w:rsidP="00F6364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99,0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8C91" w14:textId="77777777" w:rsidR="005251DF" w:rsidRPr="00946C85" w:rsidRDefault="005251DF" w:rsidP="00F636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8F03" w14:textId="77777777" w:rsidR="005251DF" w:rsidRPr="00B30DD7" w:rsidRDefault="005251DF" w:rsidP="00F6364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Охорона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порядку та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безпеки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3524" w14:textId="77777777" w:rsidR="005251DF" w:rsidRPr="002A0D21" w:rsidRDefault="005251DF" w:rsidP="00F63645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3. </w:t>
            </w:r>
            <w:r w:rsidRPr="002A0D21"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 </w:t>
            </w:r>
            <w:r w:rsidRPr="002A0D2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Національної поліції України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71C2" w14:textId="77777777" w:rsidR="005251DF" w:rsidRPr="002A0D21" w:rsidRDefault="005251DF" w:rsidP="00F63645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A0D21">
              <w:rPr>
                <w:rFonts w:ascii="Times New Roman" w:hAnsi="Times New Roman"/>
                <w:sz w:val="16"/>
                <w:szCs w:val="16"/>
              </w:rPr>
              <w:t>Місцевий</w:t>
            </w:r>
            <w:proofErr w:type="spellEnd"/>
            <w:r w:rsidRPr="002A0D21">
              <w:rPr>
                <w:rFonts w:ascii="Times New Roman" w:hAnsi="Times New Roman"/>
                <w:sz w:val="16"/>
                <w:szCs w:val="16"/>
              </w:rPr>
              <w:t xml:space="preserve"> бюджет</w:t>
            </w:r>
          </w:p>
          <w:p w14:paraId="33A7E47D" w14:textId="77777777" w:rsidR="005251DF" w:rsidRPr="002A0D21" w:rsidRDefault="005251DF" w:rsidP="00F63645">
            <w:pPr>
              <w:spacing w:after="0"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4E0D" w14:textId="77777777" w:rsidR="005251DF" w:rsidRPr="002A0D21" w:rsidRDefault="005251DF" w:rsidP="00F6364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CDE" w14:textId="77777777" w:rsidR="005251DF" w:rsidRPr="002A0D21" w:rsidRDefault="005251DF" w:rsidP="00F6364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99,0</w:t>
            </w:r>
          </w:p>
        </w:tc>
      </w:tr>
      <w:tr w:rsidR="005251DF" w:rsidRPr="00946C85" w14:paraId="3486A712" w14:textId="77777777" w:rsidTr="00F63645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9040" w14:textId="77777777" w:rsidR="005251DF" w:rsidRPr="00946C85" w:rsidRDefault="005251DF" w:rsidP="00F636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lastRenderedPageBreak/>
              <w:t>4.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9900" w14:textId="77777777" w:rsidR="005251DF" w:rsidRPr="002A0D21" w:rsidRDefault="005251DF" w:rsidP="00F6364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8638" w14:textId="77777777" w:rsidR="005251DF" w:rsidRDefault="005251DF" w:rsidP="00F63645">
            <w:pPr>
              <w:spacing w:after="0" w:line="228" w:lineRule="auto"/>
              <w:jc w:val="both"/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D782" w14:textId="77777777" w:rsidR="005251DF" w:rsidRDefault="005251DF" w:rsidP="00F6364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3C71" w14:textId="77777777" w:rsidR="005251DF" w:rsidRPr="00946C85" w:rsidRDefault="005251DF" w:rsidP="00F636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86F4" w14:textId="77777777" w:rsidR="005251DF" w:rsidRPr="002A0D21" w:rsidRDefault="005251DF" w:rsidP="00F6364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Матеріальне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технічне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забезпечення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Київського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Науково-Дослідного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Експертно-Криміналістичного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Центру МВС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88E" w14:textId="0FE03500" w:rsidR="005251DF" w:rsidRPr="00702E60" w:rsidRDefault="005251DF" w:rsidP="00F63645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702E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Придбання для</w:t>
            </w:r>
            <w:r w:rsidRPr="00702E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</w:t>
            </w:r>
            <w:proofErr w:type="spellStart"/>
            <w:r w:rsidRPr="00702E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цетру</w:t>
            </w:r>
            <w:proofErr w:type="spellEnd"/>
            <w:r w:rsidRPr="00702E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 xml:space="preserve"> МВС України:</w:t>
            </w:r>
          </w:p>
          <w:p w14:paraId="3D04D83A" w14:textId="77777777" w:rsidR="005251DF" w:rsidRPr="00702E60" w:rsidRDefault="005251DF" w:rsidP="00F6364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702E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Комплекта</w:t>
            </w:r>
            <w:proofErr w:type="spellEnd"/>
            <w:r w:rsidRPr="00702E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 двоканального газового хроматографа</w:t>
            </w:r>
          </w:p>
          <w:p w14:paraId="7DE7FE56" w14:textId="77777777" w:rsidR="005251DF" w:rsidRPr="00702E60" w:rsidRDefault="005251DF" w:rsidP="00F63645">
            <w:pPr>
              <w:spacing w:after="0" w:line="228" w:lineRule="auto"/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1E35" w14:textId="77777777" w:rsidR="005251DF" w:rsidRPr="00946C85" w:rsidRDefault="005251DF" w:rsidP="00F6364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6D349F8F" w14:textId="77777777" w:rsidR="005251DF" w:rsidRPr="00946C85" w:rsidRDefault="005251DF" w:rsidP="00F6364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6DA15A8" w14:textId="77777777" w:rsidR="005251DF" w:rsidRPr="00946C85" w:rsidRDefault="005251DF" w:rsidP="00F6364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77D864D" w14:textId="77777777" w:rsidR="005251DF" w:rsidRPr="00946C85" w:rsidRDefault="005251DF" w:rsidP="00F63645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596219F" w14:textId="77777777" w:rsidR="005251DF" w:rsidRPr="00946C85" w:rsidRDefault="005251DF" w:rsidP="00F6364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5B94AEF2" w14:textId="77777777" w:rsidR="005251DF" w:rsidRPr="00702E60" w:rsidRDefault="005251DF" w:rsidP="00F63645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601D" w14:textId="77777777" w:rsidR="005251DF" w:rsidRDefault="005251DF" w:rsidP="00F6364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465C2F72" w14:textId="77777777" w:rsidR="005251DF" w:rsidRDefault="005251DF" w:rsidP="00F6364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59950C71" w14:textId="77777777" w:rsidR="005251DF" w:rsidRDefault="005251DF" w:rsidP="00F6364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460B37B2" w14:textId="77777777" w:rsidR="005251DF" w:rsidRDefault="005251DF" w:rsidP="00F6364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3764900A" w14:textId="77777777" w:rsidR="005251DF" w:rsidRDefault="005251DF" w:rsidP="00F6364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+4 500,0</w:t>
            </w:r>
          </w:p>
          <w:p w14:paraId="27F6AA73" w14:textId="77777777" w:rsidR="005251DF" w:rsidRPr="002A0D21" w:rsidRDefault="005251DF" w:rsidP="00F6364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B6F3" w14:textId="77777777" w:rsidR="005251DF" w:rsidRDefault="005251DF" w:rsidP="00F6364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39785275" w14:textId="77777777" w:rsidR="005251DF" w:rsidRDefault="005251DF" w:rsidP="00F6364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58002599" w14:textId="77777777" w:rsidR="005251DF" w:rsidRDefault="005251DF" w:rsidP="00F6364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18AF4948" w14:textId="77777777" w:rsidR="005251DF" w:rsidRDefault="005251DF" w:rsidP="00F6364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179B1BD0" w14:textId="77777777" w:rsidR="005251DF" w:rsidRDefault="005251DF" w:rsidP="00F6364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4 500,0</w:t>
            </w:r>
          </w:p>
        </w:tc>
      </w:tr>
      <w:tr w:rsidR="005251DF" w:rsidRPr="00946C85" w14:paraId="37C467D1" w14:textId="77777777" w:rsidTr="00F6364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355" w14:textId="77777777" w:rsidR="005251DF" w:rsidRPr="00946C85" w:rsidRDefault="005251DF" w:rsidP="00F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1CE4" w14:textId="77777777" w:rsidR="005251DF" w:rsidRPr="00946C85" w:rsidRDefault="005251DF" w:rsidP="00F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4EF0" w14:textId="77777777" w:rsidR="005251DF" w:rsidRPr="00946C85" w:rsidRDefault="005251DF" w:rsidP="00F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3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699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DA0" w14:textId="77777777" w:rsidR="005251DF" w:rsidRPr="00946C85" w:rsidRDefault="005251DF" w:rsidP="00F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FDD5" w14:textId="77777777" w:rsidR="005251DF" w:rsidRPr="00946C85" w:rsidRDefault="005251DF" w:rsidP="00F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C2C0" w14:textId="77777777" w:rsidR="005251DF" w:rsidRPr="00946C85" w:rsidRDefault="005251DF" w:rsidP="00F6364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170B" w14:textId="77777777" w:rsidR="005251DF" w:rsidRPr="00702E60" w:rsidRDefault="005251DF" w:rsidP="00F6364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702E6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+12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 w:rsidRPr="00702E6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500,0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CBEE" w14:textId="77777777" w:rsidR="005251DF" w:rsidRPr="00946C85" w:rsidRDefault="005251DF" w:rsidP="00F63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6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199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0F26" w14:textId="77777777" w:rsidR="005251DF" w:rsidRPr="00946C85" w:rsidRDefault="005251DF" w:rsidP="00F63645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0CA7" w14:textId="77777777" w:rsidR="005251DF" w:rsidRPr="00946C85" w:rsidRDefault="005251DF" w:rsidP="00F63645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04CF8E3A" w14:textId="77777777" w:rsidR="005251DF" w:rsidRDefault="005251DF" w:rsidP="005251DF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298FFD9F" w14:textId="77777777" w:rsidR="005251DF" w:rsidRPr="00946C85" w:rsidRDefault="005251DF" w:rsidP="005251DF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1401793B" w14:textId="77777777" w:rsidR="005251DF" w:rsidRDefault="005251DF" w:rsidP="005251DF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17949651" w14:textId="77777777" w:rsidR="005251DF" w:rsidRDefault="005251DF" w:rsidP="005251DF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</w:t>
      </w:r>
    </w:p>
    <w:p w14:paraId="3A5758A6" w14:textId="77777777" w:rsidR="005251DF" w:rsidRPr="00946C85" w:rsidRDefault="005251DF" w:rsidP="005251DF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взаємодії з правоохоронними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Василь ДОВГАНЬ</w:t>
      </w:r>
    </w:p>
    <w:p w14:paraId="43F0AD20" w14:textId="77777777" w:rsidR="005251DF" w:rsidRPr="00946C85" w:rsidRDefault="005251DF" w:rsidP="00525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F6F037E" w14:textId="177B41FD" w:rsidR="009B7D79" w:rsidRPr="005251DF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5251DF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1DF"/>
    <w:rsid w:val="00525C68"/>
    <w:rsid w:val="005B1C08"/>
    <w:rsid w:val="005F334B"/>
    <w:rsid w:val="0064583D"/>
    <w:rsid w:val="00696599"/>
    <w:rsid w:val="006B2CFD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E123"/>
  <w15:docId w15:val="{FAA9D3E9-6BC6-467C-B15B-8ED5E545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5726</Words>
  <Characters>3265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17</cp:revision>
  <dcterms:created xsi:type="dcterms:W3CDTF">2021-03-03T14:03:00Z</dcterms:created>
  <dcterms:modified xsi:type="dcterms:W3CDTF">2025-01-09T06:20:00Z</dcterms:modified>
</cp:coreProperties>
</file>