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CE2E35" w14:paraId="13F20153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CE2E35" w14:paraId="78288CAD" w14:textId="681C4229">
      <w:pPr>
        <w:tabs>
          <w:tab w:val="left" w:pos="5610"/>
          <w:tab w:val="left" w:pos="6358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CE2E35">
        <w:rPr>
          <w:rFonts w:ascii="Times New Roman" w:hAnsi="Times New Roman" w:cs="Times New Roman"/>
          <w:sz w:val="28"/>
        </w:rPr>
        <w:t xml:space="preserve">Програми створення </w:t>
      </w:r>
      <w:r w:rsidRPr="00CE2E35">
        <w:rPr>
          <w:rFonts w:ascii="Times New Roman" w:hAnsi="Times New Roman" w:cs="Times New Roman"/>
          <w:sz w:val="28"/>
        </w:rPr>
        <w:t>безбар'єрного</w:t>
      </w:r>
      <w:r w:rsidRPr="00CE2E35">
        <w:rPr>
          <w:rFonts w:ascii="Times New Roman" w:hAnsi="Times New Roman" w:cs="Times New Roman"/>
          <w:sz w:val="28"/>
        </w:rPr>
        <w:t xml:space="preserve"> простору в  Броварській міській територіальній громаді Броварського району Київської області на 2025-2029 роки</w:t>
      </w:r>
      <w:r w:rsidRPr="00CE2E3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20.12.2024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1926-84-08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E2E35" w:rsidP="00CE2E35" w14:paraId="548AAC6E" w14:textId="77777777">
      <w:pPr>
        <w:pStyle w:val="BodyText"/>
        <w:spacing w:before="70"/>
        <w:jc w:val="center"/>
        <w:rPr>
          <w:rFonts w:ascii="Times New Roman" w:hAnsi="Times New Roman"/>
          <w:b/>
          <w:w w:val="105"/>
          <w:sz w:val="28"/>
          <w:szCs w:val="28"/>
          <w:lang w:val="ru-RU"/>
        </w:rPr>
      </w:pPr>
      <w:permStart w:id="1" w:edGrp="everyone"/>
    </w:p>
    <w:p w:rsidR="00CE2E35" w:rsidP="00CE2E35" w14:paraId="6705CA61" w14:textId="77777777">
      <w:pPr>
        <w:pStyle w:val="BodyText"/>
        <w:spacing w:before="7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Зах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о</w:t>
      </w:r>
      <w:r>
        <w:rPr>
          <w:rFonts w:ascii="Times New Roman" w:hAnsi="Times New Roman"/>
          <w:b/>
          <w:spacing w:val="-3"/>
          <w:w w:val="105"/>
          <w:sz w:val="28"/>
          <w:szCs w:val="28"/>
        </w:rPr>
        <w:t>д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и та потреба у фінансуванні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Пр</w:t>
      </w:r>
      <w:r>
        <w:rPr>
          <w:rFonts w:ascii="Times New Roman" w:hAnsi="Times New Roman"/>
          <w:b/>
          <w:w w:val="105"/>
          <w:sz w:val="28"/>
          <w:szCs w:val="28"/>
        </w:rPr>
        <w:t>ог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р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ами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н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а </w:t>
      </w:r>
      <w:r>
        <w:rPr>
          <w:rFonts w:ascii="Times New Roman" w:hAnsi="Times New Roman"/>
          <w:b/>
          <w:spacing w:val="-4"/>
          <w:w w:val="105"/>
          <w:sz w:val="28"/>
          <w:szCs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0</w:t>
      </w:r>
      <w:r>
        <w:rPr>
          <w:rFonts w:ascii="Times New Roman" w:hAnsi="Times New Roman"/>
          <w:b/>
          <w:spacing w:val="-4"/>
          <w:w w:val="105"/>
          <w:sz w:val="28"/>
          <w:szCs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5</w:t>
      </w:r>
      <w:r>
        <w:rPr>
          <w:rFonts w:ascii="Times New Roman" w:hAnsi="Times New Roman"/>
          <w:spacing w:val="-5"/>
          <w:w w:val="105"/>
          <w:sz w:val="28"/>
          <w:szCs w:val="28"/>
        </w:rPr>
        <w:t>-</w:t>
      </w:r>
      <w:r>
        <w:rPr>
          <w:rFonts w:ascii="Times New Roman" w:hAnsi="Times New Roman"/>
          <w:b/>
          <w:w w:val="105"/>
          <w:sz w:val="28"/>
          <w:szCs w:val="28"/>
        </w:rPr>
        <w:t xml:space="preserve">2029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р</w:t>
      </w:r>
      <w:r>
        <w:rPr>
          <w:rFonts w:ascii="Times New Roman" w:hAnsi="Times New Roman"/>
          <w:b/>
          <w:w w:val="105"/>
          <w:sz w:val="28"/>
          <w:szCs w:val="28"/>
        </w:rPr>
        <w:t>о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к</w:t>
      </w:r>
      <w:r>
        <w:rPr>
          <w:rFonts w:ascii="Times New Roman" w:hAnsi="Times New Roman"/>
          <w:b/>
          <w:w w:val="105"/>
          <w:sz w:val="28"/>
          <w:szCs w:val="28"/>
        </w:rPr>
        <w:t>и</w:t>
      </w:r>
    </w:p>
    <w:p w:rsidR="00CE2E35" w:rsidP="00CE2E35" w14:paraId="6431E3F2" w14:textId="77777777">
      <w:pPr>
        <w:spacing w:line="200" w:lineRule="exact"/>
        <w:rPr>
          <w:rFonts w:ascii="Calibri" w:hAnsi="Calibri"/>
          <w:sz w:val="20"/>
          <w:szCs w:val="20"/>
        </w:rPr>
      </w:pPr>
    </w:p>
    <w:tbl>
      <w:tblPr>
        <w:tblW w:w="14595" w:type="dxa"/>
        <w:tblInd w:w="109" w:type="dxa"/>
        <w:tblLayout w:type="fixed"/>
        <w:tblLook w:val="01E0"/>
      </w:tblPr>
      <w:tblGrid>
        <w:gridCol w:w="700"/>
        <w:gridCol w:w="3024"/>
        <w:gridCol w:w="754"/>
        <w:gridCol w:w="3216"/>
        <w:gridCol w:w="45"/>
        <w:gridCol w:w="18"/>
        <w:gridCol w:w="1069"/>
        <w:gridCol w:w="19"/>
        <w:gridCol w:w="23"/>
        <w:gridCol w:w="26"/>
        <w:gridCol w:w="836"/>
        <w:gridCol w:w="17"/>
        <w:gridCol w:w="17"/>
        <w:gridCol w:w="782"/>
        <w:gridCol w:w="55"/>
        <w:gridCol w:w="12"/>
        <w:gridCol w:w="17"/>
        <w:gridCol w:w="28"/>
        <w:gridCol w:w="755"/>
        <w:gridCol w:w="23"/>
        <w:gridCol w:w="15"/>
        <w:gridCol w:w="8"/>
        <w:gridCol w:w="775"/>
        <w:gridCol w:w="19"/>
        <w:gridCol w:w="16"/>
        <w:gridCol w:w="767"/>
        <w:gridCol w:w="1533"/>
        <w:gridCol w:w="7"/>
        <w:gridCol w:w="8"/>
        <w:gridCol w:w="11"/>
      </w:tblGrid>
      <w:tr w14:paraId="793E19FD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1111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902ACA7" w14:textId="77777777">
            <w:pPr>
              <w:pStyle w:val="TableParagraph"/>
              <w:spacing w:line="260" w:lineRule="exact"/>
              <w:ind w:left="19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CE2E35" w14:paraId="26A67888" w14:textId="77777777">
            <w:pPr>
              <w:pStyle w:val="TableParagraph"/>
              <w:spacing w:before="2" w:line="276" w:lineRule="auto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3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35" w14:paraId="5B6AC887" w14:textId="77777777">
            <w:pPr>
              <w:pStyle w:val="TableParagraph"/>
              <w:spacing w:before="17" w:line="240" w:lineRule="exact"/>
              <w:jc w:val="center"/>
              <w:rPr>
                <w:b/>
                <w:lang w:val="uk-UA"/>
              </w:rPr>
            </w:pPr>
          </w:p>
          <w:p w:rsidR="00CE2E35" w14:paraId="2A9BDC0E" w14:textId="77777777">
            <w:pPr>
              <w:pStyle w:val="TableParagraph"/>
              <w:spacing w:line="276" w:lineRule="auto"/>
              <w:ind w:left="-105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Пе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>елік за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х</w:t>
            </w:r>
            <w:r>
              <w:rPr>
                <w:rFonts w:ascii="Times New Roman" w:hAnsi="Times New Roman"/>
                <w:b/>
                <w:lang w:val="uk-UA"/>
              </w:rPr>
              <w:t>одів Прогр</w:t>
            </w:r>
            <w:r>
              <w:rPr>
                <w:rFonts w:ascii="Times New Roman" w:hAnsi="Times New Roman"/>
                <w:b/>
                <w:spacing w:val="-5"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>ми</w:t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E2E35" w14:paraId="3855C5FA" w14:textId="77777777">
            <w:pPr>
              <w:pStyle w:val="TableParagraph"/>
              <w:spacing w:before="3" w:line="130" w:lineRule="exact"/>
              <w:ind w:left="113" w:right="113"/>
              <w:jc w:val="center"/>
              <w:rPr>
                <w:b/>
                <w:lang w:val="uk-UA"/>
              </w:rPr>
            </w:pPr>
          </w:p>
          <w:p w:rsidR="00CE2E35" w14:paraId="4D98C6D6" w14:textId="77777777">
            <w:pPr>
              <w:pStyle w:val="TableParagraph"/>
              <w:spacing w:line="228" w:lineRule="auto"/>
              <w:ind w:left="114" w:right="69" w:firstLine="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Ст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вико</w:t>
            </w:r>
            <w:r>
              <w:rPr>
                <w:rFonts w:ascii="Times New Roman" w:hAnsi="Times New Roman"/>
                <w:b/>
                <w:spacing w:val="1"/>
                <w:w w:val="95"/>
                <w:lang w:val="uk-UA"/>
              </w:rPr>
              <w:t>н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а</w:t>
            </w:r>
            <w:r>
              <w:rPr>
                <w:rFonts w:ascii="Times New Roman" w:hAnsi="Times New Roman"/>
                <w:b/>
                <w:spacing w:val="-2"/>
                <w:w w:val="95"/>
                <w:lang w:val="uk-UA"/>
              </w:rPr>
              <w:t>н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 xml:space="preserve">ня </w:t>
            </w:r>
            <w:r>
              <w:rPr>
                <w:rFonts w:ascii="Times New Roman" w:hAnsi="Times New Roman"/>
                <w:b/>
                <w:lang w:val="uk-UA"/>
              </w:rPr>
              <w:t>за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х</w:t>
            </w:r>
            <w:r>
              <w:rPr>
                <w:rFonts w:ascii="Times New Roman" w:hAnsi="Times New Roman"/>
                <w:b/>
                <w:lang w:val="uk-UA"/>
              </w:rPr>
              <w:t>о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у</w:t>
            </w:r>
          </w:p>
        </w:tc>
        <w:tc>
          <w:tcPr>
            <w:tcW w:w="32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35" w14:paraId="7910D05D" w14:textId="77777777">
            <w:pPr>
              <w:pStyle w:val="TableParagraph"/>
              <w:spacing w:before="5" w:line="180" w:lineRule="exact"/>
              <w:jc w:val="center"/>
              <w:rPr>
                <w:b/>
                <w:lang w:val="uk-UA"/>
              </w:rPr>
            </w:pPr>
          </w:p>
          <w:p w:rsidR="00CE2E35" w14:paraId="15166AB6" w14:textId="77777777">
            <w:pPr>
              <w:pStyle w:val="TableParagraph"/>
              <w:spacing w:line="200" w:lineRule="exact"/>
              <w:jc w:val="center"/>
              <w:rPr>
                <w:b/>
                <w:lang w:val="uk-UA"/>
              </w:rPr>
            </w:pPr>
          </w:p>
          <w:p w:rsidR="00CE2E35" w14:paraId="18088363" w14:textId="77777777">
            <w:pPr>
              <w:pStyle w:val="TableParagraph"/>
              <w:spacing w:line="276" w:lineRule="auto"/>
              <w:ind w:left="147" w:right="1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2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ик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о</w:t>
            </w:r>
            <w:r>
              <w:rPr>
                <w:rFonts w:ascii="Times New Roman" w:hAnsi="Times New Roman"/>
                <w:b/>
                <w:lang w:val="uk-UA"/>
              </w:rPr>
              <w:t>навці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CE2E35" w14:paraId="19A53A72" w14:textId="77777777">
            <w:pPr>
              <w:pStyle w:val="TableParagraph"/>
              <w:spacing w:before="3" w:line="130" w:lineRule="exact"/>
              <w:ind w:left="113" w:right="113"/>
              <w:jc w:val="center"/>
              <w:rPr>
                <w:b/>
                <w:lang w:val="uk-UA"/>
              </w:rPr>
            </w:pPr>
          </w:p>
          <w:p w:rsidR="00CE2E35" w14:paraId="72BFD3D8" w14:textId="77777777">
            <w:pPr>
              <w:pStyle w:val="TableParagraph"/>
              <w:tabs>
                <w:tab w:val="left" w:pos="972"/>
              </w:tabs>
              <w:spacing w:line="228" w:lineRule="auto"/>
              <w:ind w:left="113" w:right="116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Дже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 xml:space="preserve">ела 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фінанс</w:t>
            </w:r>
            <w:r>
              <w:rPr>
                <w:rFonts w:ascii="Times New Roman" w:hAnsi="Times New Roman"/>
                <w:b/>
                <w:spacing w:val="-5"/>
                <w:w w:val="95"/>
                <w:lang w:val="uk-UA"/>
              </w:rPr>
              <w:t>у-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ванн</w:t>
            </w:r>
            <w:r>
              <w:rPr>
                <w:rFonts w:ascii="Times New Roman" w:hAnsi="Times New Roman"/>
                <w:b/>
                <w:lang w:val="uk-UA"/>
              </w:rPr>
              <w:t>я</w:t>
            </w:r>
          </w:p>
        </w:tc>
        <w:tc>
          <w:tcPr>
            <w:tcW w:w="421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442EFAA8" w14:textId="77777777">
            <w:pPr>
              <w:pStyle w:val="TableParagraph"/>
              <w:spacing w:line="267" w:lineRule="exact"/>
              <w:ind w:left="2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Орієн</w:t>
            </w:r>
            <w:r>
              <w:rPr>
                <w:rFonts w:ascii="Times New Roman" w:hAnsi="Times New Roman"/>
                <w:b/>
                <w:spacing w:val="3"/>
                <w:lang w:val="uk-UA"/>
              </w:rPr>
              <w:t>т</w:t>
            </w:r>
            <w:r>
              <w:rPr>
                <w:rFonts w:ascii="Times New Roman" w:hAnsi="Times New Roman"/>
                <w:b/>
                <w:lang w:val="uk-UA"/>
              </w:rPr>
              <w:t>ов</w:t>
            </w:r>
            <w:r>
              <w:rPr>
                <w:rFonts w:ascii="Times New Roman" w:hAnsi="Times New Roman"/>
                <w:b/>
                <w:spacing w:val="-2"/>
                <w:lang w:val="uk-UA"/>
              </w:rPr>
              <w:t>н</w:t>
            </w:r>
            <w:r>
              <w:rPr>
                <w:rFonts w:ascii="Times New Roman" w:hAnsi="Times New Roman"/>
                <w:b/>
                <w:lang w:val="uk-UA"/>
              </w:rPr>
              <w:t>і обс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я</w:t>
            </w:r>
            <w:r>
              <w:rPr>
                <w:rFonts w:ascii="Times New Roman" w:hAnsi="Times New Roman"/>
                <w:b/>
                <w:lang w:val="uk-UA"/>
              </w:rPr>
              <w:t>ги</w:t>
            </w:r>
          </w:p>
          <w:p w:rsidR="00CE2E35" w14:paraId="5952DC2A" w14:textId="77777777">
            <w:pPr>
              <w:pStyle w:val="TableParagraph"/>
              <w:tabs>
                <w:tab w:val="left" w:pos="972"/>
                <w:tab w:val="left" w:pos="1182"/>
              </w:tabs>
              <w:spacing w:line="276" w:lineRule="auto"/>
              <w:ind w:left="397" w:right="37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Фін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>н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spacing w:val="-5"/>
                <w:lang w:val="uk-UA"/>
              </w:rPr>
              <w:t>у</w:t>
            </w:r>
            <w:r>
              <w:rPr>
                <w:rFonts w:ascii="Times New Roman" w:hAnsi="Times New Roman"/>
                <w:b/>
                <w:lang w:val="uk-UA"/>
              </w:rPr>
              <w:t>вання (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арті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lang w:val="uk-UA"/>
              </w:rPr>
              <w:t xml:space="preserve">ть) </w:t>
            </w:r>
          </w:p>
          <w:p w:rsidR="00CE2E35" w14:paraId="5AD52EFE" w14:textId="77777777">
            <w:pPr>
              <w:pStyle w:val="TableParagraph"/>
              <w:tabs>
                <w:tab w:val="left" w:pos="972"/>
                <w:tab w:val="left" w:pos="1182"/>
              </w:tabs>
              <w:spacing w:line="276" w:lineRule="auto"/>
              <w:ind w:left="397" w:right="37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ти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lang w:val="uk-UA"/>
              </w:rPr>
              <w:t>. грн.,</w:t>
            </w:r>
          </w:p>
          <w:p w:rsidR="00CE2E35" w14:paraId="3F78AA27" w14:textId="77777777">
            <w:pPr>
              <w:pStyle w:val="TableParagraph"/>
              <w:spacing w:before="17" w:line="240" w:lineRule="exact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 то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м</w:t>
            </w:r>
            <w:r>
              <w:rPr>
                <w:rFonts w:ascii="Times New Roman" w:hAnsi="Times New Roman"/>
                <w:b/>
                <w:lang w:val="uk-UA"/>
              </w:rPr>
              <w:t>у числі по роках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132478E1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b/>
              </w:rPr>
              <w:t>Очікуваний результат</w:t>
            </w:r>
          </w:p>
        </w:tc>
      </w:tr>
      <w:tr w14:paraId="18DF0DB3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1126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5E77FF56" w14:textId="77777777">
            <w:pPr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3C8B6CD2" w14:textId="7777777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4BDA8151" w14:textId="7777777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189FCFC7" w14:textId="7777777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45F2C67B" w14:textId="77777777">
            <w:pPr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DB53793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21C28A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631148E" w14:textId="77777777">
            <w:pPr>
              <w:pStyle w:val="TableParagraph"/>
              <w:spacing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3EE5F22" w14:textId="77777777">
            <w:pPr>
              <w:pStyle w:val="TableParagraph"/>
              <w:spacing w:line="267" w:lineRule="exact"/>
              <w:ind w:left="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AC46322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b/>
              </w:rPr>
              <w:t>2029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2E35" w14:paraId="1B1BE9A5" w14:textId="77777777">
            <w:pPr>
              <w:rPr>
                <w:rFonts w:eastAsiaTheme="minorHAnsi"/>
                <w:lang w:eastAsia="en-US"/>
              </w:rPr>
            </w:pPr>
          </w:p>
        </w:tc>
      </w:tr>
      <w:tr w14:paraId="01796BD7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7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01D4CB1" w14:textId="77777777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F13F2C6" w14:textId="77777777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B5572EA" w14:textId="77777777">
            <w:pPr>
              <w:pStyle w:val="TableParagraph"/>
              <w:spacing w:line="265" w:lineRule="exact"/>
              <w:ind w:left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82664CF" w14:textId="77777777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3F61EF6" w14:textId="77777777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40E7AF6" w14:textId="77777777">
            <w:pPr>
              <w:pStyle w:val="TableParagraph"/>
              <w:spacing w:line="265" w:lineRule="exact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A902708" w14:textId="77777777">
            <w:pPr>
              <w:pStyle w:val="TableParagraph"/>
              <w:spacing w:line="265" w:lineRule="exact"/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7361475" w14:textId="77777777">
            <w:pPr>
              <w:pStyle w:val="TableParagraph"/>
              <w:spacing w:line="265" w:lineRule="exact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0BB88F8" w14:textId="77777777">
            <w:pPr>
              <w:pStyle w:val="TableParagraph"/>
              <w:spacing w:line="265" w:lineRule="exact"/>
              <w:ind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5828257" w14:textId="77777777">
            <w:pPr>
              <w:pStyle w:val="TableParagraph"/>
              <w:spacing w:line="265" w:lineRule="exact"/>
              <w:ind w:left="2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ACEFAD4" w14:textId="77777777">
            <w:pPr>
              <w:pStyle w:val="TableParagraph"/>
              <w:spacing w:line="265" w:lineRule="exact"/>
              <w:ind w:left="2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</w:tr>
      <w:tr w14:paraId="099ABA07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799"/>
        </w:trPr>
        <w:tc>
          <w:tcPr>
            <w:tcW w:w="76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A2ABBE6" w14:textId="77777777">
            <w:pPr>
              <w:pStyle w:val="TableParagraph"/>
              <w:spacing w:line="265" w:lineRule="exact"/>
              <w:ind w:left="12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фінансування Програми, всього: 65801,00 тис. грн.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4772126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293F95CC" w14:textId="77777777">
            <w:pPr>
              <w:pStyle w:val="TableParagraph"/>
              <w:spacing w:line="265" w:lineRule="exact"/>
              <w:ind w:left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7626CF5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19822,20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5FAAF2B" w14:textId="77777777">
            <w:pPr>
              <w:pStyle w:val="TableParagraph"/>
              <w:spacing w:line="234" w:lineRule="exact"/>
              <w:ind w:left="-79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14657,20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D1EFF5A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13407,20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9370DC5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9007,20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017EB87" w14:textId="77777777">
            <w:pPr>
              <w:pStyle w:val="TableParagraph"/>
              <w:spacing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8907,20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0B34CEB" w14:textId="77777777">
            <w:pPr>
              <w:pStyle w:val="TableParagraph"/>
              <w:spacing w:line="265" w:lineRule="exact"/>
              <w:ind w:left="21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14:paraId="047A2594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302"/>
        </w:trPr>
        <w:tc>
          <w:tcPr>
            <w:tcW w:w="14574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FDF4C2D" w14:textId="77777777">
            <w:pPr>
              <w:pStyle w:val="TableParagraph"/>
              <w:spacing w:line="291" w:lineRule="exact"/>
              <w:ind w:left="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1. Фізична 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езба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76CFD250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69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D00605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>1.</w:t>
            </w:r>
          </w:p>
        </w:tc>
        <w:tc>
          <w:tcPr>
            <w:tcW w:w="81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727C4DE1" w14:textId="77777777">
            <w:pP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eastAsia="ru-RU"/>
              </w:rPr>
            </w:pPr>
            <w:r w:rsidRPr="00CC33B0">
              <w:rPr>
                <w:rFonts w:ascii="Times New Roman" w:hAnsi="Times New Roman" w:cs="Times New Roman"/>
                <w:w w:val="105"/>
              </w:rPr>
              <w:t>За</w:t>
            </w:r>
            <w:r w:rsidRPr="00CC33B0">
              <w:rPr>
                <w:rFonts w:ascii="Times New Roman" w:hAnsi="Times New Roman" w:cs="Times New Roman"/>
                <w:spacing w:val="-4"/>
                <w:w w:val="105"/>
              </w:rPr>
              <w:t>х</w:t>
            </w:r>
            <w:r w:rsidRPr="00CC33B0">
              <w:rPr>
                <w:rFonts w:ascii="Times New Roman" w:hAnsi="Times New Roman" w:cs="Times New Roman"/>
                <w:w w:val="105"/>
              </w:rPr>
              <w:t xml:space="preserve">оди </w:t>
            </w:r>
            <w:r w:rsidRPr="00CC33B0">
              <w:rPr>
                <w:rFonts w:ascii="Times New Roman" w:hAnsi="Times New Roman" w:cs="Times New Roman"/>
                <w:spacing w:val="3"/>
                <w:w w:val="105"/>
              </w:rPr>
              <w:t>д</w:t>
            </w:r>
            <w:r w:rsidRPr="00CC33B0">
              <w:rPr>
                <w:rFonts w:ascii="Times New Roman" w:hAnsi="Times New Roman" w:cs="Times New Roman"/>
                <w:spacing w:val="-3"/>
                <w:w w:val="105"/>
              </w:rPr>
              <w:t>л</w:t>
            </w:r>
            <w:r w:rsidRPr="00CC33B0">
              <w:rPr>
                <w:rFonts w:ascii="Times New Roman" w:hAnsi="Times New Roman" w:cs="Times New Roman"/>
                <w:w w:val="105"/>
              </w:rPr>
              <w:t xml:space="preserve">я </w:t>
            </w:r>
            <w:r w:rsidRPr="00CC33B0">
              <w:rPr>
                <w:rFonts w:ascii="Times New Roman" w:hAnsi="Times New Roman" w:cs="Times New Roman"/>
                <w:spacing w:val="1"/>
                <w:w w:val="105"/>
              </w:rPr>
              <w:t>в</w:t>
            </w:r>
            <w:r w:rsidRPr="00CC33B0">
              <w:rPr>
                <w:rFonts w:ascii="Times New Roman" w:hAnsi="Times New Roman" w:cs="Times New Roman"/>
                <w:spacing w:val="-2"/>
                <w:w w:val="105"/>
              </w:rPr>
              <w:t>пр</w:t>
            </w:r>
            <w:r w:rsidRPr="00CC33B0">
              <w:rPr>
                <w:rFonts w:ascii="Times New Roman" w:hAnsi="Times New Roman" w:cs="Times New Roman"/>
                <w:w w:val="105"/>
              </w:rPr>
              <w:t>ов</w:t>
            </w:r>
            <w:r w:rsidRPr="00CC33B0">
              <w:rPr>
                <w:rFonts w:ascii="Times New Roman" w:hAnsi="Times New Roman" w:cs="Times New Roman"/>
                <w:spacing w:val="-3"/>
                <w:w w:val="105"/>
              </w:rPr>
              <w:t>а</w:t>
            </w:r>
            <w:r w:rsidRPr="00CC33B0">
              <w:rPr>
                <w:rFonts w:ascii="Times New Roman" w:hAnsi="Times New Roman" w:cs="Times New Roman"/>
                <w:w w:val="105"/>
              </w:rPr>
              <w:t>д</w:t>
            </w:r>
            <w:r w:rsidRPr="00CC33B0">
              <w:rPr>
                <w:rFonts w:ascii="Times New Roman" w:hAnsi="Times New Roman" w:cs="Times New Roman"/>
                <w:spacing w:val="-4"/>
                <w:w w:val="105"/>
              </w:rPr>
              <w:t>ж</w:t>
            </w:r>
            <w:r w:rsidRPr="00CC33B0">
              <w:rPr>
                <w:rFonts w:ascii="Times New Roman" w:hAnsi="Times New Roman" w:cs="Times New Roman"/>
                <w:w w:val="105"/>
              </w:rPr>
              <w:t xml:space="preserve">ення фізичної </w:t>
            </w:r>
            <w:r w:rsidRPr="00CC33B0">
              <w:rPr>
                <w:rFonts w:ascii="Times New Roman" w:hAnsi="Times New Roman" w:cs="Times New Roman"/>
                <w:w w:val="105"/>
              </w:rPr>
              <w:t>б</w:t>
            </w:r>
            <w:r w:rsidRPr="00CC33B0">
              <w:rPr>
                <w:rFonts w:ascii="Times New Roman" w:hAnsi="Times New Roman" w:cs="Times New Roman"/>
                <w:spacing w:val="1"/>
                <w:w w:val="105"/>
              </w:rPr>
              <w:t>е</w:t>
            </w:r>
            <w:r w:rsidRPr="00CC33B0">
              <w:rPr>
                <w:rFonts w:ascii="Times New Roman" w:hAnsi="Times New Roman" w:cs="Times New Roman"/>
                <w:w w:val="105"/>
              </w:rPr>
              <w:t>з</w:t>
            </w:r>
            <w:r w:rsidRPr="00CC33B0">
              <w:rPr>
                <w:rFonts w:ascii="Times New Roman" w:hAnsi="Times New Roman" w:cs="Times New Roman"/>
                <w:spacing w:val="-4"/>
                <w:w w:val="105"/>
              </w:rPr>
              <w:t>б</w:t>
            </w:r>
            <w:r w:rsidRPr="00CC33B0">
              <w:rPr>
                <w:rFonts w:ascii="Times New Roman" w:hAnsi="Times New Roman" w:cs="Times New Roman"/>
                <w:w w:val="105"/>
              </w:rPr>
              <w:t>а</w:t>
            </w:r>
            <w:r w:rsidRPr="00CC33B0">
              <w:rPr>
                <w:rFonts w:ascii="Times New Roman" w:hAnsi="Times New Roman" w:cs="Times New Roman"/>
                <w:spacing w:val="-2"/>
                <w:w w:val="105"/>
              </w:rPr>
              <w:t>р</w:t>
            </w:r>
            <w:r w:rsidRPr="00CC33B0">
              <w:rPr>
                <w:rFonts w:ascii="Times New Roman" w:hAnsi="Times New Roman" w:cs="Times New Roman"/>
                <w:spacing w:val="1"/>
                <w:w w:val="105"/>
              </w:rPr>
              <w:t>'</w:t>
            </w:r>
            <w:r w:rsidRPr="00CC33B0">
              <w:rPr>
                <w:rFonts w:ascii="Times New Roman" w:hAnsi="Times New Roman" w:cs="Times New Roman"/>
                <w:spacing w:val="-4"/>
                <w:w w:val="105"/>
              </w:rPr>
              <w:t>є</w:t>
            </w:r>
            <w:r w:rsidRPr="00CC33B0">
              <w:rPr>
                <w:rFonts w:ascii="Times New Roman" w:hAnsi="Times New Roman" w:cs="Times New Roman"/>
                <w:spacing w:val="-2"/>
                <w:w w:val="105"/>
              </w:rPr>
              <w:t>р</w:t>
            </w:r>
            <w:r w:rsidRPr="00CC33B0">
              <w:rPr>
                <w:rFonts w:ascii="Times New Roman" w:hAnsi="Times New Roman" w:cs="Times New Roman"/>
                <w:w w:val="105"/>
              </w:rPr>
              <w:t>н</w:t>
            </w:r>
            <w:r w:rsidRPr="00CC33B0">
              <w:rPr>
                <w:rFonts w:ascii="Times New Roman" w:hAnsi="Times New Roman" w:cs="Times New Roman"/>
                <w:spacing w:val="-4"/>
                <w:w w:val="105"/>
              </w:rPr>
              <w:t>о</w:t>
            </w:r>
            <w:r w:rsidRPr="00CC33B0">
              <w:rPr>
                <w:rFonts w:ascii="Times New Roman" w:hAnsi="Times New Roman" w:cs="Times New Roman"/>
                <w:spacing w:val="1"/>
                <w:w w:val="105"/>
              </w:rPr>
              <w:t>с</w:t>
            </w:r>
            <w:r w:rsidRPr="00CC33B0">
              <w:rPr>
                <w:rFonts w:ascii="Times New Roman" w:hAnsi="Times New Roman" w:cs="Times New Roman"/>
                <w:w w:val="105"/>
              </w:rPr>
              <w:t>ті</w:t>
            </w:r>
            <w:r w:rsidRPr="00CC33B0">
              <w:rPr>
                <w:rFonts w:ascii="Times New Roman" w:hAnsi="Times New Roman" w:cs="Times New Roman"/>
                <w:w w:val="105"/>
              </w:rPr>
              <w:t>, в</w:t>
            </w:r>
            <w:r w:rsidRPr="00CC33B0">
              <w:rPr>
                <w:rFonts w:ascii="Times New Roman" w:hAnsi="Times New Roman" w:cs="Times New Roman"/>
                <w:spacing w:val="1"/>
                <w:w w:val="105"/>
              </w:rPr>
              <w:t>с</w:t>
            </w:r>
            <w:r w:rsidRPr="00CC33B0">
              <w:rPr>
                <w:rFonts w:ascii="Times New Roman" w:hAnsi="Times New Roman" w:cs="Times New Roman"/>
                <w:spacing w:val="-2"/>
                <w:w w:val="105"/>
              </w:rPr>
              <w:t>ь</w:t>
            </w:r>
            <w:r w:rsidRPr="00CC33B0">
              <w:rPr>
                <w:rFonts w:ascii="Times New Roman" w:hAnsi="Times New Roman" w:cs="Times New Roman"/>
                <w:w w:val="105"/>
              </w:rPr>
              <w:t>ог</w:t>
            </w:r>
            <w:r w:rsidRPr="00CC33B0">
              <w:rPr>
                <w:rFonts w:ascii="Times New Roman" w:hAnsi="Times New Roman" w:cs="Times New Roman"/>
                <w:spacing w:val="-4"/>
                <w:w w:val="105"/>
              </w:rPr>
              <w:t>о</w:t>
            </w:r>
            <w:r w:rsidRPr="00CC33B0">
              <w:rPr>
                <w:rFonts w:ascii="Times New Roman" w:hAnsi="Times New Roman" w:cs="Times New Roman"/>
                <w:w w:val="105"/>
              </w:rPr>
              <w:t xml:space="preserve">:               </w:t>
            </w:r>
            <w:r w:rsidRPr="00CC33B0">
              <w:rPr>
                <w:rFonts w:ascii="Times New Roman" w:hAnsi="Times New Roman" w:cs="Times New Roman"/>
                <w:b/>
                <w:w w:val="105"/>
              </w:rPr>
              <w:t>49510,0 тис. грн.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25C4A90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3B0">
              <w:rPr>
                <w:rFonts w:ascii="Times New Roman" w:hAnsi="Times New Roman"/>
                <w:sz w:val="20"/>
                <w:szCs w:val="20"/>
                <w:lang w:val="ru-RU"/>
              </w:rPr>
              <w:t>18160,0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4942D0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3B0">
              <w:rPr>
                <w:rFonts w:ascii="Times New Roman" w:hAnsi="Times New Roman"/>
                <w:sz w:val="20"/>
                <w:szCs w:val="20"/>
                <w:lang w:val="ru-RU"/>
              </w:rPr>
              <w:t>8850,0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438F6E8F" w14:textId="77777777">
            <w:pPr>
              <w:pStyle w:val="TableParagraph"/>
              <w:spacing w:line="234" w:lineRule="exact"/>
              <w:ind w:left="-9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3B0">
              <w:rPr>
                <w:rFonts w:ascii="Times New Roman" w:hAnsi="Times New Roman"/>
                <w:sz w:val="20"/>
                <w:szCs w:val="20"/>
                <w:lang w:val="ru-RU"/>
              </w:rPr>
              <w:t>10200,0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70912CB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3B0">
              <w:rPr>
                <w:rFonts w:ascii="Times New Roman" w:hAnsi="Times New Roman"/>
                <w:sz w:val="20"/>
                <w:szCs w:val="20"/>
                <w:lang w:val="ru-RU"/>
              </w:rPr>
              <w:t>6000,0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C6CDD8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C33B0">
              <w:rPr>
                <w:rFonts w:ascii="Times New Roman" w:hAnsi="Times New Roman"/>
                <w:sz w:val="20"/>
                <w:szCs w:val="20"/>
                <w:lang w:val="ru-RU"/>
              </w:rPr>
              <w:t>6300,0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477BE36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0CF3B37" w14:textId="77777777" w:rsidTr="00CC33B0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140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DC4367C" w14:textId="77777777">
            <w:pPr>
              <w:pStyle w:val="TableParagraph"/>
              <w:spacing w:line="265" w:lineRule="exact"/>
              <w:ind w:left="126" w:right="-20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B6AEA6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обстеження об’єктів державної та комунальної власності щодо рівня їхньої доступності для осіб з інвалідністю та інших мало мобільних груп населення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FAFEDA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2025 -                2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29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B3BFC6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Комітет забезпечення доступності осіб з інвалідністю та інших мало мобільних груп населення до об’єктів соціальної та інженерно-транспортної інфраструктури 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74EB6C4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CE2E35" w14:paraId="71C62B48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A775E3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65735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F07906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03B7C3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517FCD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44B1E1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Визн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чення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вня доступності</w:t>
            </w:r>
          </w:p>
        </w:tc>
      </w:tr>
      <w:tr w14:paraId="0B5F52C7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747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91F9069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AF3E77C" w14:textId="77777777">
            <w:pPr>
              <w:pStyle w:val="TableParagraph"/>
              <w:spacing w:line="222" w:lineRule="exact"/>
              <w:ind w:right="8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Ремонт вхідної частини з облаштуванням пандусу та поручнів, вхідних частин до захисних споруд цивільного захисту у закладах освіти. Облаштування у санітарно-гігієнічних приміщеннях універсальної кабіни з можливістю заїзду до неї та навісів перед входами та над пандусами. Кріплення тактильних та візуальних елементів на сходи та поручні у закладах освіти. Облаштування ширини входу на прилеглу територію та ширини доріжок відповідно вимогам, забезпечення рівності покриття доріг та тротуарів. Встановлення ігрових та спортивних майданчиків з доступом для дітей з особливими освітніми потребами. Облаштування зони безпеки для маломобільних груп населення в захисних спорудах цивільного захисту закладів освіти. Закупівля шкільного автобуса для підвезення дітей з особливими освітніми потребами до місць навчання та у зворотному напрямку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A0443A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2025 -               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40A3718C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5947DD93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350C48D0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352296E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CE2E35" w14:paraId="720C40F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B24518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B58FBD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FC33A3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F9DC75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2F45F1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3F1E2EF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 з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</w:p>
          <w:p w:rsidR="00CE2E35" w14:paraId="419BA6E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</w:p>
        </w:tc>
      </w:tr>
      <w:tr w14:paraId="0622A28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9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2F741C1" w14:textId="77777777">
            <w:pPr>
              <w:pStyle w:val="TableParagraph"/>
              <w:spacing w:line="267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2A2826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Вдосконалення системи 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порогів, інших об’єктів та перешкод).</w:t>
            </w:r>
          </w:p>
          <w:p w:rsidR="00CE2E35" w14:paraId="6F7245FE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Оснащення шляхів руху </w:t>
            </w:r>
          </w:p>
          <w:p w:rsidR="00CE2E35" w14:paraId="0DF41C89" w14:textId="77777777">
            <w:pPr>
              <w:pStyle w:val="TableParagraph"/>
              <w:spacing w:line="225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засобами орієнтування та інформування для осіб з порушеннями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 w:rsidR="00CE2E35" w14:paraId="68F75F9A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Для осіб з порушенням зору номери поверхів, зазначені на кнопках ліфта, мають бути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продубльовані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 тактильному вигляді та шрифтом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Брайля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;</w:t>
            </w:r>
          </w:p>
          <w:p w:rsidR="00CE2E35" w14:paraId="751B7ABF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вході/виході до/з будівлі встановити план-схему, що сприятиме самостійній навігації (орієнтуванню) у приміщенні установи, відповідна схема виконана в доступних візуально/тактильних форматах.</w:t>
            </w:r>
          </w:p>
          <w:p w:rsidR="00CE2E35" w14:paraId="3A40EF7E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роботи серед працівників соціальної сфери, які здійснюють прийом громадян, щодо культури та особливості спілкування 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особами з порушеннями</w:t>
            </w:r>
          </w:p>
          <w:p w:rsidR="00CE2E35" w14:paraId="68308339" w14:textId="697AD0AA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слуху та застосування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онлайн-додатків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безкоштовного перекладу жестової </w:t>
            </w:r>
            <w:r w:rsidR="00CC33B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мови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827025E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7B928FC2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40A20DD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23FA07CA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соціального захисту населення</w:t>
            </w:r>
          </w:p>
          <w:p w:rsidR="00CE2E35" w14:paraId="4A098E93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Броварської міської ради Броварського району Київської області</w:t>
            </w:r>
          </w:p>
          <w:p w:rsidR="00CE2E35" w14:paraId="6BAF6E1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441FA6F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D557BE5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CE2E35" w14:paraId="237EC713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51A7F74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33C6FED2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742A7A74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1CA8AEE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E498F1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702EBF3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6408EDD2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385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9C1889A" w14:textId="77777777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0A2764E" w14:textId="77777777">
            <w:pPr>
              <w:pStyle w:val="BodyText"/>
              <w:spacing w:after="0" w:line="240" w:lineRule="auto"/>
              <w:ind w:right="349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Обл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штув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ння та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тильних смуг, 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онт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сфальтного покриття.</w:t>
            </w:r>
          </w:p>
          <w:p w:rsidR="00CE2E35" w14:paraId="43A159A4" w14:textId="77777777">
            <w:pPr>
              <w:pStyle w:val="BodyText"/>
              <w:tabs>
                <w:tab w:val="left" w:pos="809"/>
              </w:tabs>
              <w:spacing w:after="0" w:line="240" w:lineRule="auto"/>
              <w:ind w:right="8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лаштування зони відпочинку, встановлення альтанки із можливістю заїзду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для крісла-кол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сного.</w:t>
            </w:r>
          </w:p>
          <w:p w:rsidR="00CE2E35" w14:paraId="1FF8B11C" w14:textId="77777777">
            <w:pPr>
              <w:pStyle w:val="BodyText"/>
              <w:tabs>
                <w:tab w:val="left" w:pos="809"/>
              </w:tabs>
              <w:spacing w:after="0" w:line="240" w:lineRule="auto"/>
              <w:ind w:right="8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конструкція приміщення відповідно до норм ДБН:о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лаштування туалетної к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мнати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ab/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алізованим уніт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зом, спеціальними тримача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бо відкидними ручками.</w:t>
            </w:r>
          </w:p>
          <w:p w:rsidR="00CE2E35" w14:paraId="22AF526B" w14:textId="77777777">
            <w:pPr>
              <w:pStyle w:val="BodyText"/>
              <w:tabs>
                <w:tab w:val="left" w:pos="809"/>
              </w:tabs>
              <w:spacing w:after="0" w:line="240" w:lineRule="auto"/>
              <w:ind w:right="107"/>
              <w:rPr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eastAsia="en-U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конструкція приміщення терцентру та облаштування ліфту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AF9A525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CE2E35" w14:paraId="164140DB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2029             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D25503" w14:paraId="6061BED0" w14:textId="77777777">
            <w:pPr>
              <w:pStyle w:val="TableParagraph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:rsidP="00D25503" w14:paraId="20E226AD" w14:textId="77777777">
            <w:pPr>
              <w:pStyle w:val="TableParagraph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1EF2910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Броварський міський територіальний центру соціального обслуговування Броварського району Київської області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AB21BF2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CE2E35" w14:paraId="7DE6F66A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  <w:p w:rsidR="00CE2E35" w14:paraId="2088491B" w14:textId="77777777">
            <w:pPr>
              <w:pStyle w:val="TableParagraph"/>
              <w:spacing w:line="230" w:lineRule="exact"/>
              <w:ind w:left="-1" w:right="2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:rsidP="00CC33B0" w14:paraId="2769496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:rsidP="00CC33B0" w14:paraId="0D30ED6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:rsidP="00CC33B0" w14:paraId="29102FC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:rsidP="00CC33B0" w14:paraId="6D04E6D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:rsidP="00CC33B0" w14:paraId="7017A26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5BD8E4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5E6307D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val="280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59886ED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CC33B0" w14:paraId="077D12AF" w14:textId="77777777">
            <w:pPr>
              <w:pStyle w:val="BodyText2"/>
              <w:tabs>
                <w:tab w:val="left" w:pos="809"/>
              </w:tabs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вході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будівлі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встановити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виві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ку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назвою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нови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план</w:t>
            </w:r>
            <w:r>
              <w:rPr>
                <w:spacing w:val="27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схему для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орієнтування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приміщені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установи,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виконані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оступних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візуально-</w:t>
            </w:r>
            <w:r>
              <w:rPr>
                <w:sz w:val="20"/>
                <w:szCs w:val="20"/>
              </w:rPr>
              <w:t xml:space="preserve"> тактильних формах.</w:t>
            </w:r>
          </w:p>
          <w:p w:rsidR="00CE2E35" w:rsidP="00CC33B0" w14:paraId="64427C38" w14:textId="77777777">
            <w:pPr>
              <w:pStyle w:val="BodyText2"/>
              <w:tabs>
                <w:tab w:val="left" w:pos="809"/>
              </w:tabs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іщення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приміщ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ні Центру тактильних табличок відповідно 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 вимог ДБН</w:t>
            </w:r>
          </w:p>
          <w:p w:rsidR="00CE2E35" w14:paraId="65A45678" w14:textId="77777777">
            <w:pPr>
              <w:spacing w:before="2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6C962989" w14:textId="77777777">
            <w:pPr>
              <w:spacing w:line="222" w:lineRule="exact"/>
              <w:ind w:left="-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 xml:space="preserve">5 -2029                 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57C454D8" w14:textId="77777777">
            <w:pPr>
              <w:spacing w:line="225" w:lineRule="exact"/>
              <w:ind w:lef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п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ав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21F7C7D9" w14:textId="77777777">
            <w:pPr>
              <w:spacing w:line="222" w:lineRule="exact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Міський</w:t>
            </w:r>
            <w:r w:rsidRPr="00CC33B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r w:rsidRPr="00CC33B0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комплексної</w:t>
            </w:r>
            <w:r w:rsidRPr="00CC33B0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реабіл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тації</w:t>
            </w:r>
            <w:r w:rsidRPr="00CC33B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тей</w:t>
            </w:r>
            <w:r w:rsidRPr="00CC33B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C33B0">
              <w:rPr>
                <w:rFonts w:ascii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інвал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дністю</w:t>
            </w:r>
            <w:r w:rsidRPr="00CC33B0">
              <w:rPr>
                <w:rFonts w:ascii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Броварської мі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ої ради Броварського району Київської області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9BAA075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 w:rsidR="00CE2E35" w14:paraId="47AA6D10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7026E05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1E7A630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58358DC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198E139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7A9370E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560672E" w14:textId="77777777">
            <w:pPr>
              <w:spacing w:line="228" w:lineRule="auto"/>
              <w:ind w:left="-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Б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езб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р’єр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 xml:space="preserve">ь отримання соціальних послуг 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я о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б з і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с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т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 xml:space="preserve">ших 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C33B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и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 xml:space="preserve">х груп 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а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</w:t>
            </w:r>
            <w:r w:rsidRPr="00CC33B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е</w:t>
            </w:r>
            <w:r w:rsidRPr="00CC33B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ня г</w:t>
            </w:r>
            <w:r w:rsidRPr="00CC33B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р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C33B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ма</w:t>
            </w:r>
            <w:r w:rsidRPr="00CC33B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д</w:t>
            </w: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14:paraId="311A1A2B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84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8305218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0CA22C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пристосування головних входів до укриттів та інших об'єктів цивільного захисту для використання особами з інвалідністю та інших маломобільних груп населення, в умовах воєнного чи надзвичайного стану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5A5381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CE2E35" w14:paraId="1E6661C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8C15CA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0D0BE18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1BD7219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Київської області</w:t>
            </w:r>
          </w:p>
          <w:p w:rsidR="00CE2E35" w14:paraId="272FED14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74A6E896" w14:textId="77777777">
            <w:pPr>
              <w:pStyle w:val="TableParagraph"/>
              <w:tabs>
                <w:tab w:val="left" w:pos="3603"/>
              </w:tabs>
              <w:spacing w:line="222" w:lineRule="exact"/>
              <w:ind w:left="59" w:right="82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4235B7E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21DD0B09" w14:textId="77777777">
            <w:pPr>
              <w:pStyle w:val="TableParagraph"/>
              <w:spacing w:line="222" w:lineRule="exact"/>
              <w:ind w:left="620" w:right="62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37FD243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056465C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77A10B1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783320A2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C77D85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B46F2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укриттів та інших об’єктів цивільного захисту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8B209E6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5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16AB105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CC33B0" w14:paraId="0515FF03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вхідної групи зі встановленням пандусу шахового клубу по                          бульв. Незалежності, 2 в           м. Бровари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7E4C2A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E0D1D3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3827CEC8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6A34A0C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0008CF2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6CFF00D9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DD07933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11C65E17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214538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60D60EBA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CC33B0" w14:paraId="0EFFF2D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C147AA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435DE41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55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1327CFF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1.8.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8F1FE3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проектно-кошторисної документації реконструкції басейну КП «Оздоровчо-реабілітаційний центр» для забезпечення доступності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6B1FA3D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24D9DED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5546882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0DE1A31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243ABDA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7C8A01F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57A1BD9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88B39C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20359C3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3B6673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7A240C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69D15E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E515167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84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403D712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1.9.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25E6E0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</w:t>
            </w:r>
          </w:p>
          <w:p w:rsidR="00CE2E35" w14:paraId="1BB108D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влаштування системи засобів орієнтації (еластична тактильна плитка самоклеюча попереджувальна)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1AD26AD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1AB19D6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2AEF66A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3D43164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  <w:p w:rsidR="00CE2E35" w14:paraId="51B9647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504F6964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118B047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1D36E242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D92CB14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6385949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16A1FB9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F3C783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2DDC9299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1F0CF6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379871A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13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0AC8BA0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1.10.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75543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</w:t>
            </w:r>
          </w:p>
          <w:p w:rsidR="00CE2E35" w14:paraId="6E2D7D34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влаштування системи засобів виклику (кнопки виклику, 3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22913F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CEF25D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CE2E35" w14:paraId="5D8CB89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7A93991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 району Київської області та її виконавчих органів</w:t>
            </w:r>
          </w:p>
          <w:p w:rsidR="00CE2E35" w14:paraId="0B6494FF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2CB4B05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2ADE9C54" w14:textId="77777777">
            <w:pPr>
              <w:pStyle w:val="TableParagraph"/>
              <w:spacing w:line="222" w:lineRule="exact"/>
              <w:ind w:left="620" w:right="62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3920135D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1E93B04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22DD5C72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2130490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46F1DB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5D3AC7A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</w:p>
          <w:p w:rsidR="00CE2E35" w14:paraId="648CAA98" w14:textId="77777777">
            <w:pPr>
              <w:pStyle w:val="TableParagraph"/>
              <w:spacing w:line="222" w:lineRule="exact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маломобільних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22691303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254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840A9EA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3C35C1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приміщення Центру соціальних служб Броварської міської ради Броварського району Київської області пандусом, сходами та поручнями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8AF946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12DDDF6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64D163E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CE2E35" w14:paraId="4FF1EF0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Центр соціальних служб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0F6AD6A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10B97D9E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3714CBA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33D664F2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2EB5B2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A13B1D7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09A6F6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FB19F2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</w:p>
          <w:p w:rsidR="00CE2E35" w14:paraId="5C32C2D3" w14:textId="77777777">
            <w:pPr>
              <w:pStyle w:val="TableParagraph"/>
              <w:spacing w:line="222" w:lineRule="exact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маломобільних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43ED40E2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3"/>
          <w:wAfter w:w="26" w:type="dxa"/>
          <w:trHeight w:hRule="exact" w:val="19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40B2552" w14:textId="77777777">
            <w:pPr>
              <w:pStyle w:val="TableParagraph"/>
              <w:spacing w:line="26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AA37C5A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доступної транспортної інфраструктури територіальної громади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CE6600F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0D0017B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579A690C" w14:textId="77777777">
            <w:pPr>
              <w:pStyle w:val="TableParagraph"/>
              <w:spacing w:line="225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9BCD99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3CF41C5E" w14:textId="77777777">
            <w:pPr>
              <w:pStyle w:val="TableParagraph"/>
              <w:spacing w:line="225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7BF129E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6DE2328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19B93F2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72B9B554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596E4DC0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7A9B0B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603C2998" w14:textId="77777777" w:rsidTr="008D514E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hRule="exact" w:val="39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FDF0739" w14:textId="77777777">
            <w:pPr>
              <w:pStyle w:val="TableParagraph"/>
              <w:spacing w:line="265" w:lineRule="exact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A250FD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щодо обладнання (дообладнання житлових будівель пандусами/підйомниками та утримання їх в належному технічному стані за адресами:</w:t>
            </w:r>
          </w:p>
          <w:p w:rsidR="00CE2E35" w14:paraId="6ADD87C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Чорних Запорожців, 56 (під’їзд 2);</w:t>
            </w:r>
          </w:p>
          <w:p w:rsidR="00CE2E35" w14:paraId="4FAF44A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Незалежності,19-а (під’їзд 1); </w:t>
            </w:r>
          </w:p>
          <w:p w:rsidR="00CE2E35" w14:paraId="11EA50B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Незалежності,15 (під’їзд 2); </w:t>
            </w:r>
          </w:p>
          <w:p w:rsidR="00CE2E35" w14:paraId="6527CC0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Незалежності,10 (під’їзд 3); </w:t>
            </w:r>
          </w:p>
          <w:p w:rsidR="00CE2E35" w14:paraId="42CB2E4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Незалежності,16-в; </w:t>
            </w:r>
          </w:p>
          <w:p w:rsidR="008D514E" w14:paraId="134AE68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07BBAF7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Незалежності,16-б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64829B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9766E5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2F73ACF0" w14:textId="77777777">
            <w:pPr>
              <w:pStyle w:val="TableParagraph"/>
              <w:spacing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03BE48E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35FFBE54" w14:textId="77777777">
            <w:pPr>
              <w:pStyle w:val="TableParagraph"/>
              <w:spacing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8D514E" w14:paraId="2F357263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CE2E35" w:rsidRPr="008D514E" w14:paraId="3071F99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35" w:rsidRPr="008D514E" w14:paraId="1F80BD1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E35" w:rsidRPr="008D514E" w:rsidP="008D514E" w14:paraId="4F2BF56F" w14:textId="079AAC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4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E2E35" w:rsidRPr="008D514E" w:rsidP="008D514E" w14:paraId="3E30BEF2" w14:textId="53D3B2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4E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E2E35" w:rsidRPr="008D514E" w:rsidP="008D514E" w14:paraId="59EE685E" w14:textId="7B68016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CE2E35" w:rsidRPr="008D514E" w:rsidP="008D514E" w14:paraId="2E4FC9D6" w14:textId="600AB3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514E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8D514E" w:rsidP="008D514E" w14:paraId="793329BB" w14:textId="15848D8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CE2E35" w:rsidRPr="008D514E" w:rsidP="008D514E" w14:paraId="5F57E1B2" w14:textId="19368C0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97A64EC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777E83DA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4B95456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8D514E" w14:paraId="38940FA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8D51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328687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4421723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hRule="exact" w:val="19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F1484EE" w14:textId="77777777">
            <w:pPr>
              <w:pStyle w:val="TableParagraph"/>
              <w:spacing w:line="265" w:lineRule="exact"/>
              <w:ind w:left="3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1.14.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13CA10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щодо обладнання (дообладнання житлових будівель пандусами/підйомниками та утримання їх в належному технічному стані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DFBAD5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2026-2029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B36BEB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E2E35" w14:paraId="5E3F954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484F797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 w:rsidR="00CE2E35" w14:paraId="2BF4E4C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CF8EEB2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 xml:space="preserve">   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4EA050C" w14:textId="7777777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0D063DE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594129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C991320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77F934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B06C14D" w14:textId="77777777" w:rsidTr="00CC33B0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43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67E555B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CC33B0" w14:paraId="679D7460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Обладнання об’єктів дорожньо-транспортної інфраструктури,вулично-дорожньої мережі, що не пристосовані для осіб з інвалідністю, осіб з порушенням зору, осіб з ураженням опорно-рухового апарату та інших мало мобільних груп населення, спеціальними та допоміжними засобами, зокрема наочно інформаційними, а також пішохідних переходів – пониженими бордюрами, тактильною плиткою; оснащення світлофорів звуковими сигналами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E866B8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</w:t>
            </w: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5-2029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25D70B88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CE2E35" w14:paraId="45E227D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101E346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  <w:p w:rsidR="00CE2E35" w14:paraId="71CC0A3C" w14:textId="77777777">
            <w:pPr>
              <w:pStyle w:val="TableParagraph"/>
              <w:spacing w:line="276" w:lineRule="auto"/>
              <w:ind w:left="-1" w:right="1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BB184F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2446405C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61FDA58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F08426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AE83A7D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A18BBC8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1E8B08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6CA5409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202C3924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722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D326D42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32963EFD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Вдосконалення системи 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порогів, інших об’єктів та перешкод).</w:t>
            </w:r>
          </w:p>
          <w:p w:rsidR="00CE2E35" w:rsidP="00D25503" w14:paraId="48FB4AB9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Оснащення шляхів руху засобами орієнтування та інформування для осіб з порушеннями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 w:rsidR="00CE2E35" w:rsidP="00D25503" w14:paraId="6B6E7ABD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вході/виході до/з будівлі встановити план – схему, що сприятиме самостійній навігації (орієнтуванню) у приміщенні установи, відповідна схема виконана в доступних візуально/тактильних форматах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8679535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2025 -2029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08D3BEFD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Староста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Требухівського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старостинського округу</w:t>
            </w:r>
          </w:p>
          <w:p w:rsidR="00CE2E35" w14:paraId="3E52B43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05D9A18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Староста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Княжицького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старостинського округу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916FE0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521B422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AC5D18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204B99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A514FB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6CFD1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36701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F76EB43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 w14:paraId="0BA27561" w14:textId="77777777" w:rsidTr="00DE71A7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hRule="exact" w:val="328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B98DEB6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1.17.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DE71A7" w14:paraId="587E8054" w14:textId="49445953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Розроблення проектно-кошторисної документації «Реконструкція з дообладнанням для безперешкодного доступу осіб з інвалідністю та інших маломобільних груп населення будівлі інфекційного корпусу КНП «Броварська багатопрофільна клінічна лікарня» за адресою: вул. Шевченка, 14 м. Бровари </w:t>
            </w:r>
            <w:bookmarkStart w:id="2" w:name="_GoBack"/>
            <w:bookmarkEnd w:id="2"/>
          </w:p>
          <w:p w:rsidR="00CE2E35" w14:paraId="080DEDD0" w14:textId="77777777">
            <w:pPr>
              <w:pStyle w:val="TableParagraph"/>
              <w:spacing w:line="276" w:lineRule="auto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968E921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68C4630A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51185E7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2EED8B7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A0B6A6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52FEEBE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8AC027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9E8308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B9A90F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3B76EF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F2854C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949B49B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до об’єктів охорони здоров’я </w:t>
            </w:r>
          </w:p>
        </w:tc>
      </w:tr>
      <w:tr w14:paraId="0E88B117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6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27DC042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1.18.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5D45A2C1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пасажирського ліфта для забезпечення безперешкодного доступу маломобільних верств населення в Консультативно-діагностичному центрі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381ACD7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30D08F1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4C0D6CA5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3A0DDE3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113C45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2E612DC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12701A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076C73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7C4A21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D8BB09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3024EF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A9C702F" w14:textId="77777777">
            <w:pPr>
              <w:pStyle w:val="TableParagraph"/>
              <w:spacing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225B43D0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30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CFE760E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1.19.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3903C17E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Поточний ремонт порогу по встановленню пандусу для безперешкодного доступу осіб з інвалідністю та маломобільних груп населення в хірургічному корпусі при вході в кабінети на діагностичне обстеження (КТ, ФГЕТ, стоматологія)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022C069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2025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303C5A7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1667EE7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2C33ED2D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F1E95B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33615F9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99C4DB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C5D371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F18867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AEB53C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0F9DD3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CA99F90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54030916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68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24536A4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1.20.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544DEE45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Поточний ремонт порогу по встановленню пандусу для безперешкодного доступу осіб з інвалідністю та інших маломобільних груп населення при вході в жіночу консультацію КДЦ КНП «Броварська багатопрофільна клінічна лікарня» за адресою: вул. Шевченка, 14 м. Бровари Київської області»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CBAABDA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14:paraId="305F9B6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5F25"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:rsidRPr="00235F25" w14:paraId="5EDA2DD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:rsidRPr="00235F25" w14:paraId="731C6B8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5F25"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455707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7CC819A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38E3EF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312754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6290B3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F9F22B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7032D4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FEDE1FA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6B6FE835" w14:textId="77777777" w:rsidTr="00235F2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38085F5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449FD03C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пасажирсько-вантажного ліфта для забезпечення безперешкодного доступу маломобільних верств населення в акушерському корпусі  КНП «БРОВАРСЬКА БАГАТОПРОФІЛЬНА КЛІНІЧНА ЛІКАРННЯ» за адресою: вул. Шевченка, 14                   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2046B88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2026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3E9E232A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53B7C52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4C13E45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22B3EF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401B320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E5B9F3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BF71AC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1CB276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9B43FF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3079A0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5AC3B67" w14:textId="77777777">
            <w:pPr>
              <w:pStyle w:val="TableParagraph"/>
              <w:tabs>
                <w:tab w:val="left" w:pos="1477"/>
              </w:tabs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79EE8BF2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79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F2C3AF5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1EDE8CAB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пасажирського ліфта для забезпечення безперешкодного доступу маломобільних верств населення в акушерському корпусі  КНП «Броварська багатопрофільна клінічна лікарня» за адресою:</w:t>
            </w:r>
          </w:p>
          <w:p w:rsidR="00CE2E35" w:rsidP="00D25503" w14:paraId="5AC7306B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69970D5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D25503" w14:paraId="678A6DCC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</w:t>
            </w:r>
          </w:p>
          <w:p w:rsidR="00CE2E35" w:rsidP="00D25503" w14:paraId="44A323D2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41A1FAA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7E1A419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0543FE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4B23BA1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4A7AB6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F68339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B90DEA8" w14:textId="77777777">
            <w:pPr>
              <w:pStyle w:val="TableParagraph"/>
              <w:spacing w:line="234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FBABDF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A161B4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D2119FA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0D544B0B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5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F7BB3FB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57B481C5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душових в акушерському корпусі для безперешкодного доступу осіб з інвалідністю та інших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2E33763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2027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21D09C1F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5B020BD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788DAC0B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E0E19E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2E03BE8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0B2242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D20D7F6" w14:textId="77777777">
            <w:pPr>
              <w:pStyle w:val="TableParagraph"/>
              <w:spacing w:line="234" w:lineRule="exact"/>
              <w:ind w:left="-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009C744" w14:textId="77777777">
            <w:pPr>
              <w:pStyle w:val="TableParagraph"/>
              <w:spacing w:line="234" w:lineRule="exact"/>
              <w:ind w:left="-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2000,0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22E5FC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81E557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EC1011B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03C581DF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53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5CF9D7D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D25503" w14:paraId="38D9C2F7" w14:textId="77777777"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душових в терапевтичному  корпусі для безперешкодного доступу осіб з інвалідністю та інших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5194FA1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2028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D25503" w14:paraId="07109B6C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2327401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33D2CBF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8E75DC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1F058B1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2B5A52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D8CD08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E28E0A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1401CA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397D0F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2376FB6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78E722A4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54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B13F8F1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842007A" w14:textId="77777777">
            <w:pPr>
              <w:pStyle w:val="TableParagraph"/>
              <w:spacing w:line="276" w:lineRule="auto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душових в хірургічному корпусі для безперешкодного доступу осіб з інвалідністю та інших            маломобільних груп населення КНП «Броварська багатопрофільна клінічна лікарня» за адресою:вул. Шевченка, 14     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7193ABC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1DEF2626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:rsidR="00CE2E35" w14:paraId="7A975033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19ECB0E9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84BA23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789A6A4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EBE0E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22030A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7F625C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913C08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5CD92D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A8845B6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 w14:paraId="385C5ACA" w14:textId="77777777" w:rsidTr="00D25503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313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28F160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1.26.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:rsidP="00D25503" w14:paraId="7BC0DD31" w14:textId="77777777">
            <w:pPr>
              <w:widowControl w:val="0"/>
              <w:spacing w:line="240" w:lineRule="auto"/>
              <w:ind w:left="-1" w:right="7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Обладнання входів та внутрішніх приміщень культурних установ пандусами, поручнями.</w:t>
            </w:r>
          </w:p>
          <w:p w:rsidR="00CE2E35" w:rsidRPr="00235F25" w:rsidP="00D25503" w14:paraId="30F2A187" w14:textId="77777777">
            <w:pPr>
              <w:widowControl w:val="0"/>
              <w:spacing w:line="240" w:lineRule="auto"/>
              <w:ind w:left="-1" w:right="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Установка тактильних табличок, вказівників і карт для людей із порушенням зору.</w:t>
            </w:r>
          </w:p>
          <w:p w:rsidR="00CE2E35" w:rsidRPr="00235F25" w:rsidP="00D25503" w14:paraId="672B9421" w14:textId="77777777">
            <w:pPr>
              <w:widowControl w:val="0"/>
              <w:spacing w:line="240" w:lineRule="auto"/>
              <w:ind w:left="-1" w:right="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Модернізація санітарних вузлів для забезпечення їхньої доступності </w:t>
            </w:r>
          </w:p>
          <w:p w:rsidR="00CE2E35" w14:paraId="0DDE98E6" w14:textId="77777777">
            <w:pPr>
              <w:pStyle w:val="TableParagraph"/>
              <w:spacing w:line="276" w:lineRule="auto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F9C5A0A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2025 -2029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:rsidP="00235F25" w14:paraId="06B19348" w14:textId="70570BB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CC33B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Управління культури, сім’ї та молоді Броварської міської ради Броварського району Київської області </w:t>
            </w:r>
          </w:p>
          <w:p w:rsidR="00CE2E35" w:rsidRPr="00235F25" w:rsidP="00D25503" w14:paraId="656BD26C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</w:t>
            </w:r>
          </w:p>
          <w:p w:rsidR="00CE2E35" w14:paraId="74746BF2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15E26A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03FD217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0FAB64B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D3014B7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1800,0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8979688" w14:textId="77777777">
            <w:pPr>
              <w:widowControl w:val="0"/>
              <w:spacing w:line="234" w:lineRule="exact"/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 xml:space="preserve"> 1200.0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A76C861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1000,0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9F21D6F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800,0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8601041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Доступність культурних закладів для осіб з інвалідністю, людей похилого віку, батьків із дітьми в колясках, людей з тимчасовими фізичними обмеженнями</w:t>
            </w:r>
          </w:p>
        </w:tc>
      </w:tr>
      <w:tr w14:paraId="6BC104F7" w14:textId="77777777" w:rsidTr="00D25503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69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A13D4AB" w14:textId="77777777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1.27.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:rsidP="00D25503" w14:paraId="75D2836D" w14:textId="77777777">
            <w:pPr>
              <w:widowControl w:val="0"/>
              <w:spacing w:after="0" w:line="240" w:lineRule="auto"/>
              <w:ind w:left="-1" w:right="7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Обладнання стоматологічної поліклініки по </w:t>
            </w:r>
          </w:p>
          <w:p w:rsidR="00CE2E35" w:rsidRPr="00235F25" w:rsidP="00D25503" w14:paraId="2808EE9A" w14:textId="77777777">
            <w:pPr>
              <w:widowControl w:val="0"/>
              <w:spacing w:after="0" w:line="240" w:lineRule="auto"/>
              <w:ind w:right="6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бульв. Незалежності, 10 в </w:t>
            </w:r>
          </w:p>
          <w:p w:rsidR="00CE2E35" w:rsidRPr="00235F25" w:rsidP="00D25503" w14:paraId="79B6431D" w14:textId="77777777">
            <w:pPr>
              <w:widowControl w:val="0"/>
              <w:spacing w:after="0" w:line="240" w:lineRule="auto"/>
              <w:ind w:right="6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м. Бровари:</w:t>
            </w:r>
          </w:p>
          <w:p w:rsidR="00CE2E35" w:rsidRPr="00235F25" w:rsidP="00D25503" w14:paraId="6039A013" w14:textId="77777777">
            <w:pPr>
              <w:widowControl w:val="0"/>
              <w:spacing w:after="0" w:line="240" w:lineRule="auto"/>
              <w:ind w:left="-1" w:right="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пандусом з металевим огородженням;</w:t>
            </w:r>
          </w:p>
          <w:p w:rsidR="00CE2E35" w:rsidRPr="00235F25" w:rsidP="00D25503" w14:paraId="1DBEF25D" w14:textId="77777777">
            <w:pPr>
              <w:widowControl w:val="0"/>
              <w:spacing w:after="0" w:line="240" w:lineRule="auto"/>
              <w:ind w:left="-1" w:right="7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тактильними плитками (тактильні індикатори);</w:t>
            </w:r>
          </w:p>
          <w:p w:rsidR="00CE2E35" w:rsidRPr="00235F25" w:rsidP="00D25503" w14:paraId="41649E1F" w14:textId="77777777">
            <w:pPr>
              <w:widowControl w:val="0"/>
              <w:spacing w:after="0" w:line="240" w:lineRule="auto"/>
              <w:ind w:right="68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поручнями в санітарній кімнаті для маломобільних груп населення;</w:t>
            </w:r>
          </w:p>
          <w:p w:rsidR="00CE2E35" w:rsidP="00D25503" w14:paraId="4C12D7EA" w14:textId="77777777">
            <w:pPr>
              <w:widowControl w:val="0"/>
              <w:spacing w:after="0" w:line="240" w:lineRule="auto"/>
              <w:ind w:right="68"/>
              <w:rPr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водонепроникненими</w:t>
            </w: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кнопками виклику </w:t>
            </w: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медперсоналу для інвалідів – 2шт. на дві вхідні групи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CE2E35" w14:paraId="09F1FEE2" w14:textId="77777777">
            <w:pPr>
              <w:widowControl w:val="0"/>
              <w:ind w:left="-1" w:right="7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3CBD389" w14:textId="77777777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235F25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2025 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:rsidP="00D25503" w14:paraId="679ABDFB" w14:textId="15CC1E8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Відділ охорони здоров’я Броварської міської ради Броварського району Київської області</w:t>
            </w:r>
          </w:p>
          <w:p w:rsidR="00CE2E35" w:rsidP="00D25503" w14:paraId="3677268B" w14:textId="7777777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40E6C9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08691C1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366CD5C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300,0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9E10EB3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29FDBF6C" w14:textId="77777777">
            <w:pPr>
              <w:widowControl w:val="0"/>
              <w:spacing w:line="234" w:lineRule="exact"/>
              <w:ind w:hanging="11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 xml:space="preserve">  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6A55646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FEB6C36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35F25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5A3109C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Доступність закладів охорони здоров’я для маломобільних груп населення</w:t>
            </w:r>
          </w:p>
        </w:tc>
      </w:tr>
      <w:tr w14:paraId="7B8AE8D1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307"/>
        </w:trPr>
        <w:tc>
          <w:tcPr>
            <w:tcW w:w="14589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6E85ED4" w14:textId="77777777">
            <w:pPr>
              <w:pStyle w:val="TableParagraph"/>
              <w:spacing w:line="296" w:lineRule="exact"/>
              <w:ind w:left="24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2.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 xml:space="preserve">Інформаційна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збар’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ru-RU"/>
              </w:rPr>
              <w:t>є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ні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ru-RU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ть</w:t>
            </w:r>
          </w:p>
        </w:tc>
      </w:tr>
      <w:tr w14:paraId="30B8CC9C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hRule="exact" w:val="71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B129928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2.</w:t>
            </w:r>
          </w:p>
        </w:tc>
        <w:tc>
          <w:tcPr>
            <w:tcW w:w="814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38A5758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w w:val="105"/>
                <w:lang w:val="ru-RU"/>
              </w:rPr>
            </w:pPr>
            <w:r>
              <w:rPr>
                <w:rFonts w:ascii="Times New Roman" w:hAnsi="Times New Roman"/>
                <w:w w:val="105"/>
                <w:lang w:val="ru-RU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х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інформаційної 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’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w w:val="105"/>
                <w:lang w:val="uk-UA"/>
              </w:rPr>
              <w:t>ті</w:t>
            </w:r>
            <w:r>
              <w:rPr>
                <w:rFonts w:ascii="Times New Roman" w:hAnsi="Times New Roman"/>
                <w:w w:val="105"/>
                <w:lang w:val="uk-UA"/>
              </w:rPr>
              <w:t>, всьог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: </w:t>
            </w:r>
          </w:p>
          <w:p w:rsidR="00CE2E35" w14:paraId="5D458D34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w w:val="105"/>
                <w:lang w:val="ru-RU"/>
              </w:rPr>
              <w:t>2765,00 тис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.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г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рн.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046F39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 w:rsidRPr="00235F25">
              <w:rPr>
                <w:rFonts w:ascii="Times New Roman" w:hAnsi="Times New Roman"/>
                <w:lang w:val="ru-RU"/>
              </w:rPr>
              <w:t>365,0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CFC7AD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 w:rsidRPr="00235F25"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D017BC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 w:rsidRPr="00235F25">
              <w:rPr>
                <w:rFonts w:ascii="Times New Roman" w:hAnsi="Times New Roman"/>
                <w:lang w:val="ru-RU"/>
              </w:rPr>
              <w:t>500,0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CF6237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 w:rsidRPr="00235F25">
              <w:rPr>
                <w:rFonts w:ascii="Times New Roman" w:hAnsi="Times New Roman"/>
                <w:lang w:val="ru-RU"/>
              </w:rPr>
              <w:t>500,0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9BB391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 w:rsidRPr="00235F25">
              <w:rPr>
                <w:rFonts w:ascii="Times New Roman" w:hAnsi="Times New Roman"/>
                <w:lang w:val="ru-RU"/>
              </w:rPr>
              <w:t>400,0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35" w14:paraId="7E8ADFC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00E4FA1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31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C8E505E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235F25" w14:paraId="3AADFBDE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Додати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веб-порталі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Броварської міської ради функцію «Налаштування доступності» з можливістю вибору розміру тексту та його контрасту, а саме: вибрати колір екрану або зробити його повністю чорно-білим. </w:t>
            </w:r>
          </w:p>
          <w:p w:rsidR="00CE2E35" w:rsidP="00235F25" w14:paraId="3FA445B2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Застосувати програму для створення субтитрування відео контенту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веб-порталі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Броварської міської ради, зокрема засідань міської ради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C129389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0FB2A865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 </w:t>
            </w:r>
          </w:p>
          <w:p w:rsidR="00CE2E35" w14:paraId="53F2D1F4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256D5E60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FCA4F7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3F57196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B75DBB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37B7CE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374BB2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03CE1A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AAA4BC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235F25" w14:paraId="122A6917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Надає можливість зробити текст більш контрастним, поліпшити якість отримання публічних послуг, цифрової інформації та державних сервісів</w:t>
            </w:r>
          </w:p>
        </w:tc>
      </w:tr>
      <w:tr w14:paraId="42EBC724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449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01196C6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235F25" w14:paraId="7DD2081D" w14:textId="77777777"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візуально та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тактильно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доступних інформаційних покажчиків на вхідній частині будівлі, стендів у приміщеннях закладів освіти. Забезпечення доступності інформації про евакуаційні виходи (шляхи руху) для осіб з інвалідністю. Розробка доступних для користувачів з порушеннями зору, слуху, опорно-рухового апарату, мовлення тощо веб-сайтів закладів освіти. Забезпечення закладів освіти методичними та матеріально-технічними засобами для створення та функціонування інклюзивного середовища (медіа тека)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D8E345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2025-2029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37C19AB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AF1AA62" w14:textId="77777777">
            <w:pPr>
              <w:pStyle w:val="TableParagraph"/>
              <w:tabs>
                <w:tab w:val="left" w:pos="1275"/>
              </w:tabs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042255B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43ECE0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871E09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3C2E89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7619E8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70A96C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235F25" w14:paraId="0C480B72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інклюзивного середовища закладів освіти</w:t>
            </w:r>
          </w:p>
        </w:tc>
      </w:tr>
      <w:tr w14:paraId="1DECD8E6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1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A4388CA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235F25" w14:paraId="3BE3AFFC" w14:textId="77777777"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інформування населення про захисні споруди цивільного захисту у Броварській міській територіальній громаді, обладнані для перебування в них осіб з інвалідністю та інших маломобільних груп населення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28E3210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  <w:sz w:val="20"/>
                <w:szCs w:val="20"/>
              </w:rPr>
              <w:t>2025-2029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C76D22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568D604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CE2E35" w14:paraId="01E74BF9" w14:textId="77777777">
            <w:pPr>
              <w:pStyle w:val="TableParagraph"/>
              <w:tabs>
                <w:tab w:val="left" w:pos="1275"/>
              </w:tabs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15A2DE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B9EE0D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924694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4E6B19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137B29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CA2DCF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 w:rsidR="00CE2E35" w14:paraId="574C1C77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населення щодо доступності захисних споруд цивільного захисту</w:t>
            </w:r>
          </w:p>
        </w:tc>
      </w:tr>
      <w:tr w14:paraId="2CBFD941" w14:textId="77777777" w:rsidTr="00DE71A7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54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249B6F7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0FCD92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 </w:t>
            </w:r>
          </w:p>
          <w:p w:rsidR="00CE2E35" w14:paraId="7F247D11" w14:textId="77777777">
            <w:pPr>
              <w:pStyle w:val="TableParagraph"/>
              <w:spacing w:line="276" w:lineRule="auto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передбачити систему засобів інформаційної підтримки (інформаційні таблички)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5DF00B2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472A73E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CE2E35" w14:paraId="42ADF49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268DD047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 району Київської області та її виконавчих органів</w:t>
            </w:r>
          </w:p>
          <w:p w:rsidR="00CE2E35" w14:paraId="297BF1D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2F9618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041E65A3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1D2DD48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23F801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92095B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521B83C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49AC63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0B3789C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 w:rsidR="00CE2E35" w14:paraId="4026D4D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населення щодо доступності до публічних послуг </w:t>
            </w:r>
          </w:p>
        </w:tc>
      </w:tr>
      <w:tr w14:paraId="6413C64A" w14:textId="77777777" w:rsidTr="00235F25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44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FE5F57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779C667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населення інформацією з питань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безбар’єрності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шляхом розміщення інформації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лайтбоксах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/сіті-лайтах</w:t>
            </w:r>
          </w:p>
          <w:p w:rsidR="00CE2E35" w14:paraId="4612F51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6051266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243A4BD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6B7BCFC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2025– 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235F25" w14:paraId="07DE848C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CE2E35" w:rsidP="00235F25" w14:paraId="7E8FA960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:rsidP="00235F25" w14:paraId="6861C2C1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  <w:p w:rsidR="00CE2E35" w14:paraId="09796220" w14:textId="77777777">
            <w:pPr>
              <w:pStyle w:val="TableParagraph"/>
              <w:spacing w:line="276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0B60A5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32B7859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58CF7D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C0C512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F92873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35ACD8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D8ABD5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235F25" w14:paraId="5E8F30B0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 w:rsidR="00CE2E35" w:rsidP="00235F25" w14:paraId="364BA79B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населення щодо доступності до публічних послуг</w:t>
            </w:r>
          </w:p>
          <w:p w:rsidR="00CE2E35" w14:paraId="0F69ACB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16A38CC" w14:textId="77777777" w:rsidTr="00D25503">
        <w:tblPrEx>
          <w:tblW w:w="14595" w:type="dxa"/>
          <w:tblInd w:w="109" w:type="dxa"/>
          <w:tblLayout w:type="fixed"/>
          <w:tblLook w:val="01E0"/>
        </w:tblPrEx>
        <w:trPr>
          <w:gridAfter w:val="1"/>
          <w:wAfter w:w="11" w:type="dxa"/>
          <w:trHeight w:val="255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5AAEE9B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:rsidP="00235F25" w14:paraId="69909576" w14:textId="77777777">
            <w:pPr>
              <w:widowControl w:val="0"/>
              <w:spacing w:line="240" w:lineRule="auto"/>
              <w:ind w:left="-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Адоптація інформаційних матеріалів на сайтах культурних установ для осіб із порушенням зору та слуху (збільшені шрифти, аудіо записи, субтитри.</w:t>
            </w:r>
          </w:p>
          <w:p w:rsidR="00CE2E35" w14:paraId="6AC2B1F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Публікація інформації про культурні події та послуги закладів на всіх платформах з урахуванням доступності для людей з інвалідністю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A318833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</w:rPr>
              <w:t>2026- 2029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:rsidP="00235F25" w14:paraId="6942ECF5" w14:textId="77777777">
            <w:pPr>
              <w:widowControl w:val="0"/>
              <w:spacing w:line="240" w:lineRule="auto"/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Управління культури, сім’ї та молоді Броварської міської ради Броварського району Київської області </w:t>
            </w:r>
          </w:p>
          <w:p w:rsidR="00CE2E35" w14:paraId="47896A71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DC5390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122ABD4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0CAC3BE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468341C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5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14:paraId="347FF50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35F25">
              <w:rPr>
                <w:rFonts w:ascii="Times New Roman" w:hAnsi="Times New Roman" w:cs="Times New Roman"/>
              </w:rPr>
              <w:t>200,0</w:t>
            </w:r>
          </w:p>
          <w:p w:rsidR="00CE2E35" w:rsidRPr="00235F25" w14:paraId="2BE7865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CE2E35" w:rsidRPr="00235F25" w14:paraId="6C19F3B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3AA8EA6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5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235F25" w14:paraId="7D3599E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F25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RPr="00235F25" w14:paraId="0C5F2CDC" w14:textId="77777777">
            <w:pPr>
              <w:widowControl w:val="0"/>
              <w:spacing w:line="22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35F2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Доступ до культурної інформації для всіх груп населення </w:t>
            </w:r>
          </w:p>
          <w:p w:rsidR="00CE2E35" w14:paraId="3A48AEE4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14:paraId="474184DE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gridAfter w:val="2"/>
          <w:wAfter w:w="19" w:type="dxa"/>
          <w:trHeight w:val="307"/>
        </w:trPr>
        <w:tc>
          <w:tcPr>
            <w:tcW w:w="14581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311A707" w14:textId="77777777">
            <w:pPr>
              <w:pStyle w:val="TableParagraph"/>
              <w:spacing w:line="296" w:lineRule="exact"/>
              <w:ind w:right="23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3. Цифрова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е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6"/>
                <w:szCs w:val="26"/>
                <w:lang w:val="uk-UA"/>
              </w:rPr>
              <w:t>з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бар’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1DC81E23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5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79323DF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3.</w:t>
            </w:r>
          </w:p>
        </w:tc>
        <w:tc>
          <w:tcPr>
            <w:tcW w:w="8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2D3F915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цифрової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’є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но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т</w:t>
            </w:r>
            <w:r>
              <w:rPr>
                <w:rFonts w:ascii="Times New Roman" w:hAnsi="Times New Roman"/>
                <w:w w:val="105"/>
                <w:lang w:val="uk-UA"/>
              </w:rPr>
              <w:t>і</w:t>
            </w:r>
            <w:r>
              <w:rPr>
                <w:rFonts w:ascii="Times New Roman" w:hAnsi="Times New Roman"/>
                <w:w w:val="105"/>
                <w:lang w:val="uk-UA"/>
              </w:rPr>
              <w:t>, всь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го: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2926,00 тис. грн.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90750A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297,2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8ADEF15" w14:textId="77777777">
            <w:pPr>
              <w:pStyle w:val="TableParagraph"/>
              <w:spacing w:line="234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1107,2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3B9DF5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607,2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CBA810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507,2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9F48A4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407,2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35" w14:paraId="1569FAD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7CFE53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23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138E202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E433089" w14:textId="77777777">
            <w:pPr>
              <w:pStyle w:val="TableParagraph"/>
              <w:spacing w:before="1" w:line="228" w:lineRule="auto"/>
              <w:ind w:left="-1" w:right="7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Облаштування вуличних точок доступу        </w:t>
            </w:r>
            <w:r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(на площах, в парках, біля меморіалу пам’яті)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2A9A80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784E2E" w14:paraId="119FC71F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CE2E35" w14:paraId="39A6BB0A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:rsidP="00784E2E" w14:paraId="4C62531C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31B494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78D68559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58C6AAD4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58947ED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53D24F8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4640BC1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3C7C88F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0A00218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Безкоштовний доступ для мешканців і гостей міста до публічних послуг, цифрової інформації та державних сервісів</w:t>
            </w:r>
          </w:p>
        </w:tc>
      </w:tr>
      <w:tr w14:paraId="7556B3B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242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735AB6B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FDE59D" w14:textId="77777777">
            <w:pPr>
              <w:pStyle w:val="TableParagraph"/>
              <w:spacing w:before="1" w:line="228" w:lineRule="auto"/>
              <w:ind w:left="-1" w:right="7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Обслуговування каналу Інтернет (однієї точки)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75E854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2025–</w:t>
            </w:r>
          </w:p>
          <w:p w:rsidR="00CE2E35" w14:paraId="202C25C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8B1F81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CE2E35" w14:paraId="3E8872E9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:rsidP="00784E2E" w14:paraId="13AD3096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62D991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4E572D2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16CC9C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585942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90C91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D7EB25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08CCF0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4EE4EEC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Безперебійне користування</w:t>
            </w:r>
          </w:p>
        </w:tc>
      </w:tr>
      <w:tr w14:paraId="2E5E8BAC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469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A393040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1EFCC6B7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«Читач екрана» (англ.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Screen reader)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терміналі запису на прийом Центру обслуговування «Прозорий офіс» виконавчого комітету Броварської міської ради Броварської міської ради Київської області та на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веб-портал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Броварської міської ради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2602E8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1EE6A96C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 w:rsidR="00CE2E35" w14:paraId="11FE51AE" w14:textId="77777777">
            <w:pPr>
              <w:pStyle w:val="TableParagraph"/>
              <w:spacing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:rsidRPr="00784E2E" w:rsidP="00784E2E" w14:paraId="64903196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4E2E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</w:t>
            </w:r>
            <w:r w:rsidRPr="00784E2E">
              <w:rPr>
                <w:rFonts w:ascii="Times New Roman" w:hAnsi="Times New Roman" w:cs="Times New Roman"/>
                <w:sz w:val="20"/>
                <w:szCs w:val="20"/>
              </w:rPr>
              <w:t>цифровізації</w:t>
            </w:r>
            <w:r w:rsidRPr="00784E2E">
              <w:rPr>
                <w:rFonts w:ascii="Times New Roman" w:hAnsi="Times New Roman" w:cs="Times New Roman"/>
                <w:sz w:val="20"/>
                <w:szCs w:val="20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ACB3C3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31D27D20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7316F85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5342C30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4341BDA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4C14EFF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5A473AE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79AAF3F9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Надає можливість розпізнання й інтерпретації тексту та перетворення його на «синтезоване мовлення», надаючи читачеві змогу чути озвучений текст. Надасть змогу за потреби озвучувати сторінки порталу для незрячих користувачів</w:t>
            </w:r>
          </w:p>
        </w:tc>
      </w:tr>
      <w:tr w14:paraId="18C181ED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18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2114D5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C2916E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швид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існого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доступу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Інтернету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1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ресурсних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натах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освіти,</w:t>
            </w:r>
            <w:r>
              <w:rPr>
                <w:rFonts w:ascii="Times New Roman" w:hAnsi="Times New Roman"/>
                <w:spacing w:val="1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планшет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діт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собливи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потребами. Мод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зація бі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ліотеки інтерактивними засоба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навчання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F618359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5-</w:t>
            </w:r>
          </w:p>
          <w:p w:rsidR="00CE2E35" w14:paraId="0AF8D3D6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6E37ECE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08451F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 w:rsidR="00CE2E35" w14:paraId="4F4871BA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93FCAF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F5AD3E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A8115A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528400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42CDAE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7D7B182" w14:textId="77777777">
            <w:pPr>
              <w:pStyle w:val="TableParagraph"/>
              <w:spacing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Покращення якості навчання для діт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собливи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</w:t>
            </w:r>
            <w:r>
              <w:rPr>
                <w:rFonts w:ascii="Times New Roman" w:hAnsi="Times New Roman"/>
                <w:spacing w:val="30"/>
                <w:sz w:val="20"/>
                <w:szCs w:val="20"/>
                <w:lang w:val="uk-UA"/>
              </w:rPr>
              <w:t xml:space="preserve"> </w:t>
            </w:r>
          </w:p>
        </w:tc>
      </w:tr>
      <w:tr w14:paraId="2D8F046A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16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2A20F54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3.5.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E32E62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смартгодинниками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осіб з порушенням слуху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1B346F1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2025-</w:t>
            </w:r>
          </w:p>
          <w:p w:rsidR="00CE2E35" w14:paraId="05B58C4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784E2E" w14:paraId="20D35BE2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  <w:p w:rsidR="00CE2E35" w14:paraId="6778A9A4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CE2E35" w14:paraId="1B10EFCB" w14:textId="77777777">
            <w:pPr>
              <w:pStyle w:val="TableParagraph"/>
              <w:spacing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Радник міського голови Акопян О.Г. 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3CBF1D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 w:rsidR="00CE2E35" w14:paraId="7209E70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00F0BF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2EE5CDA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410F132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7A5E86D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1767A2C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DDD4AE4" w14:textId="77777777">
            <w:pPr>
              <w:pStyle w:val="TableParagraph"/>
              <w:spacing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Доступ до публічних послуг, цифрової інформації та державних сервісів</w:t>
            </w:r>
          </w:p>
        </w:tc>
      </w:tr>
      <w:tr w14:paraId="5A6FBA82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168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2A92C73" w14:textId="77777777">
            <w:pPr>
              <w:pStyle w:val="TableParagraph"/>
              <w:spacing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3.6.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F1B1EBB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Оцифрування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культурних колекцій та створення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онлайн-доступу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до культурних послуг.</w:t>
            </w:r>
          </w:p>
          <w:p w:rsidR="00CE2E35" w14:paraId="1E76B57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 мобільного додатку для інформування про культурні події з функціями для людей з обмеженими можливостями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B1B6ACB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2026 -</w:t>
            </w:r>
          </w:p>
          <w:p w:rsidR="00CE2E35" w14:paraId="75DCD72B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34377C44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культури, сім'ї та молоді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FA708E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 w:rsidR="00CE2E35" w14:paraId="560D7BB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5E4F96E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84E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2E5D3F6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E2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4A56860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E2E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746056B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E2E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2EEB8FB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E2E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DF4FBE1" w14:textId="77777777">
            <w:pPr>
              <w:pStyle w:val="TableParagraph"/>
              <w:spacing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Рівний доступ до цифрових культурних ресурсів для всіх мешканців громади</w:t>
            </w:r>
          </w:p>
        </w:tc>
      </w:tr>
      <w:tr w14:paraId="06E483F0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310"/>
        </w:trPr>
        <w:tc>
          <w:tcPr>
            <w:tcW w:w="14600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B52E9EB" w14:textId="77777777">
            <w:pPr>
              <w:pStyle w:val="TableParagraph"/>
              <w:spacing w:line="298" w:lineRule="exact"/>
              <w:ind w:left="14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4. 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 xml:space="preserve">Суспільна та громадянська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е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6"/>
                <w:szCs w:val="26"/>
                <w:lang w:val="uk-UA"/>
              </w:rPr>
              <w:t>з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53E114DE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6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7A63E12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4.</w:t>
            </w:r>
          </w:p>
        </w:tc>
        <w:tc>
          <w:tcPr>
            <w:tcW w:w="81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FA7EEA4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w w:val="105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2"/>
                <w:w w:val="105"/>
                <w:lang w:val="uk-UA"/>
              </w:rPr>
              <w:t xml:space="preserve">суспільної та громадянської </w:t>
            </w:r>
            <w:r>
              <w:rPr>
                <w:rFonts w:ascii="Times New Roman" w:hAnsi="Times New Roman"/>
                <w:w w:val="105"/>
                <w:lang w:val="uk-UA"/>
              </w:rPr>
              <w:t>бе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з</w:t>
            </w:r>
            <w:r>
              <w:rPr>
                <w:rFonts w:ascii="Times New Roman" w:hAnsi="Times New Roman"/>
                <w:w w:val="105"/>
                <w:lang w:val="uk-UA"/>
              </w:rPr>
              <w:t>ба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т</w:t>
            </w:r>
            <w:r>
              <w:rPr>
                <w:rFonts w:ascii="Times New Roman" w:hAnsi="Times New Roman"/>
                <w:w w:val="105"/>
                <w:lang w:val="uk-UA"/>
              </w:rPr>
              <w:t>і</w:t>
            </w:r>
            <w:r>
              <w:rPr>
                <w:rFonts w:ascii="Times New Roman" w:hAnsi="Times New Roman"/>
                <w:w w:val="105"/>
                <w:lang w:val="uk-UA"/>
              </w:rPr>
              <w:t>, всьо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г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о: </w:t>
            </w:r>
          </w:p>
          <w:p w:rsidR="00CE2E35" w14:paraId="387AC299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w w:val="105"/>
                <w:lang w:val="uk-UA"/>
              </w:rPr>
              <w:t>2600,00 тис. грн.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8884A3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F92EEC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1200,0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2DF0BE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1D78A7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4E69A0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14:paraId="5DB06A0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53FA6F8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79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EA5F90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46610C20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 дітей до різноманітних заходів з метою інтеграції у суспільство, залучення до гуртової та секційної роботи у закла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шкільної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освіти.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</w:t>
            </w:r>
            <w:r>
              <w:rPr>
                <w:rFonts w:ascii="Times New Roman" w:hAnsi="Times New Roman"/>
                <w:spacing w:val="2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харчової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ар'єрності</w:t>
            </w:r>
            <w:r>
              <w:rPr>
                <w:rFonts w:ascii="Times New Roman" w:hAnsi="Times New Roman"/>
                <w:spacing w:val="5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шляхом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  <w:r>
              <w:rPr>
                <w:rFonts w:ascii="Times New Roman" w:hAnsi="Times New Roman"/>
                <w:spacing w:val="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моніторингу</w:t>
            </w:r>
            <w:r>
              <w:rPr>
                <w:rFonts w:ascii="Times New Roman" w:hAnsi="Times New Roman"/>
                <w:spacing w:val="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харчових потреб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популяризації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здорового</w:t>
            </w:r>
            <w:r>
              <w:rPr>
                <w:rFonts w:ascii="Times New Roman" w:hAnsi="Times New Roman"/>
                <w:spacing w:val="3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чу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анн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pacing w:val="3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Впровадження найкращих</w:t>
            </w:r>
            <w:r>
              <w:rPr>
                <w:rFonts w:ascii="Times New Roman" w:hAnsi="Times New Roman"/>
                <w:spacing w:val="4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тик</w:t>
            </w:r>
            <w:r>
              <w:rPr>
                <w:rFonts w:ascii="Times New Roman" w:hAnsi="Times New Roman"/>
                <w:spacing w:val="4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особливими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освітніми потреба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позакласної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роботи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їх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участі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творчих конкурсах,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турнірах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тощо.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функціонування інклюзивно-ресурсного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центру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його</w:t>
            </w:r>
            <w:r>
              <w:rPr>
                <w:rFonts w:ascii="Times New Roman" w:hAnsi="Times New Roman"/>
                <w:spacing w:val="3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лії,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консультацій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ладів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 громади,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бать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особам,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мінюють,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сть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фахівців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роботі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команд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супроводу.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лактичних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заходів із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учасниками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освітнього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проце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питань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ігання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проявам насильства,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булінгу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формування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толерантного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ставлення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осіб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ливими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інвалідністю, подолання стигматизації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41B085C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5- </w:t>
            </w:r>
          </w:p>
          <w:p w:rsidR="00CE2E35" w14:paraId="6C1C780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B349C40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C5B0DA7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CE2E35" w14:paraId="5C27A7AB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858297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93B3B4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05E017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16AF09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E9BEFAD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F468323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Інтеграція дітей з особливими освітніми потребами у суспільство.</w:t>
            </w:r>
          </w:p>
          <w:p w:rsidR="00CE2E35" w14:paraId="1F218D8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Втілення найкращих практик, профілактичні заходи із учасниками освітнього процесу</w:t>
            </w:r>
          </w:p>
        </w:tc>
      </w:tr>
      <w:tr w14:paraId="0CC9F750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9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5F56F01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43B05D51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із залученням всіх груп населення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FF8D21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CE2E35" w14:paraId="67A11BF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AB9C6FE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413BAF7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 w:rsidR="00CE2E35" w14:paraId="73F87483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D9ABD2E" w14:textId="77777777">
            <w:pPr>
              <w:pStyle w:val="TableParagraph"/>
              <w:spacing w:line="234" w:lineRule="exact"/>
              <w:ind w:hanging="1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4583D4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83426D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3C2A93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DE3B6F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3F017B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Рівний доступ до суспільного життя</w:t>
            </w:r>
          </w:p>
        </w:tc>
      </w:tr>
      <w:tr w14:paraId="64A78A64" w14:textId="77777777" w:rsidTr="00784E2E">
        <w:tblPrEx>
          <w:tblW w:w="14595" w:type="dxa"/>
          <w:tblInd w:w="109" w:type="dxa"/>
          <w:tblLayout w:type="fixed"/>
          <w:tblLook w:val="01E0"/>
        </w:tblPrEx>
        <w:trPr>
          <w:trHeight w:hRule="exact" w:val="24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3B215DE7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uk-UA"/>
              </w:rPr>
            </w:pPr>
            <w:r w:rsidRPr="00784E2E">
              <w:rPr>
                <w:rFonts w:ascii="Times New Roman" w:hAnsi="Times New Roman"/>
                <w:lang w:val="uk-UA"/>
              </w:rPr>
              <w:t>4.3.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:rsidP="00784E2E" w14:paraId="0A1C3658" w14:textId="77777777">
            <w:pPr>
              <w:widowControl w:val="0"/>
              <w:spacing w:line="240" w:lineRule="auto"/>
              <w:ind w:left="-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4E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Організація інклюзивних культурних подій, таких як театральні вистави, виставки та кінопокази з урахуванням потреб людей з інвалідністю.</w:t>
            </w:r>
          </w:p>
          <w:p w:rsidR="00CE2E35" w:rsidRPr="00784E2E" w:rsidP="00784E2E" w14:paraId="775D961F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E2E">
              <w:rPr>
                <w:rFonts w:ascii="Times New Roman" w:hAnsi="Times New Roman"/>
                <w:sz w:val="20"/>
                <w:szCs w:val="20"/>
                <w:lang w:val="uk-UA"/>
              </w:rPr>
              <w:t>Підтримка волонтерських та громадських ініціатив щодо організації культурних подій для різних соціальних груп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C55206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2026 -2029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8C88334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культури, сім'ї та молоді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F5E4AC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 w:rsidR="00CE2E35" w14:paraId="6F680C9C" w14:textId="77777777">
            <w:pPr>
              <w:pStyle w:val="TableParagraph"/>
              <w:spacing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05B8A5BA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84E2E">
              <w:rPr>
                <w:rFonts w:ascii="Times New Roman" w:hAnsi="Times New Roman" w:cs="Times New Roman"/>
                <w:lang w:eastAsia="en-US"/>
              </w:rPr>
              <w:t>0,00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17BA7703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84E2E"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67746888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84E2E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77DB1D51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84E2E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14:paraId="2C00AC8E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84E2E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E88E4A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Інтеграція різних соціальних груп в єдине культурне середовище</w:t>
            </w:r>
          </w:p>
        </w:tc>
      </w:tr>
      <w:tr w14:paraId="48552DC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310"/>
        </w:trPr>
        <w:tc>
          <w:tcPr>
            <w:tcW w:w="14600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A75128C" w14:textId="77777777">
            <w:pPr>
              <w:pStyle w:val="TableParagraph"/>
              <w:spacing w:line="298" w:lineRule="exact"/>
              <w:ind w:right="13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5. Освітня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безбар'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2B532782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683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6C9BF27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5.</w:t>
            </w:r>
          </w:p>
        </w:tc>
        <w:tc>
          <w:tcPr>
            <w:tcW w:w="81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4B6F3D1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 xml:space="preserve">освітньої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ості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,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ь</w:t>
            </w:r>
            <w:r>
              <w:rPr>
                <w:rFonts w:ascii="Times New Roman" w:hAnsi="Times New Roman"/>
                <w:w w:val="105"/>
                <w:lang w:val="uk-UA"/>
              </w:rPr>
              <w:t>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6800,0 тис. грн.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9B458B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6BB47E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9C16AD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C2B92DD" w14:textId="77777777">
            <w:pPr>
              <w:pStyle w:val="TableParagraph"/>
              <w:spacing w:line="234" w:lineRule="exact"/>
              <w:ind w:right="-5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EAE184E" w14:textId="77777777">
            <w:pPr>
              <w:pStyle w:val="TableParagraph"/>
              <w:spacing w:line="234" w:lineRule="exact"/>
              <w:ind w:right="-10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35" w14:paraId="67E73117" w14:textId="77777777">
            <w:pPr>
              <w:pStyle w:val="TableParagraph"/>
              <w:spacing w:line="222" w:lineRule="exact"/>
              <w:ind w:left="-1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</w:p>
        </w:tc>
      </w:tr>
      <w:tr w14:paraId="5054D35E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778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1F6C23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40844040" w14:textId="77777777"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чення</w:t>
            </w:r>
            <w:r>
              <w:rPr>
                <w:rFonts w:ascii="Times New Roman" w:hAnsi="Times New Roman"/>
                <w:spacing w:val="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роботи</w:t>
            </w:r>
            <w:r>
              <w:rPr>
                <w:rFonts w:ascii="Times New Roman" w:hAnsi="Times New Roman"/>
                <w:spacing w:val="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інклюзивних клас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та груп у 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ладах освіти.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Закупівля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льних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обів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корекції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урахуванням специфіки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порушень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корекційно-розвит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льні програми;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програмне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забезпечення,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здійснює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слов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сно-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жестовий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користув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удіокнигами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). Закупівля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еблів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ітей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особливими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ами. Закупівля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технічних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засобів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навчання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(спеці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льні звукопідсилювальні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пристрої,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спеціальні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допоміжні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соби). Надання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корекційно-розвит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ових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послуг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(занять).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творення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закла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загальної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ньої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соціально-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побутового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орієнтування.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інформ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йної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3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чнів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Безбар’єрне</w:t>
            </w:r>
            <w:r>
              <w:rPr>
                <w:rFonts w:ascii="Times New Roman" w:hAnsi="Times New Roman"/>
                <w:spacing w:val="4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освітнє</w:t>
            </w:r>
            <w:r>
              <w:rPr>
                <w:rFonts w:ascii="Times New Roman" w:hAnsi="Times New Roman"/>
                <w:spacing w:val="4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ови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щ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дення заход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підвищення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професійної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кваліф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кації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 працівників,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ують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процес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інклюзивних клас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х, групах, гуртк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CA1A04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 w:rsidR="00CE2E35" w14:paraId="4F8FADF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12EB6C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EDE7BA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2839B0D2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841404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A4AE0E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5A27E8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5DC792C" w14:textId="77777777">
            <w:pPr>
              <w:pStyle w:val="TableParagraph"/>
              <w:spacing w:line="234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6218A7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FCAC0D6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освітнє середовище </w:t>
            </w:r>
          </w:p>
        </w:tc>
      </w:tr>
      <w:tr w14:paraId="7EF52BB2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214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13DA021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1434E9CF" w14:textId="77777777"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ваучерами для придбання нової професії після повернення з війни, після поранення. Відкриття відділу навчання в автошколі керування авто з ручним куруванням для осіб з особливими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бами, осіб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 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CFA592E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B3C0F48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A230145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CE2E35" w14:paraId="7BF46BCF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AD8E9C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E8E0BD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A6994D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F7F01F9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7B847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B95053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освітнє середовище</w:t>
            </w:r>
          </w:p>
        </w:tc>
      </w:tr>
      <w:tr w14:paraId="0F41580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235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E9A5862" w14:textId="77777777">
            <w:pPr>
              <w:pStyle w:val="TableParagraph"/>
              <w:spacing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:rsidP="00784E2E" w14:paraId="223D5FBA" w14:textId="77777777">
            <w:pPr>
              <w:widowControl w:val="0"/>
              <w:spacing w:line="240" w:lineRule="auto"/>
              <w:ind w:left="-1" w:right="8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4E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Проведення тренінгів для працівників закладів культури щодо інклюзивної роботи з різними категоріями відвідувачів.</w:t>
            </w:r>
          </w:p>
          <w:p w:rsidR="00CE2E35" w:rsidP="00784E2E" w14:paraId="278E17EC" w14:textId="77777777"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Організація культурно-освітніх програм для дітей з інвалідністю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13878C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E7F0F90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культури, сім'ї та молоді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області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B84DEE8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14:paraId="23682AB9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E3BB6C6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3DFB348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900,0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7ED9378" w14:textId="77777777">
            <w:pPr>
              <w:widowControl w:val="0"/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03F32EB" w14:textId="77777777">
            <w:pPr>
              <w:widowControl w:val="0"/>
              <w:spacing w:line="234" w:lineRule="exact"/>
              <w:ind w:left="-8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 xml:space="preserve">  300,0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391306D" w14:textId="77777777">
            <w:pPr>
              <w:widowControl w:val="0"/>
              <w:tabs>
                <w:tab w:val="left" w:pos="-157"/>
              </w:tabs>
              <w:spacing w:line="23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73FB6AE9" w14:textId="77777777">
            <w:pPr>
              <w:pStyle w:val="TableParagraph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Підвищення обізнаності громадян щодо інклюзії та розвиток культурних програм для людей з обмеженими можливостями</w:t>
            </w:r>
          </w:p>
        </w:tc>
      </w:tr>
      <w:tr w14:paraId="50021A85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310"/>
        </w:trPr>
        <w:tc>
          <w:tcPr>
            <w:tcW w:w="14600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8DA7688" w14:textId="77777777">
            <w:pPr>
              <w:pStyle w:val="TableParagraph"/>
              <w:spacing w:line="298" w:lineRule="exact"/>
              <w:ind w:right="1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6. Економічна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безбар'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 w14:paraId="6BAFA484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hRule="exact" w:val="39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BC0355B" w14:textId="77777777">
            <w:pPr>
              <w:pStyle w:val="TableParagraph"/>
              <w:spacing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6.</w:t>
            </w:r>
          </w:p>
        </w:tc>
        <w:tc>
          <w:tcPr>
            <w:tcW w:w="81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7CBEA7C" w14:textId="77777777">
            <w:pPr>
              <w:pStyle w:val="TableParagraph"/>
              <w:spacing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 xml:space="preserve">освітньої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ості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,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ь</w:t>
            </w:r>
            <w:r>
              <w:rPr>
                <w:rFonts w:ascii="Times New Roman" w:hAnsi="Times New Roman"/>
                <w:w w:val="105"/>
                <w:lang w:val="uk-UA"/>
              </w:rPr>
              <w:t>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1200,00 тис. грн.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4EF4548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A41916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600,0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07409B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EA67206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2712C4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E35" w14:paraId="0ABC0F9D" w14:textId="77777777">
            <w:pPr>
              <w:pStyle w:val="TableParagraph"/>
              <w:spacing w:line="222" w:lineRule="exact"/>
              <w:ind w:left="-1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</w:p>
        </w:tc>
      </w:tr>
      <w:tr w14:paraId="557D8D67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219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C475BC8" w14:textId="77777777">
            <w:pPr>
              <w:pStyle w:val="TableParagraph"/>
              <w:spacing w:line="267" w:lineRule="exac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6.1.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6898DCD9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профорієнтаційних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заходів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учнями</w:t>
            </w:r>
            <w:r>
              <w:rPr>
                <w:rFonts w:ascii="Times New Roman" w:hAnsi="Times New Roman"/>
                <w:spacing w:val="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обливими освітніми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обов’язковий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понент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подальшої соціаліз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дітей.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умов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робочому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сці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працівників з особливими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бами, осіб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 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B5D5ED4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80BB75E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4866E82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CE2E35" w14:paraId="444A5781" w14:textId="77777777">
            <w:pPr>
              <w:pStyle w:val="TableParagraph"/>
              <w:spacing w:line="276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30BC760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5ECB41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4C4FCAC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41DF5B4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C67BC1A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12A816C0" w14:textId="77777777">
            <w:pPr>
              <w:pStyle w:val="TableParagraph"/>
              <w:ind w:left="-1" w:right="-23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Профорієнтація учнів з особливими освітніми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бами </w:t>
            </w:r>
          </w:p>
        </w:tc>
      </w:tr>
      <w:tr w14:paraId="2E278939" w14:textId="77777777" w:rsidTr="0051764C">
        <w:tblPrEx>
          <w:tblW w:w="14595" w:type="dxa"/>
          <w:tblInd w:w="109" w:type="dxa"/>
          <w:tblLayout w:type="fixed"/>
          <w:tblLook w:val="01E0"/>
        </w:tblPrEx>
        <w:trPr>
          <w:trHeight w:hRule="exact" w:val="299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CA69776" w14:textId="77777777">
            <w:pPr>
              <w:pStyle w:val="TableParagraph"/>
              <w:spacing w:line="267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6.2.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51764C" w14:paraId="574778E5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інформаційно-консультативних послуг суб’єктам малого та середнього бізнесу, підприємцям-початківцям, внутрішньо-переміщеним особам, ветеранам щодо умов ведення господарської діяльності, постійне оновлення та наповнення інформаційних соціальних мереж актуальною інформацією</w:t>
            </w:r>
            <w:r w:rsidR="0051764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:rsidR="0051764C" w:rsidP="00784E2E" w14:paraId="6BF5D456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1764C" w:rsidP="00784E2E" w14:paraId="50DFDDB4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1764C" w:rsidP="00784E2E" w14:paraId="374922F9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51764C" w:rsidP="00784E2E" w14:paraId="2E0D6B0D" w14:textId="486B4BCB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3D09BC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5–2029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E35" w:rsidP="00784E2E" w14:paraId="04F40047" w14:textId="77777777">
            <w:pPr>
              <w:pStyle w:val="TableParagraph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економіки та інвестицій Броварської міської ради Броварського району Київської області </w:t>
            </w:r>
          </w:p>
          <w:p w:rsidR="00CE2E35" w14:paraId="1FBB4A02" w14:textId="77777777">
            <w:pPr>
              <w:pStyle w:val="TableParagraph"/>
              <w:spacing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6F12FAA0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CE2E35" w14:paraId="4625CC67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31F640F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64E68B7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9142972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586C2A5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DE611A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4E40FC9A" w14:textId="77777777"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Отримання інформаційно-консультативних послуг</w:t>
            </w:r>
          </w:p>
        </w:tc>
      </w:tr>
      <w:tr w14:paraId="65161051" w14:textId="77777777" w:rsidTr="00CE2E35">
        <w:tblPrEx>
          <w:tblW w:w="14595" w:type="dxa"/>
          <w:tblInd w:w="109" w:type="dxa"/>
          <w:tblLayout w:type="fixed"/>
          <w:tblLook w:val="01E0"/>
        </w:tblPrEx>
        <w:trPr>
          <w:trHeight w:val="196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3DC80B0D" w14:textId="77777777">
            <w:pPr>
              <w:pStyle w:val="TableParagraph"/>
              <w:spacing w:line="267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6.3.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51764C" w14:paraId="3E5CC62B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умов та можливостей працевлаштування. Проведення роз’яснювальної роботи з комерційними структурами і підприємствами по питанню працевлаштування осіб з інвалідністю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82B2E4D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7B9BE8CE" w14:textId="77777777">
            <w:pPr>
              <w:pStyle w:val="TableParagraph"/>
              <w:spacing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273F26D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 w:rsidR="00CE2E35" w14:paraId="3CC0DCB1" w14:textId="77777777">
            <w:pPr>
              <w:pStyle w:val="TableParagraph"/>
              <w:spacing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DDF580E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0C41DE3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55F5ADC1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4D17A88B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14:paraId="1FA9B7C3" w14:textId="77777777">
            <w:pPr>
              <w:pStyle w:val="TableParagraph"/>
              <w:spacing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784E2E" w14:paraId="4CFB7075" w14:textId="77777777"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Отримання інформаційно-консультативних послуг</w:t>
            </w:r>
          </w:p>
        </w:tc>
      </w:tr>
      <w:tr w14:paraId="3BBCB7B5" w14:textId="77777777" w:rsidTr="00784E2E">
        <w:tblPrEx>
          <w:tblW w:w="14595" w:type="dxa"/>
          <w:tblInd w:w="109" w:type="dxa"/>
          <w:tblLayout w:type="fixed"/>
          <w:tblLook w:val="01E0"/>
        </w:tblPrEx>
        <w:trPr>
          <w:trHeight w:val="167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1A7CEF23" w14:textId="77777777">
            <w:pPr>
              <w:pStyle w:val="TableParagrap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6.4.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RPr="00784E2E" w:rsidP="00655325" w14:paraId="45EEC0EB" w14:textId="77777777">
            <w:pPr>
              <w:widowControl w:val="0"/>
              <w:tabs>
                <w:tab w:val="left" w:pos="4111"/>
              </w:tabs>
              <w:spacing w:line="240" w:lineRule="auto"/>
              <w:ind w:left="-1" w:right="8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84E2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Впровадження пільгових умов відвідування культурних закладів для соціально незахищених верств населення.</w:t>
            </w:r>
          </w:p>
          <w:p w:rsidR="00CE2E35" w:rsidP="00655325" w14:paraId="736BE1D7" w14:textId="77777777"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84E2E"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безкоштовних культурних заходів і виставок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0CC3F995" w14:textId="77777777">
            <w:pPr>
              <w:pStyle w:val="TableParagraph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6 -2029</w:t>
            </w:r>
          </w:p>
        </w:tc>
        <w:tc>
          <w:tcPr>
            <w:tcW w:w="3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554A8200" w14:textId="77777777">
            <w:pPr>
              <w:pStyle w:val="TableParagrap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культури, сім'ї та молоді Броварської міської ради Броварського району Київської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області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266A0EAC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 w:rsidR="00CE2E35" w:rsidP="00655325" w14:paraId="4DC199B3" w14:textId="77777777"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1732513B" w14:textId="777777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0,00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0062F8D0" w14:textId="777777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6FEFF5C3" w14:textId="777777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63B42E81" w14:textId="777777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8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1268EBE6" w14:textId="7777777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2E35" w:rsidP="00655325" w14:paraId="5E2E92A5" w14:textId="77777777"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Профорієнтація учнів з особливими освітніми потребами</w:t>
            </w:r>
          </w:p>
        </w:tc>
      </w:tr>
    </w:tbl>
    <w:p w:rsidR="00CE2E35" w:rsidP="00655325" w14:paraId="51E06695" w14:textId="77777777">
      <w:pPr>
        <w:spacing w:line="240" w:lineRule="auto"/>
        <w:rPr>
          <w:rFonts w:ascii="Calibri" w:eastAsia="Times New Roman" w:hAnsi="Calibri"/>
          <w:lang w:val="ru-RU" w:eastAsia="ru-RU"/>
        </w:rPr>
      </w:pPr>
    </w:p>
    <w:p w:rsidR="00CE2E35" w:rsidP="00CE2E35" w14:paraId="28CC3514" w14:textId="77777777">
      <w:pPr>
        <w:tabs>
          <w:tab w:val="left" w:pos="2542"/>
          <w:tab w:val="left" w:pos="9830"/>
        </w:tabs>
        <w:rPr>
          <w:rFonts w:cs="Times New Roman"/>
          <w:sz w:val="24"/>
          <w:szCs w:val="24"/>
        </w:rPr>
      </w:pPr>
    </w:p>
    <w:p w:rsidR="00F1699F" w:rsidRPr="00EA126F" w:rsidP="00CE2E35" w14:paraId="18507996" w14:textId="2B7C9B11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F1699F">
      <w:headerReference w:type="default" r:id="rId5"/>
      <w:footerReference w:type="default" r:id="rId6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CE2E35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E71A7" w:rsidR="00DE71A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2E35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E2E35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CE2E35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35F25"/>
    <w:rsid w:val="002644B8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D283E"/>
    <w:rsid w:val="0051764C"/>
    <w:rsid w:val="00524AF7"/>
    <w:rsid w:val="005A0D38"/>
    <w:rsid w:val="005C6C54"/>
    <w:rsid w:val="00617517"/>
    <w:rsid w:val="00637321"/>
    <w:rsid w:val="00643CA3"/>
    <w:rsid w:val="00655325"/>
    <w:rsid w:val="00662744"/>
    <w:rsid w:val="006F7263"/>
    <w:rsid w:val="00784E2E"/>
    <w:rsid w:val="00853C00"/>
    <w:rsid w:val="008744DA"/>
    <w:rsid w:val="00886460"/>
    <w:rsid w:val="008A5D36"/>
    <w:rsid w:val="008D514E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C33B0"/>
    <w:rsid w:val="00CE2E35"/>
    <w:rsid w:val="00CF556F"/>
    <w:rsid w:val="00D00157"/>
    <w:rsid w:val="00D25503"/>
    <w:rsid w:val="00D36CD8"/>
    <w:rsid w:val="00DE71A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CE2E35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CE2E35"/>
    <w:pPr>
      <w:keepNext/>
      <w:spacing w:after="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CE2E35"/>
    <w:pPr>
      <w:keepNext/>
      <w:spacing w:after="0" w:line="240" w:lineRule="atLeast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CE2E3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CE2E35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CE2E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Текст сноски Знак"/>
    <w:basedOn w:val="DefaultParagraphFont"/>
    <w:link w:val="FootnoteText"/>
    <w:uiPriority w:val="99"/>
    <w:semiHidden/>
    <w:rsid w:val="00CE2E35"/>
    <w:rPr>
      <w:rFonts w:ascii="Calibri" w:eastAsia="Times New Roman" w:hAnsi="Calibri" w:cs="Times New Roman"/>
      <w:sz w:val="20"/>
      <w:szCs w:val="20"/>
    </w:rPr>
  </w:style>
  <w:style w:type="paragraph" w:styleId="FootnoteText">
    <w:name w:val="footnote text"/>
    <w:link w:val="a1"/>
    <w:uiPriority w:val="99"/>
    <w:semiHidden/>
    <w:unhideWhenUsed/>
    <w:rsid w:val="00CE2E3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CE2E35"/>
    <w:rPr>
      <w:rFonts w:ascii="Calibri" w:eastAsia="Times New Roman" w:hAnsi="Calibri" w:cs="Times New Roman"/>
      <w:sz w:val="20"/>
      <w:szCs w:val="20"/>
    </w:rPr>
  </w:style>
  <w:style w:type="paragraph" w:styleId="EndnoteText">
    <w:name w:val="endnote text"/>
    <w:link w:val="a2"/>
    <w:uiPriority w:val="99"/>
    <w:semiHidden/>
    <w:unhideWhenUsed/>
    <w:rsid w:val="00CE2E3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E2E35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a3"/>
    <w:uiPriority w:val="99"/>
    <w:unhideWhenUsed/>
    <w:qFormat/>
    <w:rsid w:val="00CE2E35"/>
    <w:pPr>
      <w:spacing w:after="120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CE2E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CE2E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E2E3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E2E35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Normal"/>
    <w:uiPriority w:val="99"/>
    <w:semiHidden/>
    <w:qFormat/>
    <w:rsid w:val="00CE2E35"/>
    <w:pPr>
      <w:widowControl w:val="0"/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5521F"/>
    <w:rsid w:val="000C260D"/>
    <w:rsid w:val="001A51A0"/>
    <w:rsid w:val="001D2F2D"/>
    <w:rsid w:val="002C5694"/>
    <w:rsid w:val="004336F9"/>
    <w:rsid w:val="004A6BAA"/>
    <w:rsid w:val="00564DF9"/>
    <w:rsid w:val="00615E4C"/>
    <w:rsid w:val="00651CF5"/>
    <w:rsid w:val="00785576"/>
    <w:rsid w:val="008756A4"/>
    <w:rsid w:val="008A5D36"/>
    <w:rsid w:val="009F68FB"/>
    <w:rsid w:val="00BC4D87"/>
    <w:rsid w:val="00E16210"/>
    <w:rsid w:val="00FB6DFE"/>
    <w:rsid w:val="00FD56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40CB6-895C-40A6-9C91-A51D14CE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20977</Words>
  <Characters>11957</Characters>
  <Application>Microsoft Office Word</Application>
  <DocSecurity>8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2023-03-27T06:23:00Z</dcterms:created>
  <dcterms:modified xsi:type="dcterms:W3CDTF">2024-12-20T06:51:00Z</dcterms:modified>
</cp:coreProperties>
</file>