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84" w:rsidRPr="007B4C8B" w:rsidRDefault="004F5084" w:rsidP="004F5084">
      <w:pPr>
        <w:pStyle w:val="a3"/>
        <w:spacing w:before="0" w:beforeAutospacing="0" w:after="0" w:afterAutospacing="0"/>
        <w:jc w:val="center"/>
        <w:rPr>
          <w:rStyle w:val="a4"/>
          <w:color w:val="303030"/>
        </w:rPr>
      </w:pPr>
      <w:r w:rsidRPr="007B4C8B">
        <w:rPr>
          <w:rStyle w:val="a4"/>
          <w:color w:val="303030"/>
        </w:rPr>
        <w:t xml:space="preserve">Пояснювальна записка до </w:t>
      </w:r>
      <w:proofErr w:type="spellStart"/>
      <w:r w:rsidRPr="007B4C8B">
        <w:rPr>
          <w:rStyle w:val="a4"/>
          <w:color w:val="303030"/>
        </w:rPr>
        <w:t>проєкту</w:t>
      </w:r>
      <w:proofErr w:type="spellEnd"/>
      <w:r w:rsidRPr="007B4C8B">
        <w:rPr>
          <w:rStyle w:val="a4"/>
          <w:color w:val="303030"/>
        </w:rPr>
        <w:t xml:space="preserve"> рішення</w:t>
      </w:r>
    </w:p>
    <w:p w:rsidR="004F5084" w:rsidRPr="007B4C8B" w:rsidRDefault="004F5084" w:rsidP="004F5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внесення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змін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рішення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Броварської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Броварського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району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Київської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області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11.09.2024 № 1747-77-08 «Про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надання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згоди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комунальному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>підприємству</w:t>
      </w:r>
      <w:proofErr w:type="spellEnd"/>
      <w:r w:rsidRPr="007B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Броварської</w:t>
      </w:r>
      <w:proofErr w:type="spell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proofErr w:type="gram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 ради </w:t>
      </w:r>
      <w:proofErr w:type="spell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Броварського</w:t>
      </w:r>
      <w:proofErr w:type="spell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 району </w:t>
      </w:r>
      <w:proofErr w:type="spell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Київської</w:t>
      </w:r>
      <w:proofErr w:type="spell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області</w:t>
      </w:r>
      <w:proofErr w:type="spell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proofErr w:type="spell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» на </w:t>
      </w:r>
      <w:proofErr w:type="spellStart"/>
      <w:r w:rsidRPr="007B4C8B">
        <w:rPr>
          <w:rFonts w:ascii="Times New Roman" w:hAnsi="Times New Roman" w:cs="Times New Roman"/>
          <w:b/>
          <w:bCs/>
          <w:sz w:val="24"/>
          <w:szCs w:val="24"/>
        </w:rPr>
        <w:t>укладення</w:t>
      </w:r>
      <w:proofErr w:type="spellEnd"/>
      <w:r w:rsidRPr="007B4C8B">
        <w:rPr>
          <w:rFonts w:ascii="Times New Roman" w:hAnsi="Times New Roman" w:cs="Times New Roman"/>
          <w:b/>
          <w:bCs/>
          <w:sz w:val="24"/>
          <w:szCs w:val="24"/>
        </w:rPr>
        <w:t xml:space="preserve"> кредитного договору»</w:t>
      </w:r>
    </w:p>
    <w:p w:rsidR="004F5084" w:rsidRPr="007B4C8B" w:rsidRDefault="004F5084" w:rsidP="004F5084">
      <w:pPr>
        <w:pStyle w:val="a3"/>
        <w:spacing w:before="0" w:beforeAutospacing="0" w:after="0" w:afterAutospacing="0"/>
        <w:jc w:val="center"/>
        <w:rPr>
          <w:color w:val="303030"/>
        </w:rPr>
      </w:pPr>
    </w:p>
    <w:p w:rsidR="004F5084" w:rsidRPr="0002583E" w:rsidRDefault="004F5084" w:rsidP="004F5084">
      <w:pPr>
        <w:pStyle w:val="a3"/>
        <w:spacing w:before="0" w:beforeAutospacing="0" w:after="0" w:afterAutospacing="0"/>
        <w:jc w:val="center"/>
        <w:rPr>
          <w:color w:val="303030"/>
        </w:rPr>
      </w:pP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t xml:space="preserve">Пояснювальна записка підготовлена відповідно до ст. 20 Регламенту Броварської міської ради </w:t>
      </w:r>
      <w:bookmarkStart w:id="0" w:name="_Hlk183520640"/>
      <w:r w:rsidRPr="0002583E">
        <w:t xml:space="preserve">Броварського району Київської області </w:t>
      </w:r>
      <w:bookmarkEnd w:id="0"/>
      <w:r w:rsidRPr="0002583E">
        <w:t>VIII скликання.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rPr>
          <w:rStyle w:val="a4"/>
        </w:rPr>
        <w:t> </w:t>
      </w:r>
    </w:p>
    <w:p w:rsidR="004F5084" w:rsidRPr="0002583E" w:rsidRDefault="004F5084" w:rsidP="004F5084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</w:rPr>
      </w:pPr>
      <w:r w:rsidRPr="0002583E">
        <w:rPr>
          <w:rStyle w:val="a4"/>
        </w:rPr>
        <w:t>Обґрунтування необхідності прийняття рішення</w:t>
      </w: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084">
        <w:rPr>
          <w:rFonts w:ascii="Times New Roman" w:hAnsi="Times New Roman" w:cs="Times New Roman"/>
          <w:sz w:val="24"/>
          <w:szCs w:val="24"/>
          <w:lang w:val="uk-UA"/>
        </w:rPr>
        <w:t xml:space="preserve">Рішенням Броварської міської ради Броварського району Київської області від 11.09.2024 № 1747-77-08 </w:t>
      </w:r>
      <w:bookmarkStart w:id="1" w:name="_Hlk115422134"/>
      <w:r w:rsidRPr="004F5084">
        <w:rPr>
          <w:rStyle w:val="a4"/>
          <w:rFonts w:ascii="Times New Roman" w:hAnsi="Times New Roman" w:cs="Times New Roman"/>
          <w:sz w:val="24"/>
          <w:szCs w:val="24"/>
          <w:lang w:val="uk-UA"/>
        </w:rPr>
        <w:t>«Про надання згоди комунальному підприємству Броварської  міської ради Броварського району Київської області «</w:t>
      </w:r>
      <w:proofErr w:type="spellStart"/>
      <w:r w:rsidRPr="004F5084">
        <w:rPr>
          <w:rStyle w:val="a4"/>
          <w:rFonts w:ascii="Times New Roman" w:hAnsi="Times New Roman" w:cs="Times New Roman"/>
          <w:sz w:val="24"/>
          <w:szCs w:val="24"/>
          <w:lang w:val="uk-UA"/>
        </w:rPr>
        <w:t>Броваритепловодоенергія</w:t>
      </w:r>
      <w:proofErr w:type="spellEnd"/>
      <w:r w:rsidRPr="004F5084">
        <w:rPr>
          <w:rStyle w:val="a4"/>
          <w:rFonts w:ascii="Times New Roman" w:hAnsi="Times New Roman" w:cs="Times New Roman"/>
          <w:sz w:val="24"/>
          <w:szCs w:val="24"/>
          <w:lang w:val="uk-UA"/>
        </w:rPr>
        <w:t>» на укладення кредитного договору»</w:t>
      </w:r>
      <w:r w:rsidRPr="004F5084">
        <w:rPr>
          <w:rFonts w:ascii="Times New Roman" w:hAnsi="Times New Roman" w:cs="Times New Roman"/>
          <w:sz w:val="24"/>
          <w:szCs w:val="24"/>
          <w:lang w:val="uk-UA"/>
        </w:rPr>
        <w:t xml:space="preserve"> (далі по тексту - рішення ради від 11.09.2024 № 1747-77-08)</w:t>
      </w:r>
      <w:r w:rsidRPr="004F508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надано згоду КП «</w:t>
      </w:r>
      <w:proofErr w:type="spellStart"/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>Броваритепловодоенергія</w:t>
      </w:r>
      <w:proofErr w:type="spellEnd"/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на передачу майна в </w:t>
      </w:r>
      <w:bookmarkStart w:id="2" w:name="_Hlk183521598"/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забезпечення кредитних </w:t>
      </w:r>
      <w:bookmarkEnd w:id="2"/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зобов’язань: адмінбудинку за </w:t>
      </w:r>
      <w:proofErr w:type="spellStart"/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F50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Київська обл., Броварський район, м. Бровари, вул.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Грушевського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Михайла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, буд. 3А,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територіальній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громаді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Бровари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особі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Броварської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Броварського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Київської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t xml:space="preserve">Проте, </w:t>
      </w:r>
      <w:bookmarkStart w:id="3" w:name="_Hlk183522158"/>
      <w:r w:rsidRPr="0002583E">
        <w:t>статтею 14</w:t>
      </w:r>
      <w:bookmarkEnd w:id="3"/>
      <w:r w:rsidRPr="0002583E">
        <w:t xml:space="preserve"> </w:t>
      </w:r>
      <w:bookmarkStart w:id="4" w:name="_Hlk183521800"/>
      <w:r w:rsidRPr="0002583E">
        <w:t xml:space="preserve">Закону України «Про іпотеку» </w:t>
      </w:r>
      <w:bookmarkStart w:id="5" w:name="n109"/>
      <w:bookmarkEnd w:id="4"/>
      <w:bookmarkEnd w:id="5"/>
      <w:r w:rsidRPr="0002583E">
        <w:t>встановлено, що предметом іпотеки може бути об’єкт нерухомого майна, що є об’єктом права державної чи комунальної власності (спеціального майнового права держави або територіальної громади) і закріплений за відповідним державним чи комунальним підприємством, установою, організацією на праві господарського відання. </w:t>
      </w:r>
    </w:p>
    <w:p w:rsidR="004F5084" w:rsidRPr="0002583E" w:rsidRDefault="004F5084" w:rsidP="004F5084">
      <w:pPr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02583E">
        <w:rPr>
          <w:rFonts w:ascii="Times New Roman" w:hAnsi="Times New Roman" w:cs="Times New Roman"/>
          <w:sz w:val="24"/>
          <w:szCs w:val="24"/>
        </w:rPr>
        <w:t xml:space="preserve">За результатом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речові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балансі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, радою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5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82B50">
        <w:rPr>
          <w:rFonts w:ascii="Times New Roman" w:hAnsi="Times New Roman" w:cs="Times New Roman"/>
          <w:sz w:val="24"/>
          <w:szCs w:val="24"/>
        </w:rPr>
        <w:t xml:space="preserve"> 28.11.2024</w:t>
      </w:r>
      <w:r w:rsidRPr="0002583E">
        <w:rPr>
          <w:rFonts w:ascii="Times New Roman" w:hAnsi="Times New Roman" w:cs="Times New Roman"/>
          <w:sz w:val="24"/>
          <w:szCs w:val="24"/>
        </w:rPr>
        <w:t xml:space="preserve"> «</w:t>
      </w:r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Про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закріплення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майна на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праві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господарського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відання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за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комунальним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підприємством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Броварської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міської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ради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Броварського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району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Київської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області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  <w:lang w:bidi="hi-IN"/>
        </w:rPr>
        <w:t>Броваритепловодоенергія</w:t>
      </w:r>
      <w:proofErr w:type="spellEnd"/>
      <w:r w:rsidRPr="0002583E">
        <w:rPr>
          <w:rFonts w:ascii="Times New Roman" w:hAnsi="Times New Roman" w:cs="Times New Roman"/>
          <w:sz w:val="24"/>
          <w:szCs w:val="24"/>
          <w:lang w:bidi="hi-IN"/>
        </w:rPr>
        <w:t xml:space="preserve">». </w:t>
      </w:r>
    </w:p>
    <w:p w:rsidR="004F5084" w:rsidRPr="0002583E" w:rsidRDefault="004F5084" w:rsidP="004F5084">
      <w:pPr>
        <w:spacing w:after="0" w:line="240" w:lineRule="auto"/>
        <w:ind w:right="7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_Hlk183597447"/>
      <w:proofErr w:type="spellStart"/>
      <w:r w:rsidRPr="0002583E">
        <w:rPr>
          <w:rFonts w:ascii="Times New Roman" w:hAnsi="Times New Roman" w:cs="Times New Roman"/>
          <w:color w:val="000000" w:themeColor="text1"/>
          <w:sz w:val="24"/>
          <w:szCs w:val="24"/>
        </w:rPr>
        <w:t>Тобто</w:t>
      </w:r>
      <w:proofErr w:type="spellEnd"/>
      <w:r w:rsidRPr="00025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583E">
        <w:rPr>
          <w:rFonts w:ascii="Times New Roman" w:hAnsi="Times New Roman" w:cs="Times New Roman"/>
          <w:color w:val="000000" w:themeColor="text1"/>
          <w:sz w:val="24"/>
          <w:szCs w:val="24"/>
        </w:rPr>
        <w:t>згода</w:t>
      </w:r>
      <w:proofErr w:type="spellEnd"/>
      <w:r w:rsidRPr="00025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кредитних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зобов’язань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11.09.2024 № 1747-77-08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майна, яке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територіальній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громаді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Бровари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Враховуючи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Pr="0002583E">
        <w:rPr>
          <w:rFonts w:ascii="Times New Roman" w:eastAsia="Times New Roman" w:hAnsi="Times New Roman" w:cs="Times New Roman"/>
          <w:sz w:val="24"/>
          <w:szCs w:val="24"/>
        </w:rPr>
        <w:t>іпотеку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вимагається</w:t>
      </w:r>
      <w:proofErr w:type="spellEnd"/>
      <w:proofErr w:type="gram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згоди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майна, яке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перебуває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господарському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віданні</w:t>
      </w:r>
      <w:proofErr w:type="spellEnd"/>
      <w:r w:rsidRPr="0002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eastAsia="Times New Roman" w:hAnsi="Times New Roman" w:cs="Times New Roman"/>
          <w:sz w:val="24"/>
          <w:szCs w:val="24"/>
        </w:rPr>
        <w:t>підприємства</w:t>
      </w:r>
      <w:bookmarkEnd w:id="6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0F6D">
        <w:rPr>
          <w:rFonts w:ascii="Times New Roman" w:hAnsi="Times New Roman" w:cs="Times New Roman"/>
          <w:sz w:val="24"/>
          <w:szCs w:val="24"/>
          <w:lang w:bidi="hi-IN"/>
        </w:rPr>
        <w:t>необхідно</w:t>
      </w:r>
      <w:proofErr w:type="spellEnd"/>
      <w:r w:rsidRPr="00210F6D">
        <w:rPr>
          <w:rFonts w:ascii="Times New Roman" w:hAnsi="Times New Roman" w:cs="Times New Roman"/>
          <w:sz w:val="24"/>
          <w:szCs w:val="24"/>
          <w:lang w:bidi="hi-IN"/>
        </w:rPr>
        <w:t xml:space="preserve"> внести </w:t>
      </w:r>
      <w:proofErr w:type="spellStart"/>
      <w:r w:rsidRPr="00210F6D">
        <w:rPr>
          <w:rFonts w:ascii="Times New Roman" w:hAnsi="Times New Roman" w:cs="Times New Roman"/>
          <w:sz w:val="24"/>
          <w:szCs w:val="24"/>
          <w:lang w:bidi="hi-IN"/>
        </w:rPr>
        <w:t>зміни</w:t>
      </w:r>
      <w:proofErr w:type="spellEnd"/>
      <w:r w:rsidRPr="00210F6D">
        <w:rPr>
          <w:rFonts w:ascii="Times New Roman" w:hAnsi="Times New Roman" w:cs="Times New Roman"/>
          <w:sz w:val="24"/>
          <w:szCs w:val="24"/>
          <w:lang w:bidi="hi-IN"/>
        </w:rPr>
        <w:t xml:space="preserve"> до </w:t>
      </w:r>
      <w:proofErr w:type="spellStart"/>
      <w:r w:rsidRPr="00210F6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11.09.2024 № 1747-77-08 </w:t>
      </w:r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02583E">
        <w:rPr>
          <w:rStyle w:val="a4"/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02583E">
        <w:rPr>
          <w:rStyle w:val="a4"/>
          <w:rFonts w:ascii="Times New Roman" w:hAnsi="Times New Roman" w:cs="Times New Roman"/>
          <w:sz w:val="24"/>
          <w:szCs w:val="24"/>
        </w:rPr>
        <w:t xml:space="preserve"> кредитного договору»</w:t>
      </w:r>
    </w:p>
    <w:bookmarkEnd w:id="1"/>
    <w:p w:rsidR="004F5084" w:rsidRPr="0002583E" w:rsidRDefault="004F5084" w:rsidP="004F5084">
      <w:pPr>
        <w:tabs>
          <w:tab w:val="left" w:pos="851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83E">
        <w:rPr>
          <w:rStyle w:val="a4"/>
          <w:color w:val="000000" w:themeColor="text1"/>
        </w:rPr>
        <w:t xml:space="preserve">2. Мета і шляхи її досягнення 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  <w:rPr>
          <w:color w:val="000000" w:themeColor="text1"/>
          <w:lang w:eastAsia="ru-RU"/>
        </w:rPr>
      </w:pPr>
      <w:bookmarkStart w:id="7" w:name="_Hlk166159270"/>
      <w:bookmarkStart w:id="8" w:name="_Hlk183520732"/>
      <w:r w:rsidRPr="0002583E">
        <w:rPr>
          <w:shd w:val="clear" w:color="auto" w:fill="FFFFFF"/>
        </w:rPr>
        <w:t xml:space="preserve">Укладення кредитного договору з забезпеченням </w:t>
      </w:r>
      <w:r w:rsidRPr="0002583E">
        <w:t xml:space="preserve">кредитних зобов’язань, що </w:t>
      </w:r>
      <w:r w:rsidRPr="0002583E">
        <w:rPr>
          <w:color w:val="000000" w:themeColor="text1"/>
          <w:shd w:val="clear" w:color="auto" w:fill="FFFFFF"/>
        </w:rPr>
        <w:t xml:space="preserve">забезпечить </w:t>
      </w:r>
      <w:bookmarkStart w:id="9" w:name="_Hlk172638192"/>
      <w:bookmarkEnd w:id="7"/>
      <w:r w:rsidRPr="0002583E">
        <w:rPr>
          <w:color w:val="000000" w:themeColor="text1"/>
          <w:shd w:val="clear" w:color="auto" w:fill="FFFFFF"/>
        </w:rPr>
        <w:t>безперебійну роботу підприємства</w:t>
      </w:r>
      <w:bookmarkEnd w:id="9"/>
      <w:r w:rsidRPr="0002583E">
        <w:rPr>
          <w:color w:val="000000" w:themeColor="text1"/>
          <w:shd w:val="clear" w:color="auto" w:fill="FFFFFF"/>
        </w:rPr>
        <w:t>.</w:t>
      </w:r>
    </w:p>
    <w:bookmarkEnd w:id="8"/>
    <w:p w:rsidR="004F5084" w:rsidRPr="0002583E" w:rsidRDefault="004F5084" w:rsidP="004F5084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8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rPr>
          <w:rStyle w:val="a4"/>
        </w:rPr>
        <w:t>3. Правові аспекти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t>Стаття 26 Закону України «Про місцеве самоврядування в Україні». 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  <w:rPr>
          <w:color w:val="303030"/>
        </w:rPr>
      </w:pPr>
      <w:r w:rsidRPr="0002583E">
        <w:rPr>
          <w:rStyle w:val="a4"/>
          <w:color w:val="303030"/>
        </w:rPr>
        <w:t>4. Фінансово-економічне обґрунтування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  <w:rPr>
          <w:color w:val="303030"/>
        </w:rPr>
      </w:pPr>
      <w:r w:rsidRPr="0002583E">
        <w:rPr>
          <w:color w:val="303030"/>
        </w:rPr>
        <w:t>Прийняття даного рішення не потребує виділення коштів.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rPr>
          <w:color w:val="303030"/>
        </w:rPr>
        <w:t> 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rPr>
          <w:rStyle w:val="a4"/>
        </w:rPr>
        <w:t>5. Прогноз результатів</w:t>
      </w:r>
    </w:p>
    <w:p w:rsidR="004F5084" w:rsidRPr="0002583E" w:rsidRDefault="004F5084" w:rsidP="004F508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Забезпечення</w:t>
      </w:r>
      <w:proofErr w:type="spellEnd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безперебійної</w:t>
      </w:r>
      <w:proofErr w:type="spellEnd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роботи</w:t>
      </w:r>
      <w:proofErr w:type="spellEnd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підприємства</w:t>
      </w:r>
      <w:proofErr w:type="spellEnd"/>
      <w:r w:rsidRPr="00025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F5084" w:rsidRPr="0002583E" w:rsidRDefault="004F5084" w:rsidP="004F508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  <w:rPr>
          <w:color w:val="303030"/>
        </w:rPr>
      </w:pPr>
      <w:r w:rsidRPr="0002583E">
        <w:rPr>
          <w:rStyle w:val="a4"/>
          <w:color w:val="303030"/>
        </w:rPr>
        <w:t xml:space="preserve">6. Суб’єкт подання </w:t>
      </w:r>
      <w:proofErr w:type="spellStart"/>
      <w:r w:rsidRPr="0002583E">
        <w:rPr>
          <w:rStyle w:val="a4"/>
          <w:color w:val="303030"/>
        </w:rPr>
        <w:t>проєкту</w:t>
      </w:r>
      <w:proofErr w:type="spellEnd"/>
      <w:r w:rsidRPr="0002583E">
        <w:rPr>
          <w:rStyle w:val="a4"/>
          <w:color w:val="303030"/>
        </w:rPr>
        <w:t xml:space="preserve"> рішення</w:t>
      </w:r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  <w:rPr>
          <w:color w:val="303030"/>
        </w:rPr>
      </w:pPr>
      <w:r w:rsidRPr="0002583E"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4F5084" w:rsidRDefault="004F5084" w:rsidP="004F5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F5084" w:rsidRDefault="004F5084" w:rsidP="004F5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10" w:name="_GoBack"/>
      <w:bookmarkEnd w:id="10"/>
    </w:p>
    <w:p w:rsidR="004F5084" w:rsidRPr="0002583E" w:rsidRDefault="004F5084" w:rsidP="004F5084">
      <w:pPr>
        <w:pStyle w:val="a3"/>
        <w:spacing w:before="0" w:beforeAutospacing="0" w:after="0" w:afterAutospacing="0"/>
        <w:jc w:val="both"/>
      </w:pPr>
      <w:r w:rsidRPr="0002583E">
        <w:rPr>
          <w:rStyle w:val="a4"/>
        </w:rPr>
        <w:lastRenderedPageBreak/>
        <w:t>7. Порівняльна таблиця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5245"/>
      </w:tblGrid>
      <w:tr w:rsidR="004F5084" w:rsidRPr="0002583E" w:rsidTr="004425C1">
        <w:trPr>
          <w:trHeight w:val="260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84" w:rsidRPr="00210F6D" w:rsidRDefault="004F5084" w:rsidP="004425C1">
            <w:pPr>
              <w:pStyle w:val="a3"/>
              <w:spacing w:before="0" w:beforeAutospacing="0" w:after="0" w:afterAutospacing="0"/>
              <w:jc w:val="center"/>
            </w:pPr>
            <w:r w:rsidRPr="00210F6D">
              <w:rPr>
                <w:rStyle w:val="a4"/>
              </w:rPr>
              <w:t>Попередня редакція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84" w:rsidRPr="00210F6D" w:rsidRDefault="004F5084" w:rsidP="004425C1">
            <w:pPr>
              <w:pStyle w:val="a3"/>
              <w:spacing w:before="0" w:beforeAutospacing="0" w:after="0" w:afterAutospacing="0"/>
              <w:jc w:val="center"/>
            </w:pPr>
            <w:r w:rsidRPr="00210F6D">
              <w:rPr>
                <w:rStyle w:val="a4"/>
              </w:rPr>
              <w:t>Нова редакція</w:t>
            </w:r>
          </w:p>
        </w:tc>
      </w:tr>
      <w:tr w:rsidR="004F5084" w:rsidRPr="0002583E" w:rsidTr="004425C1">
        <w:trPr>
          <w:trHeight w:val="3959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84" w:rsidRDefault="004F5084" w:rsidP="004425C1">
            <w:pPr>
              <w:spacing w:after="0" w:line="240" w:lineRule="auto"/>
              <w:ind w:left="15" w:right="274" w:hanging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Пункт 2 </w:t>
            </w:r>
          </w:p>
          <w:p w:rsidR="004F5084" w:rsidRPr="0002583E" w:rsidRDefault="004F5084" w:rsidP="004425C1">
            <w:pPr>
              <w:spacing w:after="0" w:line="240" w:lineRule="auto"/>
              <w:ind w:left="15" w:right="274" w:hanging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5084" w:rsidRPr="00954D33" w:rsidRDefault="004F5084" w:rsidP="004425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згоду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Броваритепловодоенергія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кредитних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наступне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54D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адмінбудинок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Броваритепловодоенергія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Броварський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Грушевського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буд. 3а,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територіальній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Броварського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Київської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54D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F5084" w:rsidRPr="0002583E" w:rsidRDefault="004F5084" w:rsidP="004425C1">
            <w:pPr>
              <w:spacing w:after="0" w:line="240" w:lineRule="auto"/>
              <w:ind w:left="15" w:right="274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84" w:rsidRDefault="004F5084" w:rsidP="004425C1">
            <w:pPr>
              <w:tabs>
                <w:tab w:val="left" w:pos="567"/>
              </w:tabs>
              <w:spacing w:after="0" w:line="240" w:lineRule="auto"/>
              <w:ind w:right="13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Пункт 2 </w:t>
            </w:r>
          </w:p>
          <w:p w:rsidR="004F5084" w:rsidRPr="0002583E" w:rsidRDefault="004F5084" w:rsidP="004425C1">
            <w:pPr>
              <w:tabs>
                <w:tab w:val="left" w:pos="567"/>
              </w:tabs>
              <w:spacing w:after="0" w:line="240" w:lineRule="auto"/>
              <w:ind w:right="13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5084" w:rsidRPr="0002583E" w:rsidRDefault="004F5084" w:rsidP="0044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згоду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кредитних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передачу в 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іпотеку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АТ «</w:t>
            </w:r>
            <w:proofErr w:type="spellStart"/>
            <w:proofErr w:type="gram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Укрексімбанк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» 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наступне</w:t>
            </w:r>
            <w:proofErr w:type="spellEnd"/>
            <w:proofErr w:type="gram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Адмінбудинок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Броваритеплоенергомережа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Броварський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Грушевського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буд. 3а,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територіальній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Броварського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 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закріплене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праві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господарського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відання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Броваритепловодоенергія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F5084" w:rsidRPr="0002583E" w:rsidRDefault="004F5084" w:rsidP="00442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84" w:rsidRPr="0002583E" w:rsidTr="004425C1">
        <w:trPr>
          <w:trHeight w:val="3108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84" w:rsidRDefault="004F5084" w:rsidP="004425C1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4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ідпункт</w:t>
            </w:r>
            <w:proofErr w:type="spellEnd"/>
            <w:r w:rsidRPr="000A4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2.1 пункту 2 </w:t>
            </w:r>
          </w:p>
          <w:p w:rsidR="004F5084" w:rsidRPr="000A4530" w:rsidRDefault="004F5084" w:rsidP="004425C1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5084" w:rsidRPr="0002583E" w:rsidRDefault="004F5084" w:rsidP="0044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Уповноважити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КП «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Броваритепловодоенергія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bookmarkStart w:id="11" w:name="_Hlk176879740"/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Голубовського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Павловича</w:t>
            </w:r>
            <w:bookmarkEnd w:id="11"/>
            <w:r w:rsidRPr="0002583E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час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відсутності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особу, яка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заміщує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укласти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застави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АТ «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Укрексімбанк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на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розсуд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вчиняти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правочини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підписувати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договори про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договору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застави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договори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договори про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 </w:t>
            </w:r>
            <w:proofErr w:type="spellStart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proofErr w:type="gramEnd"/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  <w:p w:rsidR="004F5084" w:rsidRPr="0002583E" w:rsidRDefault="004F5084" w:rsidP="004425C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84" w:rsidRDefault="004F5084" w:rsidP="004425C1">
            <w:pPr>
              <w:tabs>
                <w:tab w:val="left" w:pos="567"/>
              </w:tabs>
              <w:spacing w:after="0" w:line="240" w:lineRule="auto"/>
              <w:ind w:right="13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4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Підпункт</w:t>
            </w:r>
            <w:proofErr w:type="spellEnd"/>
            <w:r w:rsidRPr="000A4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2.1 пункту 2 </w:t>
            </w:r>
          </w:p>
          <w:p w:rsidR="004F5084" w:rsidRPr="000A4530" w:rsidRDefault="004F5084" w:rsidP="004425C1">
            <w:pPr>
              <w:tabs>
                <w:tab w:val="left" w:pos="567"/>
              </w:tabs>
              <w:spacing w:after="0" w:line="240" w:lineRule="auto"/>
              <w:ind w:right="13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5084" w:rsidRPr="0002583E" w:rsidRDefault="004F5084" w:rsidP="004425C1">
            <w:pPr>
              <w:tabs>
                <w:tab w:val="left" w:pos="567"/>
              </w:tabs>
              <w:spacing w:after="0" w:line="240" w:lineRule="auto"/>
              <w:ind w:right="1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Уповноважити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КП «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Голубовського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Григорія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Павловича</w:t>
            </w:r>
            <w:r w:rsidRPr="000258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на час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відсутності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особу, яка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заміщує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укласти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застави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іпотеки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з АТ «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Укрексімбанк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пункті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на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розсуд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вчиняти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правочини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підписувати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договори про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до договору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застави</w:t>
            </w:r>
            <w:proofErr w:type="spellEnd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25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іпотеки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договори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договори про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 xml:space="preserve"> до них </w:t>
            </w:r>
            <w:proofErr w:type="spellStart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25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8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F5084" w:rsidRPr="0002583E" w:rsidRDefault="004F5084" w:rsidP="0044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084" w:rsidRPr="0002583E" w:rsidRDefault="004F5084" w:rsidP="004425C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084" w:rsidRPr="0002583E" w:rsidRDefault="004F5084" w:rsidP="004F5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83E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>,</w:t>
      </w: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>,</w:t>
      </w: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та транспорту </w:t>
      </w: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084" w:rsidRPr="0002583E" w:rsidRDefault="004F5084" w:rsidP="004F5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2583E">
        <w:rPr>
          <w:rFonts w:ascii="Times New Roman" w:hAnsi="Times New Roman" w:cs="Times New Roman"/>
          <w:sz w:val="24"/>
          <w:szCs w:val="24"/>
        </w:rPr>
        <w:t xml:space="preserve">району </w:t>
      </w:r>
      <w:proofErr w:type="spellStart"/>
      <w:proofErr w:type="gramStart"/>
      <w:r w:rsidRPr="0002583E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proofErr w:type="gramEnd"/>
      <w:r w:rsidRPr="0002583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02583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02583E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02583E">
        <w:rPr>
          <w:rFonts w:ascii="Times New Roman" w:hAnsi="Times New Roman" w:cs="Times New Roman"/>
          <w:sz w:val="24"/>
          <w:szCs w:val="24"/>
        </w:rPr>
        <w:t xml:space="preserve"> РЕШЕТОВА</w:t>
      </w:r>
    </w:p>
    <w:p w:rsidR="009B7D79" w:rsidRPr="004F5084" w:rsidRDefault="009B7D79" w:rsidP="004F5084"/>
    <w:sectPr w:rsidR="009B7D79" w:rsidRPr="004F508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A23E28"/>
    <w:multiLevelType w:val="hybridMultilevel"/>
    <w:tmpl w:val="C3565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F5084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B1C9"/>
  <w15:docId w15:val="{80798ADA-0FD8-40BF-B581-68579703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2024-11-29T07:04:00Z</dcterms:modified>
</cp:coreProperties>
</file>