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ПВ-1109</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mallCaps w:val="0"/>
          <w:snapToGrid/>
          <w:spacing w:val="0"/>
          <w:w w:val="100"/>
          <w:position w:val="0"/>
          <w:sz w:val="28"/>
          <w:szCs w:val="22"/>
          <w:cs w:val="0"/>
        </w:rPr>
      </w:pPr>
      <w:permStart w:id="0" w:edGrp="everyone"/>
      <w:r>
        <w:rPr>
          <w:rFonts w:ascii="Times New Roman" w:hAnsi="Times New Roman"/>
          <w:smallCaps w:val="0"/>
          <w:snapToGrid/>
          <w:spacing w:val="0"/>
          <w:w w:val="100"/>
          <w:position w:val="0"/>
          <w:sz w:val="28"/>
          <w:szCs w:val="22"/>
          <w:cs w:val="0"/>
        </w:rPr>
        <w:t xml:space="preserve">Додаток </w:t>
      </w:r>
    </w:p>
    <w:p>
      <w:pPr>
        <w:tabs>
          <w:tab w:val="left" w:pos="5610"/>
          <w:tab w:val="left" w:pos="6358"/>
        </w:tabs>
        <w:spacing w:beforeAutospacing="0" w:after="0" w:afterAutospacing="0"/>
        <w:ind w:left="5103"/>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СХВАЛЕНО</w:t>
      </w:r>
    </w:p>
    <w:p>
      <w:pPr>
        <w:tabs>
          <w:tab w:val="left" w:pos="5610"/>
          <w:tab w:val="left" w:pos="6358"/>
        </w:tabs>
        <w:spacing w:beforeAutospacing="0" w:after="0" w:afterAutospacing="0"/>
        <w:ind w:left="5103"/>
        <w:rPr>
          <w:rFonts w:ascii="Times New Roman" w:hAnsi="Times New Roman"/>
          <w:smallCaps w:val="0"/>
          <w:snapToGrid/>
          <w:spacing w:val="0"/>
          <w:w w:val="100"/>
          <w:position w:val="0"/>
          <w:sz w:val="28"/>
          <w:szCs w:val="22"/>
          <w:cs w:val="0"/>
        </w:rPr>
      </w:pPr>
      <w:r>
        <w:rPr>
          <w:rFonts w:ascii="Times New Roman" w:hAnsi="Times New Roman"/>
          <w:smallCaps w:val="0"/>
          <w:snapToGrid/>
          <w:spacing w:val="0"/>
          <w:w w:val="100"/>
          <w:position w:val="0"/>
          <w:sz w:val="28"/>
          <w:szCs w:val="22"/>
          <w:cs w:val="0"/>
        </w:rPr>
        <w:t>Рішення</w:t>
      </w:r>
      <w:r>
        <w:rPr>
          <w:rFonts w:ascii="Times New Roman" w:hAnsi="Times New Roman"/>
          <w:smallCaps w:val="0"/>
          <w:snapToGrid/>
          <w:spacing w:val="0"/>
          <w:w w:val="100"/>
          <w:position w:val="0"/>
          <w:sz w:val="28"/>
          <w:szCs w:val="22"/>
          <w:cs w:val="0"/>
        </w:rPr>
        <w:t xml:space="preserve"> виконавчого комітету Броварської міської ради </w:t>
      </w:r>
    </w:p>
    <w:p>
      <w:pPr>
        <w:tabs>
          <w:tab w:val="left" w:pos="5610"/>
          <w:tab w:val="left" w:pos="6358"/>
        </w:tabs>
        <w:spacing w:beforeAutospacing="0" w:after="0" w:afterAutospacing="0"/>
        <w:ind w:left="5103"/>
        <w:rPr>
          <w:rFonts w:ascii="Times New Roman" w:hAnsi="Times New Roman"/>
          <w:smallCaps w:val="0"/>
          <w:snapToGrid/>
          <w:spacing w:val="0"/>
          <w:w w:val="100"/>
          <w:position w:val="0"/>
          <w:sz w:val="28"/>
          <w:szCs w:val="22"/>
          <w:cs w:val="0"/>
        </w:rPr>
      </w:pPr>
      <w:r>
        <w:rPr>
          <w:rFonts w:ascii="Times New Roman" w:hAnsi="Times New Roman"/>
          <w:smallCaps w:val="0"/>
          <w:snapToGrid/>
          <w:spacing w:val="0"/>
          <w:w w:val="100"/>
          <w:position w:val="0"/>
          <w:sz w:val="28"/>
          <w:szCs w:val="22"/>
          <w:cs w:val="0"/>
        </w:rPr>
        <w:t>Броварського району</w:t>
      </w:r>
    </w:p>
    <w:p>
      <w:pPr>
        <w:tabs>
          <w:tab w:val="left" w:pos="5610"/>
          <w:tab w:val="left" w:pos="6358"/>
        </w:tabs>
        <w:spacing w:beforeAutospacing="0" w:after="0" w:afterAutospacing="0"/>
        <w:ind w:left="5103"/>
        <w:rPr>
          <w:rFonts w:ascii="Times New Roman" w:hAnsi="Times New Roman"/>
          <w:smallCaps w:val="0"/>
          <w:snapToGrid/>
          <w:spacing w:val="0"/>
          <w:w w:val="100"/>
          <w:position w:val="0"/>
          <w:sz w:val="28"/>
          <w:szCs w:val="22"/>
          <w:cs w:val="0"/>
        </w:rPr>
      </w:pPr>
      <w:r>
        <w:rPr>
          <w:rFonts w:ascii="Times New Roman" w:hAnsi="Times New Roman"/>
          <w:smallCaps w:val="0"/>
          <w:snapToGrid/>
          <w:spacing w:val="0"/>
          <w:w w:val="100"/>
          <w:position w:val="0"/>
          <w:sz w:val="28"/>
          <w:szCs w:val="22"/>
          <w:cs w:val="0"/>
        </w:rPr>
        <w:t>Київської області</w:t>
      </w:r>
    </w:p>
    <w:p>
      <w:pPr>
        <w:spacing w:beforeAutospacing="0" w:after="0" w:afterAutospacing="0"/>
        <w:rPr>
          <w:rFonts w:ascii="Times New Roman" w:hAnsi="Times New Roman"/>
          <w:b/>
          <w:sz w:val="28"/>
          <w:szCs w:val="28"/>
        </w:rPr>
      </w:pPr>
    </w:p>
    <w:p>
      <w:pPr>
        <w:spacing w:beforeAutospacing="0" w:afterAutospacing="0" w:line="360" w:lineRule="atLeast"/>
        <w:jc w:val="center"/>
        <w:rPr>
          <w:rFonts w:ascii="Times" w:hAnsi="Times"/>
          <w:b/>
          <w:bCs/>
          <w:smallCaps w:val="0"/>
          <w:snapToGrid/>
          <w:spacing w:val="0"/>
          <w:w w:val="100"/>
          <w:position w:val="0"/>
          <w:sz w:val="36"/>
          <w:szCs w:val="22"/>
          <w:cs w:val="0"/>
        </w:rPr>
      </w:pPr>
      <w:r>
        <w:rPr>
          <w:rFonts w:ascii="Times New Roman" w:hAnsi="Times New Roman"/>
          <w:b/>
          <w:bCs/>
          <w:smallCaps w:val="0"/>
          <w:snapToGrid/>
          <w:spacing w:val="0"/>
          <w:w w:val="100"/>
          <w:position w:val="0"/>
          <w:sz w:val="28"/>
          <w:szCs w:val="22"/>
          <w:cs w:val="0"/>
        </w:rPr>
        <w:t xml:space="preserve"> </w:t>
      </w:r>
      <w:r>
        <w:rPr>
          <w:rFonts w:ascii="Times" w:hAnsi="Times"/>
          <w:b/>
          <w:bCs/>
          <w:smallCaps w:val="0"/>
          <w:snapToGrid/>
          <w:spacing w:val="0"/>
          <w:w w:val="100"/>
          <w:position w:val="0"/>
          <w:sz w:val="36"/>
          <w:szCs w:val="22"/>
          <w:cs w:val="0"/>
        </w:rPr>
        <w:t>Програма</w:t>
      </w:r>
    </w:p>
    <w:p>
      <w:pPr>
        <w:spacing w:beforeAutospacing="0" w:afterAutospacing="0" w:line="360" w:lineRule="atLeast"/>
        <w:jc w:val="center"/>
        <w:rPr>
          <w:rFonts w:ascii="Times" w:hAnsi="Times"/>
          <w:b/>
          <w:bCs w:val="0"/>
          <w:smallCaps w:val="0"/>
          <w:snapToGrid/>
          <w:spacing w:val="0"/>
          <w:w w:val="100"/>
          <w:position w:val="0"/>
          <w:sz w:val="36"/>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6"/>
          <w:szCs w:val="22"/>
          <w:cs w:val="0"/>
        </w:rPr>
        <w:t>«Безпечна громада на 2025-2029 роки»</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0" w:beforeAutospacing="0" w:afterAutospacing="0" w:line="280" w:lineRule="atLeast"/>
        <w:jc w:val="center"/>
        <w:rPr>
          <w:rFonts w:ascii="Times New Roman" w:hAnsi="Times New Roman"/>
          <w:b w:val="0"/>
          <w:bCs w:val="0"/>
          <w:i w:val="0"/>
          <w:i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val="0"/>
          <w:bCs w:val="0"/>
          <w:i w:val="0"/>
          <w:iCs w:val="0"/>
          <w:smallCaps w:val="0"/>
          <w:snapToGrid/>
          <w:spacing w:val="0"/>
          <w:w w:val="100"/>
          <w:position w:val="0"/>
          <w:sz w:val="28"/>
          <w:szCs w:val="22"/>
          <w:cs w:val="0"/>
        </w:rPr>
        <w:t>м. Бровари - 2025 рік</w:t>
      </w:r>
    </w:p>
    <w:p>
      <w:pPr>
        <w:spacing w:beforeAutospacing="0" w:after="0" w:afterAutospacing="0"/>
        <w:jc w:val="both"/>
        <w:rPr>
          <w:rFonts w:ascii="Times New Roman" w:hAnsi="Times New Roman"/>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p>
    <w:p>
      <w:pPr>
        <w:spacing w:beforeAutospacing="0" w:after="0" w:afterAutospacing="0"/>
        <w:jc w:val="both"/>
        <w:rPr>
          <w:rFonts w:ascii="Times New Roman" w:hAnsi="Times New Roman"/>
          <w:b/>
          <w:sz w:val="28"/>
          <w:szCs w:val="28"/>
        </w:rPr>
      </w:pPr>
    </w:p>
    <w:p>
      <w:pPr>
        <w:spacing w:beforeAutospacing="0" w:after="0" w:afterAutospacing="0" w:line="240" w:lineRule="auto"/>
        <w:ind w:left="720"/>
        <w:jc w:val="left"/>
        <w:rPr>
          <w:rFonts w:ascii="Times New Roman" w:hAnsi="Times New Roman"/>
          <w:b/>
          <w:smallCaps w:val="0"/>
          <w:snapToGrid/>
          <w:spacing w:val="0"/>
          <w:w w:val="100"/>
          <w:position w:val="0"/>
          <w:sz w:val="28"/>
          <w:szCs w:val="22"/>
          <w:cs w:val="0"/>
        </w:rPr>
      </w:pPr>
      <w:r>
        <w:rPr>
          <w:rFonts w:ascii="Times New Roman" w:hAnsi="Times New Roman"/>
          <w:b/>
          <w:smallCaps w:val="0"/>
          <w:snapToGrid/>
          <w:spacing w:val="0"/>
          <w:w w:val="100"/>
          <w:position w:val="0"/>
          <w:sz w:val="28"/>
          <w:szCs w:val="22"/>
          <w:cs w:val="0"/>
        </w:rPr>
        <w:t xml:space="preserve">    </w:t>
        <w:tab/>
        <w:tab/>
        <w:tab/>
        <w:t xml:space="preserve"> </w:t>
        <w:tab/>
        <w:t>Паспорт Програми</w:t>
      </w:r>
    </w:p>
    <w:p>
      <w:pPr>
        <w:spacing w:beforeAutospacing="0" w:after="0" w:afterAutospacing="0" w:line="240" w:lineRule="auto"/>
        <w:ind w:left="720"/>
        <w:jc w:val="center"/>
        <w:rPr>
          <w:rFonts w:ascii="Times New Roman" w:hAnsi="Times New Roman"/>
          <w:b/>
          <w:smallCaps w:val="0"/>
          <w:snapToGrid/>
          <w:spacing w:val="0"/>
          <w:w w:val="100"/>
          <w:position w:val="0"/>
          <w:sz w:val="28"/>
          <w:szCs w:val="22"/>
          <w:cs w:val="0"/>
        </w:rPr>
      </w:pPr>
      <w:r>
        <w:rPr>
          <w:rFonts w:ascii="Times New Roman" w:hAnsi="Times New Roman"/>
          <w:b/>
          <w:smallCaps w:val="0"/>
          <w:snapToGrid/>
          <w:spacing w:val="0"/>
          <w:w w:val="100"/>
          <w:position w:val="0"/>
          <w:sz w:val="28"/>
          <w:szCs w:val="22"/>
          <w:cs w:val="0"/>
        </w:rPr>
        <w:t xml:space="preserve"> «Безпечна громада на 2025-2029 роки»</w:t>
      </w:r>
      <w:r>
        <w:rPr>
          <w:rFonts w:ascii="Times New Roman" w:hAnsi="Times New Roman"/>
          <w:b/>
          <w:smallCaps w:val="0"/>
          <w:snapToGrid/>
          <w:spacing w:val="0"/>
          <w:w w:val="100"/>
          <w:position w:val="0"/>
          <w:sz w:val="28"/>
          <w:szCs w:val="22"/>
          <w:cs w:val="0"/>
        </w:rPr>
        <w:t xml:space="preserve"> </w:t>
      </w:r>
    </w:p>
    <w:tbl>
      <w:tblPr>
        <w:tblW w:w="9924" w:type="dxa"/>
        <w:tblInd w:w="-318" w:type="dxa"/>
        <w:shd w:val="clear" w:color="auto" w:fill="FFFFFF"/>
        <w:tblLook w:val="0000"/>
      </w:tblPr>
      <w:tblGrid>
        <w:gridCol w:w="614"/>
        <w:gridCol w:w="3586"/>
        <w:gridCol w:w="5724"/>
      </w:tblGrid>
      <w:tr>
        <w:tblPrEx>
          <w:tblW w:w="9924" w:type="dxa"/>
          <w:tblInd w:w="-318" w:type="dxa"/>
          <w:shd w:val="clear" w:color="auto" w:fill="FFFFFF"/>
          <w:tblLook w:val="0000"/>
        </w:tblPrEx>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w:t>
            </w:r>
          </w:p>
        </w:tc>
        <w:tc>
          <w:tcPr>
            <w:tcW w:w="3544" w:type="dxa"/>
            <w:tcBorders>
              <w:top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Ініціатор розроблення   програми  </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5954"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Розробник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3</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Співрозробники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Виконавчий комітет   Броварської міської ради Броварського району Київської області;</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Броварське районне   управління  Національної поліції ГУНП в   Київській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4</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Відповідальний   виконавець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5</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Учасники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w:t>
            </w:r>
            <w:r>
              <w:rPr>
                <w:rFonts w:ascii="Times New Roman" w:hAnsi="Times New Roman"/>
                <w:b w:val="0"/>
                <w:bCs w:val="0"/>
                <w:smallCaps w:val="0"/>
                <w:snapToGrid/>
                <w:color w:val="FF0000"/>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Броварської міської ради Броварського району Київської   області</w:t>
            </w:r>
            <w:r>
              <w:rPr>
                <w:rFonts w:ascii="Times New Roman" w:hAnsi="Times New Roman"/>
                <w:b w:val="0"/>
                <w:bCs w:val="0"/>
                <w:smallCaps w:val="0"/>
                <w:snapToGrid/>
                <w:spacing w:val="0"/>
                <w:w w:val="100"/>
                <w:position w:val="0"/>
                <w:sz w:val="28"/>
                <w:szCs w:val="22"/>
                <w:cs w:val="0"/>
              </w:rPr>
              <w:t>;</w:t>
            </w:r>
          </w:p>
          <w:p>
            <w:pPr>
              <w:spacing w:beforeAutospacing="0" w:after="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Підприємства,   організації, установи, заклади міста;</w:t>
            </w:r>
          </w:p>
          <w:p>
            <w:pPr>
              <w:spacing w:beforeAutospacing="0" w:after="0" w:afterAutospacing="0" w:line="240" w:lineRule="auto"/>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Броварське районне управління  Національної поліції ГУНП в Київській   області </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6</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Термін реалізації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2025 – 2029 роки</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r>
      <w:tr>
        <w:tblPrEx>
          <w:tblW w:w="9924" w:type="dxa"/>
          <w:tblInd w:w="-318" w:type="dxa"/>
          <w:shd w:val="clear" w:color="auto" w:fill="FFFFFF"/>
          <w:tblLook w:val="0000"/>
        </w:tblPrEx>
        <w:trPr>
          <w:trHeight w:val="122"/>
        </w:trPr>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7</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Перелік місцевих   бюджетів, які беруть участь у виконанні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Бюджет Броварської   міської територіальної громади</w:t>
            </w:r>
            <w:r>
              <w:rPr>
                <w:rFonts w:ascii="Times New Roman" w:hAnsi="Times New Roman"/>
                <w:b w:val="0"/>
                <w:bCs w:val="0"/>
                <w:smallCaps w:val="0"/>
                <w:snapToGrid/>
                <w:spacing w:val="0"/>
                <w:w w:val="100"/>
                <w:position w:val="0"/>
                <w:sz w:val="28"/>
                <w:szCs w:val="22"/>
                <w:cs w:val="0"/>
              </w:rPr>
              <w:t xml:space="preserve">    </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8</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0"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Обсяг фінансових ресурсів, необхідних для реалізації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cs w:val="0"/>
              </w:rPr>
              <w:t>2025 – 4600,0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2026 – 10 060,0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2027 – 10 580,0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2028 – 11 150,0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2029 – 11 750,0 тис. грн</w:t>
            </w:r>
          </w:p>
        </w:tc>
      </w:tr>
    </w:tbl>
    <w:p>
      <w:pPr>
        <w:spacing w:beforeAutospacing="0" w:after="0" w:afterAutospacing="0"/>
        <w:jc w:val="both"/>
        <w:rPr>
          <w:rFonts w:ascii="Times New Roman" w:hAnsi="Times New Roman"/>
          <w:b w:val="0"/>
          <w:bCs w:val="0"/>
          <w:sz w:val="28"/>
          <w:szCs w:val="28"/>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0" w:afterAutospacing="0"/>
        <w:ind w:left="142"/>
        <w:jc w:val="both"/>
        <w:rPr>
          <w:rFonts w:ascii="Times New Roman" w:hAnsi="Times New Roman"/>
          <w:iCs/>
          <w:sz w:val="28"/>
          <w:szCs w:val="28"/>
        </w:rPr>
      </w:pP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Зміст</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1.Загальна частина</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2. Мета  та завдання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3. Заходи  та фінансування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4. Очікувані результати виконання Програми</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Autospacing="0" w:afterAutospacing="0" w:line="360" w:lineRule="atLeast"/>
        <w:rPr>
          <w:rFonts w:ascii="Times" w:hAnsi="Times"/>
          <w:iCs w:val="0"/>
          <w:smallCaps w:val="0"/>
          <w:snapToGrid/>
          <w:spacing w:val="0"/>
          <w:w w:val="100"/>
          <w:position w:val="0"/>
          <w:sz w:val="28"/>
          <w:szCs w:val="22"/>
          <w:cs w:val="0"/>
        </w:rPr>
      </w:pPr>
    </w:p>
    <w:p>
      <w:pPr>
        <w:spacing w:beforeAutospacing="0" w:afterAutospacing="0" w:line="360" w:lineRule="atLeast"/>
        <w:rPr>
          <w:rFonts w:ascii="Times" w:hAnsi="Times"/>
          <w:iCs w:val="0"/>
          <w:smallCaps w:val="0"/>
          <w:snapToGrid/>
          <w:spacing w:val="0"/>
          <w:w w:val="100"/>
          <w:position w:val="0"/>
          <w:sz w:val="28"/>
          <w:szCs w:val="22"/>
          <w:cs w:val="0"/>
        </w:rPr>
      </w:pPr>
    </w:p>
    <w:p>
      <w:pPr>
        <w:spacing w:before="0" w:beforeAutospacing="0" w:after="179" w:afterAutospacing="0" w:line="280" w:lineRule="atLeast"/>
        <w:ind w:left="720" w:right="514" w:hanging="360"/>
        <w:jc w:val="center"/>
        <w:rPr>
          <w:rFonts w:ascii="Times New Roman" w:hAnsi="Times New Roman"/>
          <w:b/>
          <w:bCs/>
          <w:iCs w:val="0"/>
          <w:smallCaps w:val="0"/>
          <w:snapToGrid/>
          <w:spacing w:val="0"/>
          <w:w w:val="100"/>
          <w:position w:val="0"/>
          <w:sz w:val="28"/>
          <w:szCs w:val="22"/>
          <w:cs w:val="0"/>
        </w:rPr>
      </w:pPr>
      <w:r>
        <w:rPr>
          <w:rFonts w:ascii="Times New Roman" w:hAnsi="Times New Roman"/>
          <w:b/>
          <w:bCs/>
          <w:iCs w:val="0"/>
          <w:smallCaps w:val="0"/>
          <w:snapToGrid/>
          <w:spacing w:val="0"/>
          <w:w w:val="100"/>
          <w:position w:val="0"/>
          <w:sz w:val="28"/>
          <w:szCs w:val="22"/>
          <w:cs w:val="0"/>
        </w:rPr>
        <w:t xml:space="preserve"> </w:t>
      </w:r>
    </w:p>
    <w:p>
      <w:pPr>
        <w:spacing w:before="0" w:beforeAutospacing="0" w:after="179" w:afterAutospacing="0" w:line="280" w:lineRule="atLeast"/>
        <w:ind w:left="720" w:right="514" w:hanging="360"/>
        <w:jc w:val="center"/>
        <w:rPr>
          <w:rFonts w:ascii="Times New Roman" w:hAnsi="Times New Roman"/>
          <w:b/>
          <w:bCs/>
          <w:iCs w:val="0"/>
          <w:smallCaps w:val="0"/>
          <w:snapToGrid/>
          <w:spacing w:val="0"/>
          <w:w w:val="100"/>
          <w:position w:val="0"/>
          <w:sz w:val="28"/>
          <w:szCs w:val="22"/>
          <w:cs w:val="0"/>
        </w:rPr>
      </w:pPr>
      <w:r>
        <w:rPr>
          <w:rFonts w:ascii="Times New Roman" w:hAnsi="Times New Roman"/>
          <w:b/>
          <w:bCs/>
          <w:iCs w:val="0"/>
          <w:smallCaps w:val="0"/>
          <w:snapToGrid/>
          <w:spacing w:val="0"/>
          <w:w w:val="100"/>
          <w:position w:val="0"/>
          <w:sz w:val="28"/>
          <w:szCs w:val="22"/>
          <w:cs w:val="0"/>
        </w:rPr>
        <w:t>1.</w:t>
      </w:r>
      <w:r>
        <w:rPr>
          <w:rFonts w:ascii="Times" w:hAnsi="Times"/>
          <w:b/>
          <w:bCs/>
          <w:iCs w:val="0"/>
          <w:smallCaps w:val="0"/>
          <w:snapToGrid/>
          <w:spacing w:val="0"/>
          <w:w w:val="100"/>
          <w:position w:val="0"/>
          <w:sz w:val="14"/>
          <w:szCs w:val="22"/>
          <w:cs w:val="0"/>
        </w:rPr>
        <w:tab/>
        <w:t xml:space="preserve"> </w:t>
      </w:r>
      <w:r>
        <w:rPr>
          <w:rFonts w:ascii="Times New Roman" w:hAnsi="Times New Roman"/>
          <w:b/>
          <w:bCs/>
          <w:iCs w:val="0"/>
          <w:smallCaps w:val="0"/>
          <w:snapToGrid/>
          <w:spacing w:val="0"/>
          <w:w w:val="100"/>
          <w:position w:val="0"/>
          <w:sz w:val="28"/>
          <w:szCs w:val="22"/>
          <w:cs w:val="0"/>
        </w:rPr>
        <w:t>Загальна частина</w:t>
      </w:r>
    </w:p>
    <w:p>
      <w:pPr>
        <w:spacing w:before="0" w:beforeAutospacing="0" w:after="0" w:afterAutospacing="0" w:line="280" w:lineRule="atLeast"/>
        <w:ind w:left="-419" w:right="369"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Сьогодні в Україні склалась дуже напружена ситуація в зв’язку з проведенням операції Об’єднаних сил на сході України та розв’язання Російською Федерацією повномасштабної війни. На території нашої держави спостерігається збільшення проявів тероризму та сепаратизму, спроб нагнітання ситуації, погіршення криміногенного стану. Броварська</w:t>
      </w:r>
      <w:r>
        <w:rPr>
          <w:rFonts w:ascii="Times New Roman" w:hAnsi="Times New Roman"/>
          <w:iCs w:val="0"/>
          <w:smallCaps w:val="0"/>
          <w:snapToGrid/>
          <w:spacing w:val="0"/>
          <w:w w:val="100"/>
          <w:position w:val="0"/>
          <w:sz w:val="28"/>
          <w:szCs w:val="22"/>
          <w:cs w:val="0"/>
        </w:rPr>
        <w:t xml:space="preserve"> міська територіальна громада має складну розвинену інфраструктуру, її життєдіяльність забезпечується великою кількістю стратегічно важливих об’єктів.</w:t>
      </w:r>
    </w:p>
    <w:p>
      <w:pPr>
        <w:spacing w:before="0" w:beforeAutospacing="0" w:after="0" w:afterAutospacing="0" w:line="280" w:lineRule="atLeast"/>
        <w:ind w:left="-419" w:right="369"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На території міської територіальної громади проводяться численні масові заходи. Актуальним є питання посилення безпеки дорожнього руху. Це вимага</w:t>
      </w:r>
      <w:r>
        <w:rPr>
          <w:rFonts w:ascii="Times New Roman" w:hAnsi="Times New Roman"/>
          <w:iCs w:val="0"/>
          <w:smallCaps w:val="0"/>
          <w:snapToGrid/>
          <w:color w:val="000000"/>
          <w:spacing w:val="0"/>
          <w:w w:val="100"/>
          <w:position w:val="0"/>
          <w:sz w:val="28"/>
          <w:szCs w:val="22"/>
          <w:cs w:val="0"/>
        </w:rPr>
        <w:t xml:space="preserve">ло встановлення системи відеоспостереження міської територіальної громади, залучення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 Отже, створення даної Програми обумовлено потребою впровадження комплексу програмно-апаратних та організаційних заходів для посилення безпеки населення, захисту об’єктів забезпечення життєдіяльності міської територіальної громади, безпеки дорожнього руху. Встановлення камер відеоспостереження на території населених пунктів  міської територіальної громади зміцнить обороноздатність та посилить заходи безпеки. Влада та правоохоронні органи посилено 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 </w:t>
      </w:r>
      <w:r>
        <w:rPr>
          <w:rFonts w:ascii="Times New Roman" w:hAnsi="Times New Roman"/>
          <w:iCs w:val="0"/>
          <w:smallCaps w:val="0"/>
          <w:snapToGrid/>
          <w:spacing w:val="0"/>
          <w:w w:val="100"/>
          <w:position w:val="0"/>
          <w:sz w:val="28"/>
          <w:szCs w:val="22"/>
          <w:cs w:val="0"/>
        </w:rPr>
        <w:t xml:space="preserve"> </w:t>
        <w:tab/>
      </w: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На сьогоднішній день на території Броварської міської територіальної  громади існує багато місць та об’єктів, які потребують посиленого захисту та контролю над ситуацією. До них відносяться:</w:t>
      </w:r>
    </w:p>
    <w:p>
      <w:pPr>
        <w:spacing w:before="0" w:beforeAutospacing="0" w:after="0" w:afterAutospacing="0" w:line="240" w:lineRule="auto"/>
        <w:ind w:left="-419"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мости та переїзди</w:t>
      </w:r>
      <w:r>
        <w:rPr>
          <w:rFonts w:ascii="Times New Roman" w:hAnsi="Times New Roman"/>
          <w:iCs w:val="0"/>
          <w:smallCaps w:val="0"/>
          <w:snapToGrid/>
          <w:color w:val="000000"/>
          <w:spacing w:val="0"/>
          <w:w w:val="100"/>
          <w:position w:val="0"/>
          <w:sz w:val="28"/>
          <w:szCs w:val="22"/>
          <w:cs w:val="0"/>
        </w:rPr>
        <w:t>;</w:t>
      </w:r>
    </w:p>
    <w:p>
      <w:pPr>
        <w:spacing w:before="0" w:beforeAutospacing="0" w:after="0" w:afterAutospacing="0" w:line="240" w:lineRule="auto"/>
        <w:ind w:left="-419"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центральна частина міста;</w:t>
      </w:r>
    </w:p>
    <w:p>
      <w:pPr>
        <w:spacing w:before="0" w:beforeAutospacing="0" w:after="179" w:afterAutospacing="0" w:line="280" w:lineRule="atLeast"/>
        <w:ind w:left="-419" w:right="514"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парки, площі, сквери, тощо;</w:t>
      </w:r>
    </w:p>
    <w:p>
      <w:pPr>
        <w:spacing w:before="0" w:beforeAutospacing="0" w:after="179" w:afterAutospacing="0" w:line="280" w:lineRule="atLeast"/>
        <w:ind w:left="-419" w:right="514"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місця скупчення людей, вокзали, ринки, інші місця підвищеної небезпеки для громадян;</w:t>
      </w:r>
    </w:p>
    <w:p>
      <w:pPr>
        <w:spacing w:before="0" w:beforeAutospacing="0" w:after="179" w:afterAutospacing="0" w:line="280" w:lineRule="atLeast"/>
        <w:ind w:left="-419" w:right="514"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стратегічні та важливі для життєдіяльності об’єкти громади;</w:t>
      </w:r>
    </w:p>
    <w:p>
      <w:pPr>
        <w:spacing w:before="0" w:beforeAutospacing="0" w:after="179" w:afterAutospacing="0" w:line="240" w:lineRule="auto"/>
        <w:ind w:left="-419" w:right="514"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w:t>
      </w:r>
      <w:r>
        <w:rPr>
          <w:rFonts w:ascii="Times New Roman" w:hAnsi="Times New Roman"/>
          <w:iCs w:val="0"/>
          <w:smallCaps w:val="0"/>
          <w:snapToGrid/>
          <w:color w:val="000000"/>
          <w:spacing w:val="0"/>
          <w:w w:val="100"/>
          <w:position w:val="0"/>
          <w:sz w:val="28"/>
          <w:szCs w:val="22"/>
          <w:cs w:val="0"/>
        </w:rPr>
        <w:t>адміністративні будівлі, навчальні та медичні заклади, комунальні та житлові об’єкти, інші громадські будівлі тощо;</w:t>
      </w:r>
    </w:p>
    <w:p>
      <w:pPr>
        <w:spacing w:before="0" w:beforeAutospacing="0" w:after="179" w:afterAutospacing="0" w:line="240" w:lineRule="auto"/>
        <w:ind w:left="-419" w:right="514"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14"/>
          <w:szCs w:val="22"/>
          <w:cs w:val="0"/>
        </w:rPr>
        <w:tab/>
        <w:t xml:space="preserve"> </w:t>
      </w:r>
      <w:r>
        <w:rPr>
          <w:rFonts w:ascii="Times New Roman" w:hAnsi="Times New Roman"/>
          <w:iCs w:val="0"/>
          <w:smallCaps w:val="0"/>
          <w:snapToGrid/>
          <w:color w:val="000000"/>
          <w:spacing w:val="0"/>
          <w:w w:val="100"/>
          <w:position w:val="0"/>
          <w:sz w:val="28"/>
          <w:szCs w:val="22"/>
          <w:cs w:val="0"/>
        </w:rPr>
        <w:t>автодорожні шляхи.</w:t>
      </w:r>
    </w:p>
    <w:p>
      <w:pPr>
        <w:spacing w:before="0" w:beforeAutospacing="0" w:after="0" w:afterAutospacing="0" w:line="240" w:lineRule="auto"/>
        <w:ind w:left="-419" w:right="142" w:firstLine="0"/>
        <w:jc w:val="both"/>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ab/>
        <w:t xml:space="preserve"> </w:t>
      </w:r>
      <w:r>
        <w:rPr>
          <w:rFonts w:ascii="Times New Roman" w:hAnsi="Times New Roman"/>
          <w:iCs w:val="0"/>
          <w:smallCaps w:val="0"/>
          <w:snapToGrid/>
          <w:color w:val="000000"/>
          <w:spacing w:val="0"/>
          <w:w w:val="100"/>
          <w:position w:val="0"/>
          <w:sz w:val="28"/>
          <w:szCs w:val="22"/>
          <w:cs w:val="0"/>
        </w:rPr>
        <w:t>Крім того, особливої уваги потребує забезпечення належного контролю проведення на території Броварської міської територіальної  громади масових заходів, мітингів, демонстрацій. Слід зазначити, що напрямок забезпечення безпеки громадян та захисту на території міської територіальної громади традиційно вважається одним з головних завдань міської влади. Стан правопорядку на території територіальної громади впливає на його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Криміногенна ситуація залишається складною. У структурі злочинності домінуючу роль продовжують відігравати злочини майнової та корисливо-насильницької спрямованості, збільшилась кількість крадіжок, умисних тілесних ушкоджень, шахрайств. Поліпшення даної ситуації потребує консолідації зусиль правоохоронних органів, органів державної влади та місцевого самоврядування. Соціальне значення проблеми, пов'язаної з профілактикою правопорушень, зумовлює необхідність виділення коштів з місцевого</w:t>
      </w:r>
      <w:r>
        <w:rPr>
          <w:rFonts w:ascii="Times New Roman" w:hAnsi="Times New Roman"/>
          <w:iCs w:val="0"/>
          <w:smallCaps w:val="0"/>
          <w:snapToGrid/>
          <w:spacing w:val="0"/>
          <w:w w:val="100"/>
          <w:position w:val="0"/>
          <w:sz w:val="28"/>
          <w:szCs w:val="22"/>
          <w:cs w:val="0"/>
        </w:rPr>
        <w:t xml:space="preserve"> бюдже</w:t>
      </w:r>
      <w:r>
        <w:rPr>
          <w:rFonts w:ascii="Times New Roman" w:hAnsi="Times New Roman"/>
          <w:iCs w:val="0"/>
          <w:smallCaps w:val="0"/>
          <w:snapToGrid/>
          <w:color w:val="000000"/>
          <w:spacing w:val="0"/>
          <w:w w:val="100"/>
          <w:position w:val="0"/>
          <w:sz w:val="28"/>
          <w:szCs w:val="22"/>
          <w:cs w:val="0"/>
        </w:rPr>
        <w:t>ту на виконання цієї Програми. Створення системи відеоспостереження дасть змогу поліпшити рівень криміногенної ситуації на території Броварської</w:t>
      </w:r>
      <w:r>
        <w:rPr>
          <w:rFonts w:ascii="Times New Roman" w:hAnsi="Times New Roman"/>
          <w:iCs w:val="0"/>
          <w:smallCaps w:val="0"/>
          <w:snapToGrid/>
          <w:spacing w:val="0"/>
          <w:w w:val="100"/>
          <w:position w:val="0"/>
          <w:sz w:val="28"/>
          <w:szCs w:val="22"/>
          <w:cs w:val="0"/>
        </w:rPr>
        <w:t xml:space="preserve"> територіальної  громади. Можливість фіксації та збору доказів з місць скоєння правопорушень сприятиме як розкриттю кримінальних злочинів, так і їх профілактиці. Необхідно зазначити, що джерелами отримання доказів про осіб, які вчинили злочини та адміністративні правопорушення, стають системи відеоспостереження, які встановлюють окремі громадяни та юридичні особи. </w:t>
      </w:r>
      <w:r>
        <w:rPr>
          <w:rFonts w:ascii="Times New Roman" w:hAnsi="Times New Roman"/>
          <w:iCs w:val="0"/>
          <w:smallCaps w:val="0"/>
          <w:snapToGrid/>
          <w:color w:val="000000"/>
          <w:spacing w:val="0"/>
          <w:w w:val="100"/>
          <w:position w:val="0"/>
          <w:sz w:val="28"/>
          <w:szCs w:val="22"/>
          <w:cs w:val="0"/>
        </w:rPr>
        <w:t>Також</w:t>
      </w:r>
      <w:r>
        <w:rPr>
          <w:rFonts w:ascii="Times New Roman" w:hAnsi="Times New Roman"/>
          <w:iCs w:val="0"/>
          <w:smallCaps w:val="0"/>
          <w:snapToGrid/>
          <w:spacing w:val="0"/>
          <w:w w:val="100"/>
          <w:position w:val="0"/>
          <w:sz w:val="28"/>
          <w:szCs w:val="22"/>
          <w:cs w:val="0"/>
        </w:rPr>
        <w:t xml:space="preserve"> одним з важливих напрямків забезпечення безпеки громадян є їх захист на автотранспортних шляхах.  Наразі надзвичайно актуальною є потреба моніторингу ситуації на дорогах на території </w:t>
      </w:r>
      <w:r>
        <w:rPr>
          <w:rFonts w:ascii="Times New Roman" w:hAnsi="Times New Roman"/>
          <w:iCs w:val="0"/>
          <w:smallCaps w:val="0"/>
          <w:snapToGrid/>
          <w:color w:val="000000"/>
          <w:spacing w:val="0"/>
          <w:w w:val="100"/>
          <w:position w:val="0"/>
          <w:sz w:val="28"/>
          <w:szCs w:val="22"/>
          <w:cs w:val="0"/>
        </w:rPr>
        <w:t>Броварської міської територіальної громади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пригоди, оперативного відстеження маршруту руху транспортного засобу за потребою. Зазначена система відеоспостереження дозволить відстежувати напрямки руху транспортних засобів, водії яких є винуватцями ДТП, крім того, зазначена система істотно сприятиме розшуку викрадених автотранспортних засобів. Адже, як правило, такі злочини вчиняються у темну пору доби, коли неможливо встановити відомості про осіб, час та можливості переховування викрадених автомобілів за допомогою очевидців. У цьому можуть допомогти лише системи відеоспостереження, які працюватимуть в автономному режимі цілодобово.</w:t>
      </w:r>
      <w:r>
        <w:rPr>
          <w:rFonts w:ascii="Times New Roman" w:hAnsi="Times New Roman"/>
          <w:iCs w:val="0"/>
          <w:smallCaps w:val="0"/>
          <w:snapToGrid/>
          <w:color w:val="000000"/>
          <w:spacing w:val="0"/>
          <w:w w:val="100"/>
          <w:position w:val="0"/>
          <w:sz w:val="28"/>
          <w:szCs w:val="22"/>
          <w:cs w:val="0"/>
        </w:rPr>
        <w:t xml:space="preserve"> </w:t>
      </w:r>
    </w:p>
    <w:p>
      <w:pPr>
        <w:spacing w:before="0" w:beforeAutospacing="0" w:after="0" w:afterAutospacing="0" w:line="240" w:lineRule="auto"/>
        <w:ind w:left="-419" w:right="142"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color w:val="000000"/>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На</w:t>
      </w:r>
      <w:r>
        <w:rPr>
          <w:rFonts w:ascii="Times New Roman" w:hAnsi="Times New Roman"/>
          <w:iCs w:val="0"/>
          <w:smallCaps w:val="0"/>
          <w:snapToGrid/>
          <w:spacing w:val="0"/>
          <w:w w:val="100"/>
          <w:position w:val="0"/>
          <w:sz w:val="28"/>
          <w:szCs w:val="22"/>
          <w:cs w:val="0"/>
        </w:rPr>
        <w:t xml:space="preserve"> сьогоднішній день міська інтегрована система відеоспостереження та відеоаналітики включає 171 камеру відеоспостереження. У 2017 році було розроблено та затверджено Програму «Безпечне місто на 2017-2019 роки», метою якої було посилення безпеки громадян, захисту важливих об’єктів міста та комунального майна, підтримка нормальної життєдіяльності міста, посилення безпеки дорожнього руху, підвищення рівня розкриття правопорушень. В рамках реалізації заходів вищезазначеної програми було здійснено аналіз існуючої системи відеоспостереження громади, проведено інвентаризацію мереж, які знаходяться на балансі виконавчих органів та підпорядкованих їм комунальних підприємств міста.</w:t>
      </w:r>
    </w:p>
    <w:p>
      <w:pPr>
        <w:spacing w:before="0" w:beforeAutospacing="0" w:after="0" w:afterAutospacing="0" w:line="240" w:lineRule="auto"/>
        <w:ind w:left="-561" w:right="141" w:firstLine="0"/>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6"/>
          <w:szCs w:val="22"/>
          <w:cs w:val="0"/>
        </w:rPr>
        <w:t xml:space="preserve">  </w:t>
        <w:tab/>
        <w:t xml:space="preserve"> </w:t>
      </w:r>
      <w:r>
        <w:rPr>
          <w:rFonts w:ascii="Times" w:hAnsi="Times"/>
          <w:iCs w:val="0"/>
          <w:smallCaps w:val="0"/>
          <w:snapToGrid/>
          <w:spacing w:val="0"/>
          <w:w w:val="100"/>
          <w:position w:val="0"/>
          <w:sz w:val="28"/>
          <w:szCs w:val="22"/>
          <w:cs w:val="0"/>
        </w:rPr>
        <w:t>Призначення Програми “Безпечна громада на 2025-2029  роки</w:t>
      </w:r>
      <w:r>
        <w:rPr>
          <w:rFonts w:ascii="Times New Roman" w:hAnsi="Times New Roman"/>
          <w:iCs w:val="0"/>
          <w:smallCaps w:val="0"/>
          <w:snapToGrid/>
          <w:spacing w:val="0"/>
          <w:w w:val="100"/>
          <w:position w:val="0"/>
          <w:sz w:val="28"/>
          <w:szCs w:val="22"/>
          <w:cs w:val="0"/>
        </w:rPr>
        <w:t>”</w:t>
      </w:r>
      <w:r>
        <w:rPr>
          <w:rFonts w:ascii="Times" w:hAnsi="Times"/>
          <w:iCs w:val="0"/>
          <w:smallCaps w:val="0"/>
          <w:snapToGrid/>
          <w:spacing w:val="0"/>
          <w:w w:val="100"/>
          <w:position w:val="0"/>
          <w:sz w:val="28"/>
          <w:szCs w:val="22"/>
          <w:cs w:val="0"/>
        </w:rPr>
        <w:t xml:space="preserve"> (далі – Програма)</w:t>
      </w:r>
      <w:r>
        <w:rPr>
          <w:rFonts w:ascii="Times New Roman" w:hAnsi="Times New Roman"/>
          <w:iCs w:val="0"/>
          <w:smallCaps w:val="0"/>
          <w:snapToGrid/>
          <w:spacing w:val="0"/>
          <w:w w:val="100"/>
          <w:position w:val="0"/>
          <w:sz w:val="28"/>
          <w:szCs w:val="22"/>
          <w:cs w:val="0"/>
        </w:rPr>
        <w:t>:</w:t>
      </w:r>
    </w:p>
    <w:p>
      <w:pPr>
        <w:spacing w:before="120" w:beforeAutospacing="0" w:after="0" w:afterAutospacing="0" w:line="240" w:lineRule="auto"/>
        <w:ind w:left="-561" w:right="0" w:firstLine="0"/>
        <w:jc w:val="both"/>
        <w:rPr>
          <w:rFonts w:ascii="Times" w:hAnsi="Times"/>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color w:val="000000"/>
          <w:spacing w:val="0"/>
          <w:w w:val="100"/>
          <w:position w:val="0"/>
          <w:sz w:val="28"/>
          <w:szCs w:val="22"/>
          <w:cs w:val="0"/>
        </w:rPr>
        <w:t>-</w:t>
      </w:r>
      <w:r>
        <w:rPr>
          <w:rFonts w:ascii="Times" w:hAnsi="Times"/>
          <w:iCs w:val="0"/>
          <w:smallCaps w:val="0"/>
          <w:snapToGrid/>
          <w:color w:val="000000"/>
          <w:spacing w:val="0"/>
          <w:w w:val="100"/>
          <w:position w:val="0"/>
          <w:sz w:val="14"/>
          <w:szCs w:val="22"/>
          <w:cs w:val="0"/>
        </w:rPr>
        <w:tab/>
        <w:t xml:space="preserve"> </w:t>
      </w:r>
      <w:r>
        <w:rPr>
          <w:rFonts w:ascii="Times" w:hAnsi="Times"/>
          <w:iCs w:val="0"/>
          <w:smallCaps w:val="0"/>
          <w:snapToGrid/>
          <w:color w:val="000000"/>
          <w:spacing w:val="0"/>
          <w:w w:val="100"/>
          <w:position w:val="0"/>
          <w:sz w:val="28"/>
          <w:szCs w:val="22"/>
          <w:cs w:val="0"/>
        </w:rPr>
        <w:t>надання поточної інформації про стан захищеності об’єктів захисту службам органів місцевого самоврядування, територіальних органів виконавчої влади, Національної поліції і адміністрацій об’єктів з масовим перебуванням людей (у межах їх компетенції) і оперативним штабом міста;</w:t>
      </w:r>
    </w:p>
    <w:p>
      <w:pPr>
        <w:spacing w:before="0" w:beforeAutospacing="0" w:after="0" w:afterAutospacing="0" w:line="240" w:lineRule="auto"/>
        <w:ind w:left="-561" w:right="0"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забезпечення аналітичної й управлінської діяльності органів місцевого самоврядування, територіальних органів виконавчої влади, Н</w:t>
      </w:r>
      <w:r>
        <w:rPr>
          <w:rFonts w:ascii="Times New Roman" w:hAnsi="Times New Roman"/>
          <w:iCs w:val="0"/>
          <w:smallCaps w:val="0"/>
          <w:snapToGrid/>
          <w:spacing w:val="0"/>
          <w:w w:val="100"/>
          <w:position w:val="0"/>
          <w:sz w:val="28"/>
          <w:szCs w:val="22"/>
          <w:cs w:val="0"/>
        </w:rPr>
        <w:t xml:space="preserve">аціональної поліції і адміністрацій об’єктів з масовим перебуванням людей, оперативних штабів в рамках вирішення ними завдань по протидії погрозам природного, техногенного, кримінального, терористичного й іншого характеру;  </w:t>
      </w:r>
    </w:p>
    <w:p>
      <w:pPr>
        <w:spacing w:before="0" w:beforeAutospacing="0" w:after="0" w:afterAutospacing="0" w:line="240" w:lineRule="auto"/>
        <w:ind w:left="-561" w:right="0"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забезпечення інформаційної взаємодії органів місцевого самоврядування, територіальних органів виконавчої влади, Н</w:t>
      </w:r>
      <w:r>
        <w:rPr>
          <w:rFonts w:ascii="Times New Roman" w:hAnsi="Times New Roman"/>
          <w:iCs w:val="0"/>
          <w:smallCaps w:val="0"/>
          <w:snapToGrid/>
          <w:spacing w:val="0"/>
          <w:w w:val="100"/>
          <w:position w:val="0"/>
          <w:sz w:val="28"/>
          <w:szCs w:val="22"/>
          <w:cs w:val="0"/>
        </w:rPr>
        <w:t>аціональної поліції і адміністрацій об’єктів з масовим перебуванням людей і оперативних штабів при виконанні спільних завдань із метою безпеки життєдіяльності населення</w:t>
      </w:r>
      <w:r>
        <w:rPr>
          <w:rFonts w:ascii="Times" w:hAnsi="Times"/>
          <w:iCs w:val="0"/>
          <w:smallCaps w:val="0"/>
          <w:snapToGrid/>
          <w:spacing w:val="0"/>
          <w:w w:val="100"/>
          <w:position w:val="0"/>
          <w:sz w:val="28"/>
          <w:szCs w:val="22"/>
          <w:cs w:val="0"/>
        </w:rPr>
        <w:t xml:space="preserve"> громади.</w:t>
      </w:r>
    </w:p>
    <w:p>
      <w:pPr>
        <w:spacing w:before="0" w:beforeAutospacing="0" w:after="200" w:afterAutospacing="0" w:line="280" w:lineRule="atLeast"/>
        <w:ind w:left="-561" w:right="514" w:firstLine="0"/>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p>
      <w:pPr>
        <w:spacing w:before="0" w:beforeAutospacing="0" w:after="0" w:afterAutospacing="0" w:line="280" w:lineRule="atLeast"/>
        <w:ind w:left="720" w:right="514" w:hanging="360"/>
        <w:jc w:val="center"/>
        <w:rPr>
          <w:rFonts w:ascii="Times New Roman" w:hAnsi="Times New Roman"/>
          <w:b/>
          <w:bCs/>
          <w:iCs w:val="0"/>
          <w:smallCaps w:val="0"/>
          <w:snapToGrid/>
          <w:spacing w:val="0"/>
          <w:w w:val="100"/>
          <w:position w:val="0"/>
          <w:sz w:val="28"/>
          <w:szCs w:val="22"/>
          <w:cs w:val="0"/>
        </w:rPr>
      </w:pPr>
      <w:r>
        <w:rPr>
          <w:rFonts w:ascii="Times New Roman" w:hAnsi="Times New Roman"/>
          <w:b/>
          <w:bCs/>
          <w:iCs w:val="0"/>
          <w:smallCaps w:val="0"/>
          <w:snapToGrid/>
          <w:spacing w:val="0"/>
          <w:w w:val="100"/>
          <w:position w:val="0"/>
          <w:sz w:val="28"/>
          <w:szCs w:val="22"/>
          <w:cs w:val="0"/>
        </w:rPr>
        <w:t xml:space="preserve"> 2.</w:t>
      </w:r>
      <w:r>
        <w:rPr>
          <w:rFonts w:ascii="Times" w:hAnsi="Times"/>
          <w:b/>
          <w:bCs/>
          <w:iCs w:val="0"/>
          <w:smallCaps w:val="0"/>
          <w:snapToGrid/>
          <w:spacing w:val="0"/>
          <w:w w:val="100"/>
          <w:position w:val="0"/>
          <w:sz w:val="14"/>
          <w:szCs w:val="22"/>
          <w:cs w:val="0"/>
        </w:rPr>
        <w:tab/>
        <w:t xml:space="preserve"> </w:t>
      </w:r>
      <w:r>
        <w:rPr>
          <w:rFonts w:ascii="Times New Roman" w:hAnsi="Times New Roman"/>
          <w:b/>
          <w:bCs/>
          <w:iCs w:val="0"/>
          <w:smallCaps w:val="0"/>
          <w:snapToGrid/>
          <w:spacing w:val="0"/>
          <w:w w:val="100"/>
          <w:position w:val="0"/>
          <w:sz w:val="28"/>
          <w:szCs w:val="22"/>
          <w:cs w:val="0"/>
        </w:rPr>
        <w:t>Мета та завдання</w:t>
      </w:r>
    </w:p>
    <w:p>
      <w:pPr>
        <w:spacing w:before="0" w:beforeAutospacing="0" w:after="0" w:afterAutospacing="0" w:line="280" w:lineRule="atLeast"/>
        <w:ind w:left="-419" w:right="84" w:firstLine="0"/>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0" w:beforeAutospacing="0" w:after="0" w:afterAutospacing="0" w:line="280" w:lineRule="atLeast"/>
        <w:ind w:left="-419" w:right="84"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 xml:space="preserve"> Метою Програми є забезпечення стабільного функціонування системи відеоконтролю за публічними місцями з метою забезпечення громадської безпеки та правопорядку у Броварській міській територіальній громаді,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адміністративного провадження доказами, посилення безпеки дорожнього руху, підвищення рівня розкриття правопорушень, зміцнення обороноздатності та посилення заходів безпеки.</w:t>
      </w:r>
    </w:p>
    <w:p>
      <w:pPr>
        <w:spacing w:before="0" w:beforeAutospacing="0" w:after="0" w:afterAutospacing="0" w:line="240" w:lineRule="auto"/>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 xml:space="preserve"> Основними завданнями Програми є:</w:t>
      </w:r>
    </w:p>
    <w:p>
      <w:pPr>
        <w:spacing w:before="0" w:beforeAutospacing="0" w:after="0" w:afterAutospacing="0" w:line="240" w:lineRule="auto"/>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color w:val="000000"/>
          <w:spacing w:val="0"/>
          <w:w w:val="100"/>
          <w:position w:val="0"/>
          <w:sz w:val="28"/>
          <w:szCs w:val="22"/>
          <w:cs w:val="0"/>
        </w:rPr>
        <w:t>1)</w:t>
      </w:r>
      <w:r>
        <w:rPr>
          <w:rFonts w:ascii="Times" w:hAnsi="Times"/>
          <w:iCs w:val="0"/>
          <w:smallCaps w:val="0"/>
          <w:snapToGrid/>
          <w:color w:val="000000"/>
          <w:spacing w:val="0"/>
          <w:w w:val="100"/>
          <w:position w:val="0"/>
          <w:sz w:val="14"/>
          <w:szCs w:val="22"/>
          <w:cs w:val="0"/>
        </w:rPr>
        <w:t xml:space="preserve">  </w:t>
      </w:r>
      <w:r>
        <w:rPr>
          <w:rFonts w:ascii="Times" w:hAnsi="Times"/>
          <w:iCs w:val="0"/>
          <w:smallCaps w:val="0"/>
          <w:snapToGrid/>
          <w:spacing w:val="0"/>
          <w:w w:val="100"/>
          <w:position w:val="0"/>
          <w:sz w:val="28"/>
          <w:szCs w:val="22"/>
          <w:cs w:val="0"/>
        </w:rPr>
        <w:t>посилення заходів безпеки та захисту життя і здоров’я громадян БМТГ;</w:t>
      </w:r>
    </w:p>
    <w:p>
      <w:pPr>
        <w:spacing w:before="0" w:beforeAutospacing="0" w:after="0" w:afterAutospacing="0" w:line="317" w:lineRule="atLeast"/>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color w:val="000000"/>
          <w:spacing w:val="0"/>
          <w:w w:val="100"/>
          <w:position w:val="0"/>
          <w:sz w:val="28"/>
          <w:szCs w:val="22"/>
          <w:cs w:val="0"/>
        </w:rPr>
        <w:t>2)</w:t>
      </w:r>
      <w:r>
        <w:rPr>
          <w:rFonts w:ascii="Times" w:hAnsi="Times"/>
          <w:iCs w:val="0"/>
          <w:smallCaps w:val="0"/>
          <w:snapToGrid/>
          <w:color w:val="000000"/>
          <w:spacing w:val="0"/>
          <w:w w:val="100"/>
          <w:position w:val="0"/>
          <w:sz w:val="14"/>
          <w:szCs w:val="22"/>
          <w:cs w:val="0"/>
        </w:rPr>
        <w:t xml:space="preserve">  </w:t>
      </w:r>
      <w:r>
        <w:rPr>
          <w:rFonts w:ascii="Times" w:hAnsi="Times"/>
          <w:iCs w:val="0"/>
          <w:smallCaps w:val="0"/>
          <w:snapToGrid/>
          <w:spacing w:val="0"/>
          <w:w w:val="100"/>
          <w:position w:val="0"/>
          <w:sz w:val="28"/>
          <w:szCs w:val="22"/>
          <w:cs w:val="0"/>
        </w:rPr>
        <w:t>забезпечення комплексної взаємодії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країни, запобігання та подолання небезпечних ситуацій, збереження спокою та нормальної життєдіяльності БМТГ;</w:t>
      </w:r>
    </w:p>
    <w:p>
      <w:pPr>
        <w:spacing w:before="0" w:beforeAutospacing="0" w:after="0" w:afterAutospacing="0" w:line="317" w:lineRule="atLeast"/>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color w:val="000000"/>
          <w:spacing w:val="0"/>
          <w:w w:val="100"/>
          <w:position w:val="0"/>
          <w:sz w:val="28"/>
          <w:szCs w:val="22"/>
          <w:cs w:val="0"/>
        </w:rPr>
        <w:t>3)</w:t>
      </w:r>
      <w:r>
        <w:rPr>
          <w:rFonts w:ascii="Times" w:hAnsi="Times"/>
          <w:iCs w:val="0"/>
          <w:smallCaps w:val="0"/>
          <w:snapToGrid/>
          <w:color w:val="000000"/>
          <w:spacing w:val="0"/>
          <w:w w:val="100"/>
          <w:position w:val="0"/>
          <w:sz w:val="14"/>
          <w:szCs w:val="22"/>
          <w:cs w:val="0"/>
        </w:rPr>
        <w:t xml:space="preserve">  </w:t>
      </w:r>
      <w:r>
        <w:rPr>
          <w:rFonts w:ascii="Times" w:hAnsi="Times"/>
          <w:iCs w:val="0"/>
          <w:smallCaps w:val="0"/>
          <w:snapToGrid/>
          <w:spacing w:val="0"/>
          <w:w w:val="100"/>
          <w:position w:val="0"/>
          <w:sz w:val="28"/>
          <w:szCs w:val="22"/>
          <w:cs w:val="0"/>
        </w:rPr>
        <w:t>створення єдиної локальної мережі системи «Безпечна громада», в яку будуть об’єднані всі камери зовнішнього відеонагляду та інші елементи системи безпеки об’єктів усіх форм власності, встановлені на території громади;</w:t>
      </w:r>
    </w:p>
    <w:p>
      <w:pPr>
        <w:spacing w:before="0" w:beforeAutospacing="0" w:after="0" w:afterAutospacing="0" w:line="317" w:lineRule="atLeast"/>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4) профілактика і попередження злочинності, здійснення фіксації та збору доказової бази при скоєнні правопорушень;</w:t>
      </w:r>
    </w:p>
    <w:p>
      <w:pPr>
        <w:spacing w:before="0" w:beforeAutospacing="0" w:after="200" w:afterAutospacing="0" w:line="317" w:lineRule="atLeast"/>
        <w:ind w:left="-419"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5</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здійснення моніторингу стану об’єктів благоустрою (прибирання, дотримання правил благоустрою тощо).</w:t>
      </w:r>
    </w:p>
    <w:p>
      <w:pPr>
        <w:spacing w:before="0" w:beforeAutospacing="0" w:after="0" w:afterAutospacing="0" w:line="322" w:lineRule="atLeast"/>
        <w:ind w:left="-419" w:right="220"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Фінансування заходів Програми передбачається здійснювати за рахунок коштів бюджету громади, власних коштів підприємств, інших джерел фінансування, не заборонених чинним законодавством.</w:t>
      </w:r>
    </w:p>
    <w:p>
      <w:pPr>
        <w:spacing w:before="0" w:beforeAutospacing="0" w:after="0" w:afterAutospacing="0" w:line="322" w:lineRule="atLeast"/>
        <w:ind w:left="-419" w:right="220"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 xml:space="preserve"> Обсяг фінансування заходів Програми за рахунок коштів  бюджету громади затверджується Броварською міською радою Броварського району Київської області </w:t>
      </w:r>
      <w:r>
        <w:rPr>
          <w:rFonts w:ascii="Times New Roman" w:hAnsi="Times New Roman"/>
          <w:iCs w:val="0"/>
          <w:smallCaps w:val="0"/>
          <w:snapToGrid/>
          <w:spacing w:val="0"/>
          <w:w w:val="100"/>
          <w:position w:val="0"/>
          <w:sz w:val="28"/>
          <w:szCs w:val="22"/>
          <w:cs w:val="0"/>
        </w:rPr>
        <w:t>в складі видатків бюджету</w:t>
      </w:r>
      <w:r>
        <w:rPr>
          <w:rFonts w:ascii="Times" w:hAnsi="Times"/>
          <w:iCs w:val="0"/>
          <w:smallCaps w:val="0"/>
          <w:snapToGrid/>
          <w:spacing w:val="0"/>
          <w:w w:val="100"/>
          <w:position w:val="0"/>
          <w:sz w:val="28"/>
          <w:szCs w:val="22"/>
          <w:cs w:val="0"/>
        </w:rPr>
        <w:t xml:space="preserve"> громади  на 2025-2029 роки. Потреба у фінансуванні визначена у додатку до Програми</w:t>
      </w:r>
      <w:r>
        <w:rPr>
          <w:rFonts w:ascii="Times New Roman" w:hAnsi="Times New Roman"/>
          <w:iCs w:val="0"/>
          <w:smallCaps w:val="0"/>
          <w:snapToGrid/>
          <w:spacing w:val="0"/>
          <w:w w:val="100"/>
          <w:position w:val="0"/>
          <w:sz w:val="28"/>
          <w:szCs w:val="22"/>
          <w:cs w:val="0"/>
        </w:rPr>
        <w:t>.</w:t>
      </w:r>
    </w:p>
    <w:p>
      <w:pPr>
        <w:spacing w:before="0" w:beforeAutospacing="0" w:after="0" w:afterAutospacing="0" w:line="322" w:lineRule="atLeast"/>
        <w:ind w:left="0" w:right="220" w:firstLine="84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0" w:beforeAutospacing="0" w:after="0" w:afterAutospacing="0" w:line="322" w:lineRule="atLeast"/>
        <w:ind w:left="0" w:right="220" w:firstLine="84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0" w:beforeAutospacing="0" w:after="179" w:afterAutospacing="0" w:line="280" w:lineRule="atLeast"/>
        <w:ind w:left="284" w:right="0" w:hanging="360"/>
        <w:jc w:val="center"/>
        <w:rPr>
          <w:rFonts w:ascii="Times New Roman" w:hAnsi="Times New Roman"/>
          <w:b/>
          <w:bC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bCs/>
          <w:iCs w:val="0"/>
          <w:smallCaps w:val="0"/>
          <w:snapToGrid/>
          <w:spacing w:val="0"/>
          <w:w w:val="100"/>
          <w:position w:val="0"/>
          <w:sz w:val="28"/>
          <w:szCs w:val="22"/>
          <w:cs w:val="0"/>
        </w:rPr>
        <w:t>4.</w:t>
      </w:r>
      <w:r>
        <w:rPr>
          <w:rFonts w:ascii="Times" w:hAnsi="Times"/>
          <w:b/>
          <w:bCs/>
          <w:iCs w:val="0"/>
          <w:smallCaps w:val="0"/>
          <w:snapToGrid/>
          <w:spacing w:val="0"/>
          <w:w w:val="100"/>
          <w:position w:val="0"/>
          <w:sz w:val="14"/>
          <w:szCs w:val="22"/>
          <w:cs w:val="0"/>
        </w:rPr>
        <w:tab/>
        <w:t xml:space="preserve"> </w:t>
      </w:r>
      <w:r>
        <w:rPr>
          <w:rFonts w:ascii="Times New Roman" w:hAnsi="Times New Roman"/>
          <w:b/>
          <w:bCs/>
          <w:iCs w:val="0"/>
          <w:smallCaps w:val="0"/>
          <w:snapToGrid/>
          <w:spacing w:val="0"/>
          <w:w w:val="100"/>
          <w:position w:val="0"/>
          <w:sz w:val="28"/>
          <w:szCs w:val="22"/>
          <w:cs w:val="0"/>
        </w:rPr>
        <w:t>Очікувані результати виконання Програми</w:t>
      </w:r>
    </w:p>
    <w:p>
      <w:pPr>
        <w:spacing w:before="0" w:beforeAutospacing="0" w:after="179" w:afterAutospacing="0" w:line="280" w:lineRule="atLeast"/>
        <w:ind w:left="-561" w:right="0" w:firstLine="0"/>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 xml:space="preserve"> </w:t>
      </w:r>
      <w:r>
        <w:rPr>
          <w:rFonts w:ascii="Times New Roman" w:hAnsi="Times New Roman"/>
          <w:iCs w:val="0"/>
          <w:smallCaps w:val="0"/>
          <w:snapToGrid/>
          <w:spacing w:val="0"/>
          <w:w w:val="100"/>
          <w:position w:val="0"/>
          <w:sz w:val="28"/>
          <w:szCs w:val="22"/>
          <w:cs w:val="0"/>
        </w:rPr>
        <w:t>Результати та досягнення успішного виконання заходів Програми будуть наступними:</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збереження життя та здоров’я громадян на вулицях та дорогах міста, в громадських місцях та під час проведення масових заходів; </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забезпечення громадського порядку, здійснення постійного моніторингу стану в багатолюдних місцях; </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підвищення рівня захищеності стратегічних, важливих та інфраструктурних об’єктів БМТГ;</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зменшення кількості та усунення причин виникнення дорожньо-транспортних пригод, зростання дисциплінованості учасників дорожнього руху;</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 зниження кількості правопорушень, забезпечення можливості відновлення ходу подій на основі записаних відеоматеріалів;</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 отримання своєчасної та достовірної інформації про подію, небезпечну або надзвичайну ситуацію, можливість впливу на її перебіг та успішне подолання; </w:t>
      </w:r>
    </w:p>
    <w:p>
      <w:pPr>
        <w:spacing w:before="0" w:beforeAutospacing="0" w:after="0" w:afterAutospacing="0" w:line="322" w:lineRule="atLeast"/>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забезпечення взаємодії місцевої влади та правоохоронних органів при   проведенні заходів посилення безпеки громадян та захисту БМТГ. </w:t>
      </w:r>
    </w:p>
    <w:p>
      <w:pPr>
        <w:spacing w:before="0" w:beforeAutospacing="0" w:after="0" w:afterAutospacing="0" w:line="322" w:lineRule="atLeast"/>
        <w:ind w:left="-561" w:right="265"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tab/>
        <w:t xml:space="preserve"> Функції з координації виконання заходів Програми покладаються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Броварське РУП ГУНП в Київській області.</w:t>
      </w:r>
    </w:p>
    <w:p>
      <w:pPr>
        <w:spacing w:before="0" w:beforeAutospacing="0" w:after="0" w:afterAutospacing="0" w:line="276" w:lineRule="auto"/>
        <w:ind w:left="-561" w:right="265" w:firstLine="0"/>
        <w:jc w:val="both"/>
        <w:rPr>
          <w:rFonts w:ascii="Times" w:hAnsi="Times"/>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 xml:space="preserve"> Броварська міська рада Броварського району Київської області забезпечує своєчасне та якісне виконання заходів Програми, ефективне і цільове використання бюджетних коштів, контроль за виконанням заходів Програми.</w:t>
      </w:r>
    </w:p>
    <w:p>
      <w:pPr>
        <w:spacing w:beforeAutospacing="0" w:after="0" w:afterAutospacing="0" w:line="280" w:lineRule="atLeast"/>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Autospacing="0" w:after="0" w:afterAutospacing="0" w:line="280" w:lineRule="atLeast"/>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Autospacing="0" w:after="0" w:afterAutospacing="0" w:line="280" w:lineRule="atLeast"/>
        <w:ind w:left="-1701" w:firstLine="0"/>
        <w:jc w:val="both"/>
        <w:rPr>
          <w:rFonts w:ascii="Times New Roman" w:hAnsi="Times New Roman"/>
          <w:iCs/>
          <w:sz w:val="28"/>
          <w:szCs w:val="28"/>
        </w:rPr>
      </w:pPr>
      <w:r>
        <w:rPr>
          <w:rFonts w:ascii="Times" w:hAnsi="Times"/>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Міський голова</w:t>
        <w:tab/>
        <w:t xml:space="preserve"> </w:t>
        <w:tab/>
        <w:tab/>
        <w:tab/>
        <w:tab/>
        <w:tab/>
        <w:tab/>
        <w:t xml:space="preserve"> </w:t>
      </w:r>
      <w:r>
        <w:rPr>
          <w:rFonts w:ascii="Times" w:hAnsi="Times"/>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ab/>
        <w:t>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26</cp:revision>
  <dcterms:created xsi:type="dcterms:W3CDTF">2021-08-31T06:42:00Z</dcterms:created>
  <dcterms:modified xsi:type="dcterms:W3CDTF">2024-11-12T12:07:23Z</dcterms:modified>
</cp:coreProperties>
</file>