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669" w:rsidRPr="003676F5" w:rsidRDefault="001F3669" w:rsidP="001F366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bookmarkStart w:id="0" w:name="_Hlk176781274"/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1F3669" w:rsidRPr="003676F5" w:rsidRDefault="001F3669" w:rsidP="001F3669">
      <w:pPr>
        <w:pStyle w:val="a5"/>
        <w:jc w:val="center"/>
        <w:rPr>
          <w:rFonts w:cs="Times New Roman"/>
          <w:szCs w:val="28"/>
        </w:rPr>
      </w:pPr>
      <w:bookmarkStart w:id="1" w:name="_Hlk137202959"/>
      <w:r w:rsidRPr="003676F5">
        <w:rPr>
          <w:rFonts w:cs="Times New Roman"/>
          <w:szCs w:val="28"/>
        </w:rPr>
        <w:t>до проекту рішення «</w:t>
      </w:r>
      <w:bookmarkStart w:id="2" w:name="_Hlk64458660"/>
      <w:bookmarkStart w:id="3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2"/>
      <w:r w:rsidRPr="003676F5">
        <w:rPr>
          <w:rFonts w:cs="Times New Roman"/>
          <w:b/>
          <w:szCs w:val="28"/>
        </w:rPr>
        <w:t xml:space="preserve">Програми </w:t>
      </w:r>
    </w:p>
    <w:p w:rsidR="001F3669" w:rsidRPr="003676F5" w:rsidRDefault="001F3669" w:rsidP="001F3669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3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1F3669" w:rsidRPr="003676F5" w:rsidRDefault="001F3669" w:rsidP="001F3669">
      <w:pPr>
        <w:pStyle w:val="a5"/>
        <w:rPr>
          <w:rFonts w:cs="Times New Roman"/>
          <w:szCs w:val="28"/>
        </w:rPr>
      </w:pPr>
    </w:p>
    <w:p w:rsidR="001F3669" w:rsidRPr="003676F5" w:rsidRDefault="001F3669" w:rsidP="001F36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1F3669" w:rsidRDefault="001F3669" w:rsidP="001F36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44885207"/>
      <w:bookmarkStart w:id="5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1F3669" w:rsidRDefault="001F3669" w:rsidP="001F366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ЖЕК-2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357,80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>для експертного обстеження, періодичного технічного огляду та позачергового огляду ліфтів, опір ізоляції ліфтів, дозвіл на експлуатацію ліфтів.</w:t>
      </w:r>
      <w:r w:rsidRPr="00705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ЖЕК-5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збільшити фінансування на «160,30»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проведення робіт з ремонту та заміни вікон і збереження тепла (заходи з енергоефективності) у багатоквартирному будинку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вул.Чорних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Запорожців,49 три під</w:t>
      </w:r>
      <w:r w:rsidRPr="00705D9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їзди.</w:t>
      </w:r>
    </w:p>
    <w:p w:rsidR="001F3669" w:rsidRPr="003676F5" w:rsidRDefault="001F3669" w:rsidP="001F36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1F3669" w:rsidRDefault="001F3669" w:rsidP="001F366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підвищення якості надання послуг комунальними підприємствами.</w:t>
      </w:r>
    </w:p>
    <w:p w:rsidR="001F3669" w:rsidRPr="003676F5" w:rsidRDefault="001F3669" w:rsidP="001F36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1F3669" w:rsidRPr="003676F5" w:rsidRDefault="001F3669" w:rsidP="001F366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1F3669" w:rsidRPr="003676F5" w:rsidRDefault="001F3669" w:rsidP="001F36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1F3669" w:rsidRPr="003676F5" w:rsidRDefault="001F3669" w:rsidP="001F36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15 097,00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F3669" w:rsidRPr="003676F5" w:rsidRDefault="001F3669" w:rsidP="001F36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1F3669" w:rsidRDefault="001F3669" w:rsidP="001F36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безаварійна робота ліфтів;</w:t>
      </w:r>
    </w:p>
    <w:p w:rsidR="001F3669" w:rsidRDefault="001F3669" w:rsidP="001F36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утеплення будинку, шляхом заміни вікон.</w:t>
      </w:r>
    </w:p>
    <w:p w:rsidR="001F3669" w:rsidRPr="003676F5" w:rsidRDefault="001F3669" w:rsidP="001F36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1F3669" w:rsidRPr="003676F5" w:rsidRDefault="001F3669" w:rsidP="001F36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РЕШЕТОВА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 4-61-10.</w:t>
      </w:r>
    </w:p>
    <w:p w:rsidR="001F3669" w:rsidRPr="003676F5" w:rsidRDefault="001F3669" w:rsidP="001F36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9" w:name="_Hlk68013621"/>
      <w:bookmarkEnd w:id="7"/>
      <w:bookmarkEnd w:id="8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32"/>
        <w:gridCol w:w="4433"/>
        <w:gridCol w:w="1560"/>
        <w:gridCol w:w="1559"/>
        <w:gridCol w:w="1417"/>
      </w:tblGrid>
      <w:tr w:rsidR="001F3669" w:rsidRPr="003676F5" w:rsidTr="00936544">
        <w:tc>
          <w:tcPr>
            <w:tcW w:w="1232" w:type="dxa"/>
            <w:vMerge w:val="restart"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536" w:type="dxa"/>
            <w:gridSpan w:val="3"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1F3669" w:rsidRPr="003676F5" w:rsidTr="00936544">
        <w:tc>
          <w:tcPr>
            <w:tcW w:w="1232" w:type="dxa"/>
            <w:vMerge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59" w:type="dxa"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17" w:type="dxa"/>
          </w:tcPr>
          <w:p w:rsidR="001F3669" w:rsidRPr="003676F5" w:rsidRDefault="001F3669" w:rsidP="0093654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1F3669" w:rsidRPr="003676F5" w:rsidTr="00936544">
        <w:tc>
          <w:tcPr>
            <w:tcW w:w="1232" w:type="dxa"/>
          </w:tcPr>
          <w:p w:rsidR="001F3669" w:rsidRDefault="001F3669" w:rsidP="00936544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:rsidR="001F3669" w:rsidRDefault="001F3669" w:rsidP="00936544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ЖЕК-2</w:t>
            </w:r>
          </w:p>
        </w:tc>
        <w:tc>
          <w:tcPr>
            <w:tcW w:w="1560" w:type="dxa"/>
          </w:tcPr>
          <w:p w:rsidR="001F3669" w:rsidRDefault="001F3669" w:rsidP="0093654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600,000</w:t>
            </w:r>
          </w:p>
        </w:tc>
        <w:tc>
          <w:tcPr>
            <w:tcW w:w="1559" w:type="dxa"/>
          </w:tcPr>
          <w:p w:rsidR="001F3669" w:rsidRDefault="001F3669" w:rsidP="0093654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357,80</w:t>
            </w:r>
          </w:p>
        </w:tc>
        <w:tc>
          <w:tcPr>
            <w:tcW w:w="1417" w:type="dxa"/>
          </w:tcPr>
          <w:p w:rsidR="001F3669" w:rsidRDefault="001F3669" w:rsidP="0093654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957,80</w:t>
            </w:r>
          </w:p>
        </w:tc>
      </w:tr>
      <w:tr w:rsidR="001F3669" w:rsidRPr="003676F5" w:rsidTr="00936544">
        <w:tc>
          <w:tcPr>
            <w:tcW w:w="1232" w:type="dxa"/>
          </w:tcPr>
          <w:p w:rsidR="001F3669" w:rsidRDefault="001F3669" w:rsidP="00936544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3" w:type="dxa"/>
          </w:tcPr>
          <w:p w:rsidR="001F3669" w:rsidRDefault="001F3669" w:rsidP="00936544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60" w:type="dxa"/>
          </w:tcPr>
          <w:p w:rsidR="001F3669" w:rsidRDefault="001F3669" w:rsidP="0093654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228,081</w:t>
            </w:r>
          </w:p>
        </w:tc>
        <w:tc>
          <w:tcPr>
            <w:tcW w:w="1559" w:type="dxa"/>
          </w:tcPr>
          <w:p w:rsidR="001F3669" w:rsidRDefault="001F3669" w:rsidP="0093654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160,30</w:t>
            </w:r>
          </w:p>
        </w:tc>
        <w:tc>
          <w:tcPr>
            <w:tcW w:w="1417" w:type="dxa"/>
          </w:tcPr>
          <w:p w:rsidR="001F3669" w:rsidRDefault="001F3669" w:rsidP="0093654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388,381</w:t>
            </w:r>
          </w:p>
        </w:tc>
      </w:tr>
      <w:tr w:rsidR="001F3669" w:rsidRPr="003676F5" w:rsidTr="00936544">
        <w:tc>
          <w:tcPr>
            <w:tcW w:w="1232" w:type="dxa"/>
          </w:tcPr>
          <w:p w:rsidR="001F3669" w:rsidRPr="003676F5" w:rsidRDefault="001F3669" w:rsidP="00936544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:rsidR="001F3669" w:rsidRPr="003676F5" w:rsidRDefault="001F3669" w:rsidP="00936544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F3669" w:rsidRPr="003676F5" w:rsidRDefault="001F3669" w:rsidP="00936544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14 578,90</w:t>
            </w:r>
          </w:p>
        </w:tc>
        <w:tc>
          <w:tcPr>
            <w:tcW w:w="1559" w:type="dxa"/>
          </w:tcPr>
          <w:p w:rsidR="001F3669" w:rsidRPr="003676F5" w:rsidRDefault="001F3669" w:rsidP="00936544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518,10</w:t>
            </w:r>
          </w:p>
        </w:tc>
        <w:tc>
          <w:tcPr>
            <w:tcW w:w="1417" w:type="dxa"/>
          </w:tcPr>
          <w:p w:rsidR="001F3669" w:rsidRPr="003676F5" w:rsidRDefault="001F3669" w:rsidP="00936544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15 097,00</w:t>
            </w:r>
          </w:p>
        </w:tc>
      </w:tr>
      <w:bookmarkEnd w:id="6"/>
      <w:bookmarkEnd w:id="10"/>
    </w:tbl>
    <w:p w:rsidR="001F3669" w:rsidRPr="003676F5" w:rsidRDefault="001F3669" w:rsidP="001F36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669" w:rsidRPr="003676F5" w:rsidRDefault="001F3669" w:rsidP="001F36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13988023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:rsidR="001F3669" w:rsidRPr="003676F5" w:rsidRDefault="001F3669" w:rsidP="001F36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1F3669" w:rsidRPr="003676F5" w:rsidRDefault="001F3669" w:rsidP="001F36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bookmarkEnd w:id="1"/>
      <w:bookmarkEnd w:id="11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4"/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bookmarkEnd w:id="0"/>
    </w:p>
    <w:p w:rsidR="009B7D79" w:rsidRPr="001F3669" w:rsidRDefault="009B7D79" w:rsidP="001F3669">
      <w:bookmarkStart w:id="12" w:name="_GoBack"/>
      <w:bookmarkEnd w:id="12"/>
    </w:p>
    <w:sectPr w:rsidR="009B7D79" w:rsidRPr="001F3669" w:rsidSect="000509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F3669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59456-D001-470A-AE04-7F9496B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F3669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1F3669"/>
    <w:pPr>
      <w:ind w:left="720"/>
      <w:contextualSpacing/>
    </w:pPr>
  </w:style>
  <w:style w:type="table" w:styleId="a7">
    <w:name w:val="Table Grid"/>
    <w:basedOn w:val="a1"/>
    <w:uiPriority w:val="59"/>
    <w:rsid w:val="001F3669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1F366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1F366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1F3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F3669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2024-11-08T12:13:00Z</dcterms:modified>
</cp:coreProperties>
</file>